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D4" w:rsidRDefault="00C97ED4" w:rsidP="00C97ED4">
      <w:pPr>
        <w:jc w:val="center"/>
        <w:rPr>
          <w:rFonts w:ascii="Arial" w:hAnsi="Arial" w:cs="Arial"/>
          <w:b/>
          <w:bCs/>
          <w:sz w:val="22"/>
          <w:szCs w:val="22"/>
        </w:rPr>
      </w:pPr>
    </w:p>
    <w:p w:rsidR="00C97ED4" w:rsidRDefault="00C97ED4" w:rsidP="00C97ED4">
      <w:pPr>
        <w:jc w:val="center"/>
        <w:rPr>
          <w:rFonts w:ascii="Arial" w:hAnsi="Arial" w:cs="Arial"/>
          <w:b/>
          <w:bCs/>
          <w:sz w:val="22"/>
          <w:szCs w:val="22"/>
        </w:rPr>
      </w:pPr>
      <w:r w:rsidRPr="00CF55D4">
        <w:rPr>
          <w:rFonts w:ascii="Arial" w:hAnsi="Arial" w:cs="Arial"/>
          <w:b/>
          <w:bCs/>
          <w:sz w:val="22"/>
          <w:szCs w:val="22"/>
        </w:rPr>
        <w:t>ANEXO 01</w:t>
      </w:r>
    </w:p>
    <w:p w:rsidR="00C97ED4" w:rsidRPr="00CF55D4" w:rsidRDefault="00C97ED4" w:rsidP="00C97ED4">
      <w:pPr>
        <w:jc w:val="center"/>
        <w:rPr>
          <w:rFonts w:ascii="Arial" w:hAnsi="Arial" w:cs="Arial"/>
          <w:b/>
          <w:bCs/>
          <w:sz w:val="22"/>
          <w:szCs w:val="22"/>
        </w:rPr>
      </w:pPr>
    </w:p>
    <w:p w:rsidR="00C97ED4" w:rsidRPr="00CF55D4" w:rsidRDefault="00C97ED4" w:rsidP="00C97ED4">
      <w:pPr>
        <w:jc w:val="center"/>
        <w:rPr>
          <w:rFonts w:ascii="Arial" w:hAnsi="Arial" w:cs="Arial"/>
          <w:b/>
          <w:bCs/>
          <w:sz w:val="22"/>
          <w:szCs w:val="22"/>
        </w:rPr>
      </w:pPr>
      <w:r w:rsidRPr="00CF55D4">
        <w:rPr>
          <w:rFonts w:ascii="Arial" w:hAnsi="Arial" w:cs="Arial"/>
          <w:b/>
          <w:bCs/>
          <w:sz w:val="22"/>
          <w:szCs w:val="22"/>
        </w:rPr>
        <w:t>GLOSARIO DE TÉRMINOS</w:t>
      </w:r>
    </w:p>
    <w:p w:rsidR="00C97ED4" w:rsidRPr="00CF55D4" w:rsidRDefault="00C97ED4" w:rsidP="00C97ED4">
      <w:pPr>
        <w:jc w:val="both"/>
        <w:rPr>
          <w:rFonts w:ascii="Arial" w:hAnsi="Arial" w:cs="Arial"/>
          <w:sz w:val="22"/>
          <w:szCs w:val="22"/>
        </w:rPr>
      </w:pPr>
    </w:p>
    <w:p w:rsidR="00C97ED4" w:rsidRPr="00CF55D4" w:rsidRDefault="00C97ED4" w:rsidP="00C97ED4">
      <w:pPr>
        <w:pStyle w:val="Prrafodelista"/>
        <w:numPr>
          <w:ilvl w:val="0"/>
          <w:numId w:val="1"/>
        </w:numPr>
        <w:spacing w:before="40" w:after="40"/>
        <w:jc w:val="both"/>
        <w:rPr>
          <w:rFonts w:ascii="Arial" w:hAnsi="Arial" w:cs="Arial"/>
        </w:rPr>
      </w:pPr>
      <w:r w:rsidRPr="00CF55D4">
        <w:rPr>
          <w:rFonts w:ascii="Arial" w:hAnsi="Arial" w:cs="Arial"/>
        </w:rPr>
        <w:t xml:space="preserve">Para efectos del presente Reglamento, </w:t>
      </w:r>
      <w:r>
        <w:rPr>
          <w:rFonts w:ascii="Arial" w:hAnsi="Arial" w:cs="Arial"/>
        </w:rPr>
        <w:t>se entenderá por:</w:t>
      </w:r>
    </w:p>
    <w:p w:rsidR="00C97ED4" w:rsidRPr="00CF55D4" w:rsidRDefault="00C97ED4" w:rsidP="00C97ED4">
      <w:pPr>
        <w:jc w:val="both"/>
        <w:rPr>
          <w:rFonts w:ascii="Arial" w:hAnsi="Arial" w:cs="Arial"/>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 xml:space="preserve">CENTROS POBLADOS RURALES </w:t>
      </w:r>
    </w:p>
    <w:p w:rsidR="00C97ED4" w:rsidRPr="00CF55D4" w:rsidRDefault="00C97ED4" w:rsidP="00C97ED4">
      <w:pPr>
        <w:tabs>
          <w:tab w:val="left" w:pos="426"/>
        </w:tabs>
        <w:ind w:left="708" w:hanging="426"/>
        <w:jc w:val="both"/>
        <w:rPr>
          <w:rFonts w:ascii="Arial" w:hAnsi="Arial" w:cs="Arial"/>
          <w:sz w:val="22"/>
          <w:szCs w:val="22"/>
        </w:rPr>
      </w:pPr>
      <w:r>
        <w:rPr>
          <w:rFonts w:ascii="Arial" w:hAnsi="Arial" w:cs="Arial"/>
          <w:sz w:val="22"/>
          <w:szCs w:val="22"/>
        </w:rPr>
        <w:tab/>
      </w:r>
      <w:r w:rsidRPr="00CF55D4">
        <w:rPr>
          <w:rFonts w:ascii="Arial" w:hAnsi="Arial" w:cs="Arial"/>
          <w:sz w:val="22"/>
          <w:szCs w:val="22"/>
        </w:rPr>
        <w:tab/>
        <w:t xml:space="preserve">Los definidos como tales por el INEI, los incluidos en los Anexos 1A, 1B y </w:t>
      </w:r>
      <w:smartTag w:uri="urn:schemas-microsoft-com:office:smarttags" w:element="metricconverter">
        <w:smartTagPr>
          <w:attr w:name="ProductID" w:val="1C"/>
        </w:smartTagPr>
        <w:r w:rsidRPr="00CF55D4">
          <w:rPr>
            <w:rFonts w:ascii="Arial" w:hAnsi="Arial" w:cs="Arial"/>
            <w:sz w:val="22"/>
            <w:szCs w:val="22"/>
          </w:rPr>
          <w:t>1C</w:t>
        </w:r>
      </w:smartTag>
      <w:r w:rsidRPr="00CF55D4">
        <w:rPr>
          <w:rFonts w:ascii="Arial" w:hAnsi="Arial" w:cs="Arial"/>
          <w:sz w:val="22"/>
          <w:szCs w:val="22"/>
        </w:rPr>
        <w:t xml:space="preserve"> del Contrato de Concesión de Telefónica del Perú S.A.A. - Parte II,  aquellos en los que se encuentren instalados teléfonos públicos con recursos del FITEL y aquellos donde se han instalado teléfonos públicos por cuenta de las propias empresas operadoras de telefonía fija y de telefonía móvil. </w:t>
      </w:r>
    </w:p>
    <w:p w:rsidR="00C97ED4" w:rsidRPr="00CF55D4" w:rsidRDefault="00C97ED4" w:rsidP="00C97ED4">
      <w:pPr>
        <w:jc w:val="both"/>
        <w:rPr>
          <w:rFonts w:ascii="Arial" w:hAnsi="Arial" w:cs="Arial"/>
          <w:sz w:val="22"/>
          <w:szCs w:val="22"/>
        </w:rPr>
      </w:pPr>
    </w:p>
    <w:p w:rsidR="00C97ED4" w:rsidRPr="00CF55D4" w:rsidRDefault="00C97ED4" w:rsidP="00C97ED4">
      <w:pPr>
        <w:tabs>
          <w:tab w:val="left" w:pos="426"/>
        </w:tabs>
        <w:ind w:left="708" w:hanging="426"/>
        <w:jc w:val="both"/>
        <w:rPr>
          <w:rFonts w:ascii="Arial" w:hAnsi="Arial" w:cs="Arial"/>
          <w:sz w:val="22"/>
          <w:szCs w:val="22"/>
        </w:rPr>
      </w:pPr>
      <w:r>
        <w:rPr>
          <w:rFonts w:ascii="Arial" w:hAnsi="Arial" w:cs="Arial"/>
          <w:sz w:val="22"/>
          <w:szCs w:val="22"/>
        </w:rPr>
        <w:tab/>
      </w:r>
      <w:r w:rsidRPr="00CF55D4">
        <w:rPr>
          <w:rFonts w:ascii="Arial" w:hAnsi="Arial" w:cs="Arial"/>
          <w:sz w:val="22"/>
          <w:szCs w:val="22"/>
        </w:rPr>
        <w:tab/>
        <w:t xml:space="preserve">Asimismo, se incluyen bajo la denominación de Centros Poblados Rurales, los definidos por el MTC, </w:t>
      </w:r>
      <w:r w:rsidRPr="00CF55D4">
        <w:rPr>
          <w:rFonts w:ascii="Arial" w:eastAsia="Calibri" w:hAnsi="Arial" w:cs="Arial"/>
          <w:sz w:val="22"/>
          <w:szCs w:val="22"/>
        </w:rPr>
        <w:t>según el D.S.</w:t>
      </w:r>
      <w:r w:rsidRPr="00CF55D4">
        <w:rPr>
          <w:rFonts w:ascii="Arial" w:hAnsi="Arial" w:cs="Arial"/>
          <w:sz w:val="22"/>
          <w:szCs w:val="22"/>
        </w:rPr>
        <w:t xml:space="preserve"> Nº 024-2008-MTC</w:t>
      </w:r>
      <w:r>
        <w:rPr>
          <w:rStyle w:val="Refdenotaalpie"/>
          <w:rFonts w:ascii="Arial" w:hAnsi="Arial" w:cs="Arial"/>
          <w:sz w:val="22"/>
          <w:szCs w:val="22"/>
        </w:rPr>
        <w:footnoteReference w:id="1"/>
      </w:r>
      <w:r>
        <w:rPr>
          <w:rFonts w:ascii="Arial" w:hAnsi="Arial" w:cs="Arial"/>
          <w:sz w:val="22"/>
          <w:szCs w:val="22"/>
        </w:rPr>
        <w:t>.</w:t>
      </w:r>
    </w:p>
    <w:p w:rsidR="00C97ED4" w:rsidRPr="00CF55D4" w:rsidRDefault="00C97ED4" w:rsidP="00C97ED4">
      <w:pPr>
        <w:tabs>
          <w:tab w:val="left" w:pos="709"/>
        </w:tabs>
        <w:ind w:left="284"/>
        <w:jc w:val="both"/>
        <w:rPr>
          <w:rFonts w:ascii="Arial" w:hAnsi="Arial" w:cs="Arial"/>
          <w:sz w:val="22"/>
          <w:szCs w:val="22"/>
        </w:rPr>
      </w:pPr>
      <w:r>
        <w:rPr>
          <w:rFonts w:ascii="Arial" w:hAnsi="Arial" w:cs="Arial"/>
          <w:i/>
          <w:iCs/>
          <w:sz w:val="22"/>
          <w:szCs w:val="22"/>
        </w:rPr>
        <w:tab/>
      </w: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CONTINUIDAD DEL SERVICIO</w:t>
      </w:r>
    </w:p>
    <w:p w:rsidR="00C97ED4" w:rsidRPr="00CF55D4" w:rsidRDefault="00C97ED4" w:rsidP="00C97ED4">
      <w:pPr>
        <w:tabs>
          <w:tab w:val="left" w:pos="284"/>
        </w:tabs>
        <w:ind w:left="780" w:hanging="284"/>
        <w:jc w:val="both"/>
        <w:rPr>
          <w:rFonts w:ascii="Arial" w:hAnsi="Arial" w:cs="Arial"/>
          <w:sz w:val="22"/>
          <w:szCs w:val="22"/>
        </w:rPr>
      </w:pPr>
      <w:r w:rsidRPr="00CF55D4">
        <w:rPr>
          <w:rFonts w:ascii="Arial" w:hAnsi="Arial" w:cs="Arial"/>
          <w:sz w:val="22"/>
          <w:szCs w:val="22"/>
        </w:rPr>
        <w:tab/>
      </w:r>
      <w:r>
        <w:rPr>
          <w:rFonts w:ascii="Arial" w:hAnsi="Arial" w:cs="Arial"/>
          <w:sz w:val="22"/>
          <w:szCs w:val="22"/>
        </w:rPr>
        <w:t>Es la</w:t>
      </w:r>
      <w:r w:rsidRPr="00CF55D4">
        <w:rPr>
          <w:rFonts w:ascii="Arial" w:hAnsi="Arial" w:cs="Arial"/>
          <w:sz w:val="22"/>
          <w:szCs w:val="22"/>
        </w:rPr>
        <w:t xml:space="preserve"> obligación de la Empresa Concesionaria de prestar el servicio</w:t>
      </w:r>
      <w:r>
        <w:rPr>
          <w:rFonts w:ascii="Arial" w:hAnsi="Arial" w:cs="Arial"/>
          <w:sz w:val="22"/>
          <w:szCs w:val="22"/>
        </w:rPr>
        <w:t xml:space="preserve"> de telefonía de uso público de manera continua, permaneciendo </w:t>
      </w:r>
      <w:r w:rsidRPr="00CF55D4">
        <w:rPr>
          <w:rFonts w:ascii="Arial" w:hAnsi="Arial" w:cs="Arial"/>
          <w:sz w:val="22"/>
          <w:szCs w:val="22"/>
        </w:rPr>
        <w:t xml:space="preserve">en el Centro Poblado Rural durante el tiempo estipulado en su Contrato de Concesión. </w:t>
      </w:r>
    </w:p>
    <w:p w:rsidR="00C97ED4" w:rsidRPr="00CF55D4" w:rsidRDefault="00C97ED4" w:rsidP="00C97ED4">
      <w:pPr>
        <w:jc w:val="both"/>
        <w:rPr>
          <w:rFonts w:ascii="Arial" w:hAnsi="Arial" w:cs="Arial"/>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DISPONIBILIDAD DE SERVICIO</w:t>
      </w:r>
    </w:p>
    <w:p w:rsidR="00C97ED4" w:rsidRPr="00CF55D4" w:rsidRDefault="00C97ED4" w:rsidP="00C97ED4">
      <w:pPr>
        <w:tabs>
          <w:tab w:val="left" w:pos="284"/>
        </w:tabs>
        <w:ind w:left="780" w:hanging="284"/>
        <w:jc w:val="both"/>
        <w:rPr>
          <w:rFonts w:ascii="Arial" w:hAnsi="Arial" w:cs="Arial"/>
          <w:sz w:val="22"/>
          <w:szCs w:val="22"/>
        </w:rPr>
      </w:pPr>
      <w:r w:rsidRPr="00CF55D4">
        <w:rPr>
          <w:rFonts w:ascii="Arial" w:hAnsi="Arial" w:cs="Arial"/>
          <w:sz w:val="22"/>
          <w:szCs w:val="22"/>
        </w:rPr>
        <w:tab/>
      </w:r>
      <w:r>
        <w:rPr>
          <w:rFonts w:ascii="Arial" w:hAnsi="Arial" w:cs="Arial"/>
          <w:bCs/>
          <w:sz w:val="22"/>
          <w:szCs w:val="22"/>
        </w:rPr>
        <w:t>Es el</w:t>
      </w:r>
      <w:r w:rsidRPr="00CF55D4">
        <w:rPr>
          <w:rFonts w:ascii="Arial" w:hAnsi="Arial" w:cs="Arial"/>
          <w:bCs/>
          <w:sz w:val="22"/>
          <w:szCs w:val="22"/>
        </w:rPr>
        <w:t xml:space="preserve"> parámetro de calidad que </w:t>
      </w:r>
      <w:r w:rsidRPr="00CF55D4">
        <w:rPr>
          <w:rFonts w:ascii="Arial" w:hAnsi="Arial" w:cs="Arial"/>
          <w:sz w:val="22"/>
          <w:szCs w:val="22"/>
        </w:rPr>
        <w:t>mide la eficiencia de la operación y mantenimiento del servicio de telefonía pública por parte de una empresa concesionar</w:t>
      </w:r>
      <w:r>
        <w:rPr>
          <w:rFonts w:ascii="Arial" w:hAnsi="Arial" w:cs="Arial"/>
          <w:sz w:val="22"/>
          <w:szCs w:val="22"/>
        </w:rPr>
        <w:t>i</w:t>
      </w:r>
      <w:r w:rsidRPr="00CF55D4">
        <w:rPr>
          <w:rFonts w:ascii="Arial" w:hAnsi="Arial" w:cs="Arial"/>
          <w:sz w:val="22"/>
          <w:szCs w:val="22"/>
        </w:rPr>
        <w:t>a y se define como el porcentaje de tiempo con referencia a un año calendario, durante el cual el mencionado servicio, se encuentra operativo y en funcionamiento.</w:t>
      </w:r>
    </w:p>
    <w:p w:rsidR="00C97ED4" w:rsidRPr="00CF55D4" w:rsidRDefault="00C97ED4" w:rsidP="00C97ED4">
      <w:pPr>
        <w:jc w:val="both"/>
        <w:rPr>
          <w:rFonts w:ascii="Arial" w:hAnsi="Arial" w:cs="Arial"/>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 xml:space="preserve">SERVICIO TELEFÓNICO BAJO LA MODALIDAD DE TELÉFONOS PÚBLICOS.- </w:t>
      </w:r>
    </w:p>
    <w:p w:rsidR="00C97ED4" w:rsidRPr="00CF55D4" w:rsidRDefault="00C97ED4" w:rsidP="00C97ED4">
      <w:pPr>
        <w:tabs>
          <w:tab w:val="left" w:pos="284"/>
        </w:tabs>
        <w:ind w:left="780" w:hanging="284"/>
        <w:jc w:val="both"/>
        <w:rPr>
          <w:rFonts w:ascii="Arial" w:hAnsi="Arial" w:cs="Arial"/>
          <w:sz w:val="22"/>
          <w:szCs w:val="22"/>
        </w:rPr>
      </w:pPr>
      <w:r w:rsidRPr="00CF55D4">
        <w:rPr>
          <w:rFonts w:ascii="Arial" w:hAnsi="Arial" w:cs="Arial"/>
          <w:sz w:val="22"/>
          <w:szCs w:val="22"/>
        </w:rPr>
        <w:tab/>
        <w:t xml:space="preserve">Es el servicio público telefónico prestado mediante </w:t>
      </w:r>
      <w:r>
        <w:rPr>
          <w:rFonts w:ascii="Arial" w:hAnsi="Arial" w:cs="Arial"/>
          <w:sz w:val="22"/>
          <w:szCs w:val="22"/>
        </w:rPr>
        <w:t>equipos terminales</w:t>
      </w:r>
      <w:r w:rsidRPr="00CF55D4">
        <w:rPr>
          <w:rFonts w:ascii="Arial" w:hAnsi="Arial" w:cs="Arial"/>
          <w:sz w:val="22"/>
          <w:szCs w:val="22"/>
        </w:rPr>
        <w:t xml:space="preserve"> telefónicos, fijos, </w:t>
      </w:r>
      <w:proofErr w:type="spellStart"/>
      <w:r w:rsidRPr="00CF55D4">
        <w:rPr>
          <w:rFonts w:ascii="Arial" w:hAnsi="Arial" w:cs="Arial"/>
          <w:sz w:val="22"/>
          <w:szCs w:val="22"/>
        </w:rPr>
        <w:t>alámbricos</w:t>
      </w:r>
      <w:proofErr w:type="spellEnd"/>
      <w:r w:rsidRPr="00CF55D4">
        <w:rPr>
          <w:rFonts w:ascii="Arial" w:hAnsi="Arial" w:cs="Arial"/>
          <w:sz w:val="22"/>
          <w:szCs w:val="22"/>
        </w:rPr>
        <w:t xml:space="preserve"> o inalámbricos, para efectuar llamadas telefónicas utilizando monedas o tarjetas u otros medios de pago, instalados en forma unitaria, en cabinas o dispuestos en locutorios públicos.</w:t>
      </w:r>
    </w:p>
    <w:p w:rsidR="00C97ED4" w:rsidRDefault="00C97ED4" w:rsidP="00C97ED4">
      <w:pPr>
        <w:tabs>
          <w:tab w:val="left" w:pos="284"/>
        </w:tabs>
        <w:ind w:left="284" w:hanging="284"/>
        <w:jc w:val="both"/>
        <w:rPr>
          <w:rFonts w:ascii="Arial" w:hAnsi="Arial" w:cs="Arial"/>
          <w:sz w:val="22"/>
          <w:szCs w:val="22"/>
        </w:rPr>
      </w:pPr>
    </w:p>
    <w:p w:rsidR="00C97ED4" w:rsidRDefault="00C97ED4" w:rsidP="00C97ED4">
      <w:pPr>
        <w:tabs>
          <w:tab w:val="left" w:pos="284"/>
        </w:tabs>
        <w:ind w:left="284" w:hanging="284"/>
        <w:jc w:val="both"/>
        <w:rPr>
          <w:rFonts w:ascii="Arial" w:hAnsi="Arial" w:cs="Arial"/>
          <w:sz w:val="22"/>
          <w:szCs w:val="22"/>
        </w:rPr>
      </w:pPr>
    </w:p>
    <w:p w:rsidR="00C97ED4" w:rsidRDefault="00C97ED4" w:rsidP="00C97ED4">
      <w:pPr>
        <w:tabs>
          <w:tab w:val="left" w:pos="284"/>
        </w:tabs>
        <w:ind w:left="284" w:hanging="284"/>
        <w:jc w:val="both"/>
        <w:rPr>
          <w:rFonts w:ascii="Arial" w:hAnsi="Arial" w:cs="Arial"/>
          <w:sz w:val="22"/>
          <w:szCs w:val="22"/>
        </w:rPr>
      </w:pPr>
    </w:p>
    <w:p w:rsidR="00C97ED4" w:rsidRDefault="00C97ED4" w:rsidP="00C97ED4">
      <w:pPr>
        <w:tabs>
          <w:tab w:val="left" w:pos="284"/>
        </w:tabs>
        <w:ind w:left="284" w:hanging="284"/>
        <w:jc w:val="both"/>
        <w:rPr>
          <w:rFonts w:ascii="Arial" w:hAnsi="Arial" w:cs="Arial"/>
          <w:sz w:val="22"/>
          <w:szCs w:val="22"/>
        </w:rPr>
      </w:pPr>
    </w:p>
    <w:p w:rsidR="00C97ED4" w:rsidRPr="00CF55D4" w:rsidRDefault="00C97ED4" w:rsidP="00C97ED4">
      <w:pPr>
        <w:tabs>
          <w:tab w:val="left" w:pos="284"/>
        </w:tabs>
        <w:ind w:left="284" w:hanging="284"/>
        <w:jc w:val="both"/>
        <w:rPr>
          <w:rFonts w:ascii="Arial" w:hAnsi="Arial" w:cs="Arial"/>
          <w:sz w:val="22"/>
          <w:szCs w:val="22"/>
        </w:rPr>
      </w:pPr>
    </w:p>
    <w:p w:rsidR="00C97ED4" w:rsidRPr="00EC4EEE" w:rsidRDefault="00C97ED4" w:rsidP="00C97ED4">
      <w:pPr>
        <w:pStyle w:val="Prrafodelista"/>
        <w:numPr>
          <w:ilvl w:val="0"/>
          <w:numId w:val="2"/>
        </w:numPr>
        <w:tabs>
          <w:tab w:val="left" w:pos="426"/>
        </w:tabs>
        <w:jc w:val="both"/>
        <w:rPr>
          <w:rFonts w:ascii="Arial" w:hAnsi="Arial" w:cs="Arial"/>
          <w:b/>
          <w:bCs/>
        </w:rPr>
      </w:pPr>
      <w:r w:rsidRPr="00EC4EEE">
        <w:rPr>
          <w:rFonts w:ascii="Arial" w:hAnsi="Arial" w:cs="Arial"/>
          <w:b/>
          <w:bCs/>
        </w:rPr>
        <w:t>TELÉFONO DE USO PÚBLICO</w:t>
      </w:r>
    </w:p>
    <w:p w:rsidR="00C97ED4" w:rsidRPr="00EC4EEE" w:rsidRDefault="00C97ED4" w:rsidP="00C97ED4">
      <w:pPr>
        <w:tabs>
          <w:tab w:val="left" w:pos="284"/>
        </w:tabs>
        <w:ind w:left="780"/>
        <w:jc w:val="both"/>
        <w:rPr>
          <w:rFonts w:ascii="Arial" w:hAnsi="Arial" w:cs="Arial"/>
          <w:bCs/>
          <w:sz w:val="22"/>
          <w:szCs w:val="22"/>
        </w:rPr>
      </w:pPr>
      <w:r>
        <w:rPr>
          <w:rFonts w:ascii="Arial" w:hAnsi="Arial" w:cs="Arial"/>
          <w:bCs/>
          <w:sz w:val="22"/>
          <w:szCs w:val="22"/>
        </w:rPr>
        <w:t>Equipo Terminal te</w:t>
      </w:r>
      <w:r w:rsidRPr="00EC4EEE">
        <w:rPr>
          <w:rFonts w:ascii="Arial" w:hAnsi="Arial" w:cs="Arial"/>
          <w:bCs/>
          <w:sz w:val="22"/>
          <w:szCs w:val="22"/>
        </w:rPr>
        <w:t>lefónico de cualquier tipo de tecnología que se encuentra a disposición del público en general</w:t>
      </w:r>
      <w:r>
        <w:rPr>
          <w:rFonts w:ascii="Arial" w:hAnsi="Arial" w:cs="Arial"/>
          <w:bCs/>
          <w:sz w:val="22"/>
          <w:szCs w:val="22"/>
        </w:rPr>
        <w:t>, permitiendo generar y recibir llamadas.</w:t>
      </w:r>
    </w:p>
    <w:p w:rsidR="00C97ED4" w:rsidRPr="00EC4EEE" w:rsidRDefault="00C97ED4" w:rsidP="00C97ED4">
      <w:pPr>
        <w:tabs>
          <w:tab w:val="left" w:pos="1843"/>
        </w:tabs>
        <w:ind w:left="426" w:hanging="284"/>
        <w:jc w:val="both"/>
        <w:rPr>
          <w:rFonts w:ascii="Arial" w:hAnsi="Arial" w:cs="Arial"/>
          <w:bCs/>
          <w:sz w:val="22"/>
          <w:szCs w:val="22"/>
        </w:rPr>
      </w:pPr>
      <w:r w:rsidRPr="00EC4EEE">
        <w:rPr>
          <w:rFonts w:ascii="Arial" w:hAnsi="Arial" w:cs="Arial"/>
          <w:bCs/>
          <w:sz w:val="22"/>
          <w:szCs w:val="22"/>
        </w:rPr>
        <w:tab/>
      </w:r>
      <w:r w:rsidRPr="00EC4EEE">
        <w:rPr>
          <w:rFonts w:ascii="Arial" w:hAnsi="Arial" w:cs="Arial"/>
          <w:bCs/>
          <w:sz w:val="22"/>
          <w:szCs w:val="22"/>
        </w:rPr>
        <w:tab/>
      </w:r>
    </w:p>
    <w:p w:rsidR="00C97ED4" w:rsidRPr="00CF55D4" w:rsidRDefault="00C97ED4" w:rsidP="00C97ED4">
      <w:pPr>
        <w:pStyle w:val="Prrafodelista"/>
        <w:numPr>
          <w:ilvl w:val="0"/>
          <w:numId w:val="2"/>
        </w:numPr>
        <w:tabs>
          <w:tab w:val="left" w:pos="426"/>
        </w:tabs>
        <w:jc w:val="both"/>
        <w:rPr>
          <w:rFonts w:ascii="Arial" w:hAnsi="Arial" w:cs="Arial"/>
          <w:b/>
          <w:bCs/>
        </w:rPr>
      </w:pPr>
      <w:r>
        <w:rPr>
          <w:rFonts w:ascii="Arial" w:hAnsi="Arial" w:cs="Arial"/>
          <w:b/>
          <w:bCs/>
        </w:rPr>
        <w:t xml:space="preserve">SOLICITUD DE </w:t>
      </w:r>
      <w:r w:rsidRPr="00CF55D4">
        <w:rPr>
          <w:rFonts w:ascii="Arial" w:hAnsi="Arial" w:cs="Arial"/>
          <w:b/>
          <w:bCs/>
        </w:rPr>
        <w:t>EXCLUSIÓN</w:t>
      </w:r>
    </w:p>
    <w:p w:rsidR="00C97ED4" w:rsidRDefault="00C97ED4" w:rsidP="00C97ED4">
      <w:pPr>
        <w:tabs>
          <w:tab w:val="left" w:pos="284"/>
        </w:tabs>
        <w:ind w:left="780"/>
        <w:jc w:val="both"/>
        <w:rPr>
          <w:rFonts w:ascii="Arial" w:hAnsi="Arial" w:cs="Arial"/>
          <w:sz w:val="22"/>
          <w:szCs w:val="22"/>
        </w:rPr>
      </w:pPr>
      <w:r>
        <w:rPr>
          <w:rFonts w:ascii="Arial" w:hAnsi="Arial" w:cs="Arial"/>
          <w:sz w:val="22"/>
          <w:szCs w:val="22"/>
        </w:rPr>
        <w:t xml:space="preserve">Solicitud formulada por la empresa operadora, destinada a excluir del tiempo Sin Acceso al Servicio, aquellos períodos en que se interrumpió el servicio por caso fortuito o fuerza mayor. </w:t>
      </w:r>
    </w:p>
    <w:p w:rsidR="00C97ED4" w:rsidRDefault="00C97ED4" w:rsidP="00C97ED4">
      <w:pPr>
        <w:tabs>
          <w:tab w:val="left" w:pos="284"/>
        </w:tabs>
        <w:ind w:left="780"/>
        <w:jc w:val="both"/>
        <w:rPr>
          <w:rFonts w:ascii="Arial" w:hAnsi="Arial" w:cs="Arial"/>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Pr>
          <w:rFonts w:ascii="Arial" w:hAnsi="Arial" w:cs="Arial"/>
          <w:b/>
          <w:bCs/>
        </w:rPr>
        <w:t>EMPRENDEDOR</w:t>
      </w:r>
    </w:p>
    <w:p w:rsidR="00C97ED4" w:rsidRDefault="00C97ED4" w:rsidP="00C97ED4">
      <w:pPr>
        <w:tabs>
          <w:tab w:val="left" w:pos="426"/>
        </w:tabs>
        <w:ind w:left="780"/>
        <w:jc w:val="both"/>
        <w:rPr>
          <w:rFonts w:ascii="Arial" w:hAnsi="Arial" w:cs="Arial"/>
          <w:sz w:val="22"/>
          <w:szCs w:val="22"/>
        </w:rPr>
      </w:pPr>
      <w:r>
        <w:rPr>
          <w:rFonts w:ascii="Arial" w:hAnsi="Arial" w:cs="Arial"/>
          <w:sz w:val="22"/>
          <w:szCs w:val="22"/>
        </w:rPr>
        <w:t xml:space="preserve">Es la persona natural o jurídica que facilita la prestación del servicio de telefonía pública a las empresas operadoras. Esta denominación incluye a los denominados “concesionarios”, “arrendadores” o cualquier otro similar, que se originaron en los contratos de financiamiento de FITEL. </w:t>
      </w:r>
    </w:p>
    <w:p w:rsidR="00C97ED4" w:rsidRDefault="00C97ED4" w:rsidP="00C97ED4">
      <w:pPr>
        <w:tabs>
          <w:tab w:val="left" w:pos="426"/>
        </w:tabs>
        <w:ind w:left="780"/>
        <w:jc w:val="both"/>
        <w:rPr>
          <w:rFonts w:ascii="Arial" w:hAnsi="Arial" w:cs="Arial"/>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 xml:space="preserve">TÉRMINO DE LA DISTANCIA (TD).- </w:t>
      </w:r>
    </w:p>
    <w:p w:rsidR="00C97ED4" w:rsidRPr="00CF55D4" w:rsidRDefault="00C97ED4" w:rsidP="00C97ED4">
      <w:pPr>
        <w:tabs>
          <w:tab w:val="left" w:pos="426"/>
        </w:tabs>
        <w:ind w:left="780" w:hanging="426"/>
        <w:jc w:val="both"/>
        <w:rPr>
          <w:rFonts w:ascii="Arial" w:hAnsi="Arial" w:cs="Arial"/>
          <w:bCs/>
          <w:sz w:val="22"/>
          <w:szCs w:val="22"/>
        </w:rPr>
      </w:pPr>
      <w:r w:rsidRPr="00CF55D4">
        <w:rPr>
          <w:rFonts w:ascii="Arial" w:hAnsi="Arial" w:cs="Arial"/>
          <w:bCs/>
          <w:sz w:val="22"/>
          <w:szCs w:val="22"/>
        </w:rPr>
        <w:tab/>
      </w:r>
      <w:r>
        <w:rPr>
          <w:rFonts w:ascii="Arial" w:hAnsi="Arial" w:cs="Arial"/>
          <w:bCs/>
          <w:sz w:val="22"/>
          <w:szCs w:val="22"/>
        </w:rPr>
        <w:tab/>
      </w:r>
      <w:r w:rsidRPr="00CF55D4">
        <w:rPr>
          <w:rFonts w:ascii="Arial" w:hAnsi="Arial" w:cs="Arial"/>
          <w:bCs/>
          <w:sz w:val="22"/>
          <w:szCs w:val="22"/>
        </w:rPr>
        <w:t xml:space="preserve">Tiempo que se demora el personal de mantenimiento de la empresa concesionaria,  en llegar desde el Centro de Operación y Mantenimiento (O&amp;M) más cercano, hasta el </w:t>
      </w:r>
      <w:r>
        <w:rPr>
          <w:rFonts w:ascii="Arial" w:hAnsi="Arial" w:cs="Arial"/>
          <w:bCs/>
          <w:sz w:val="22"/>
          <w:szCs w:val="22"/>
        </w:rPr>
        <w:t>Centro Poblado Rural</w:t>
      </w:r>
      <w:r w:rsidRPr="00CF55D4">
        <w:rPr>
          <w:rFonts w:ascii="Arial" w:hAnsi="Arial" w:cs="Arial"/>
          <w:bCs/>
          <w:sz w:val="22"/>
          <w:szCs w:val="22"/>
        </w:rPr>
        <w:t xml:space="preserve"> cuyo </w:t>
      </w:r>
      <w:r>
        <w:rPr>
          <w:rFonts w:ascii="Arial" w:hAnsi="Arial" w:cs="Arial"/>
          <w:bCs/>
          <w:sz w:val="22"/>
          <w:szCs w:val="22"/>
        </w:rPr>
        <w:t xml:space="preserve">Teléfono de Uso Público </w:t>
      </w:r>
      <w:r w:rsidRPr="00CF55D4">
        <w:rPr>
          <w:rFonts w:ascii="Arial" w:hAnsi="Arial" w:cs="Arial"/>
          <w:bCs/>
          <w:sz w:val="22"/>
          <w:szCs w:val="22"/>
        </w:rPr>
        <w:t xml:space="preserve">está interrumpido o con avería. El Término de la Distancia es propuesto por las empresas concesionarias dentro del primer mes de cada año calendario y debe  incluir el Tiempo de Preparación de Viaje (TPV). </w:t>
      </w:r>
      <w:r>
        <w:rPr>
          <w:rFonts w:ascii="Arial" w:hAnsi="Arial" w:cs="Arial"/>
          <w:bCs/>
          <w:sz w:val="22"/>
          <w:szCs w:val="22"/>
        </w:rPr>
        <w:t xml:space="preserve">La Gerencia de Fiscalización y Supervisión del </w:t>
      </w:r>
      <w:r w:rsidRPr="00CF55D4">
        <w:rPr>
          <w:rFonts w:ascii="Arial" w:hAnsi="Arial" w:cs="Arial"/>
          <w:bCs/>
          <w:sz w:val="22"/>
          <w:szCs w:val="22"/>
        </w:rPr>
        <w:t xml:space="preserve">OSIPTEL </w:t>
      </w:r>
      <w:proofErr w:type="gramStart"/>
      <w:r w:rsidRPr="00CF55D4">
        <w:rPr>
          <w:rFonts w:ascii="Arial" w:hAnsi="Arial" w:cs="Arial"/>
          <w:bCs/>
          <w:sz w:val="22"/>
          <w:szCs w:val="22"/>
        </w:rPr>
        <w:t>evalua</w:t>
      </w:r>
      <w:r>
        <w:rPr>
          <w:rFonts w:ascii="Arial" w:hAnsi="Arial" w:cs="Arial"/>
          <w:bCs/>
          <w:sz w:val="22"/>
          <w:szCs w:val="22"/>
        </w:rPr>
        <w:t>rá</w:t>
      </w:r>
      <w:proofErr w:type="gramEnd"/>
      <w:r>
        <w:rPr>
          <w:rFonts w:ascii="Arial" w:hAnsi="Arial" w:cs="Arial"/>
          <w:bCs/>
          <w:sz w:val="22"/>
          <w:szCs w:val="22"/>
        </w:rPr>
        <w:t xml:space="preserve"> la propuesta de la empresa operadora y determinará el Término de la Distancia.</w:t>
      </w:r>
    </w:p>
    <w:p w:rsidR="00C97ED4" w:rsidRPr="00CF55D4" w:rsidRDefault="00C97ED4" w:rsidP="00C97ED4">
      <w:pPr>
        <w:jc w:val="both"/>
        <w:rPr>
          <w:rFonts w:ascii="Arial" w:hAnsi="Arial" w:cs="Arial"/>
          <w:b/>
          <w:bCs/>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TIEMPO DE PREPARACIÓN DE VIAJE</w:t>
      </w:r>
    </w:p>
    <w:p w:rsidR="00C97ED4" w:rsidRPr="00CF55D4" w:rsidRDefault="00C97ED4" w:rsidP="00C97ED4">
      <w:pPr>
        <w:tabs>
          <w:tab w:val="left" w:pos="426"/>
        </w:tabs>
        <w:ind w:left="780" w:hanging="426"/>
        <w:jc w:val="both"/>
        <w:rPr>
          <w:rFonts w:ascii="Arial" w:hAnsi="Arial" w:cs="Arial"/>
          <w:bCs/>
          <w:sz w:val="22"/>
          <w:szCs w:val="22"/>
        </w:rPr>
      </w:pPr>
      <w:r w:rsidRPr="00CF55D4">
        <w:rPr>
          <w:rFonts w:ascii="Arial" w:hAnsi="Arial" w:cs="Arial"/>
          <w:bCs/>
          <w:sz w:val="22"/>
          <w:szCs w:val="22"/>
        </w:rPr>
        <w:tab/>
      </w:r>
      <w:r>
        <w:rPr>
          <w:rFonts w:ascii="Arial" w:hAnsi="Arial" w:cs="Arial"/>
          <w:bCs/>
          <w:sz w:val="22"/>
          <w:szCs w:val="22"/>
        </w:rPr>
        <w:tab/>
      </w:r>
      <w:r w:rsidRPr="00CF55D4">
        <w:rPr>
          <w:rFonts w:ascii="Arial" w:hAnsi="Arial" w:cs="Arial"/>
          <w:bCs/>
          <w:sz w:val="22"/>
          <w:szCs w:val="22"/>
        </w:rPr>
        <w:t>Es el tiempo, incluido en el Término de la Distancia, que toma una empresa concesionaria para preparar el equipamiento e insumos para la reparación de una interrupción o avería de un centro poblado reportado.</w:t>
      </w:r>
    </w:p>
    <w:p w:rsidR="00C97ED4" w:rsidRPr="00CF55D4" w:rsidRDefault="00C97ED4" w:rsidP="00C97ED4">
      <w:pPr>
        <w:jc w:val="both"/>
        <w:rPr>
          <w:rFonts w:ascii="Arial" w:hAnsi="Arial" w:cs="Arial"/>
          <w:b/>
          <w:bCs/>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BOLETA DE REPARACIÓN</w:t>
      </w:r>
    </w:p>
    <w:p w:rsidR="00C97ED4" w:rsidRPr="00CF55D4" w:rsidRDefault="00C97ED4" w:rsidP="00C97ED4">
      <w:pPr>
        <w:tabs>
          <w:tab w:val="left" w:pos="426"/>
        </w:tabs>
        <w:ind w:left="780" w:hanging="426"/>
        <w:jc w:val="both"/>
        <w:rPr>
          <w:rFonts w:ascii="Arial" w:hAnsi="Arial" w:cs="Arial"/>
          <w:b/>
          <w:bCs/>
          <w:sz w:val="22"/>
          <w:szCs w:val="22"/>
        </w:rPr>
      </w:pPr>
      <w:r w:rsidRPr="00CF55D4">
        <w:rPr>
          <w:rFonts w:ascii="Arial" w:hAnsi="Arial" w:cs="Arial"/>
          <w:b/>
          <w:bCs/>
          <w:sz w:val="22"/>
          <w:szCs w:val="22"/>
        </w:rPr>
        <w:tab/>
      </w:r>
      <w:r>
        <w:rPr>
          <w:rFonts w:ascii="Arial" w:hAnsi="Arial" w:cs="Arial"/>
          <w:b/>
          <w:bCs/>
          <w:sz w:val="22"/>
          <w:szCs w:val="22"/>
        </w:rPr>
        <w:tab/>
      </w:r>
      <w:r w:rsidRPr="00CF55D4">
        <w:rPr>
          <w:rFonts w:ascii="Arial" w:hAnsi="Arial" w:cs="Arial"/>
          <w:bCs/>
          <w:sz w:val="22"/>
          <w:szCs w:val="22"/>
        </w:rPr>
        <w:t>Documento utilizado por el personal técnico de las empresas concesionarias en el cual se deja constancia de la labor realizada, tanto si se trata de mantenimiento preventivo o de mantenimiento correctivo.</w:t>
      </w:r>
    </w:p>
    <w:p w:rsidR="00C97ED4" w:rsidRPr="00CF55D4" w:rsidRDefault="00C97ED4" w:rsidP="00C97ED4">
      <w:pPr>
        <w:tabs>
          <w:tab w:val="left" w:pos="426"/>
        </w:tabs>
        <w:ind w:left="426" w:hanging="426"/>
        <w:jc w:val="both"/>
        <w:rPr>
          <w:rFonts w:ascii="Arial" w:hAnsi="Arial" w:cs="Arial"/>
          <w:bCs/>
          <w:sz w:val="22"/>
          <w:szCs w:val="22"/>
        </w:rPr>
      </w:pPr>
    </w:p>
    <w:p w:rsidR="00C97ED4" w:rsidRPr="00CF55D4" w:rsidRDefault="00C97ED4" w:rsidP="00C97ED4">
      <w:pPr>
        <w:pStyle w:val="Prrafodelista"/>
        <w:numPr>
          <w:ilvl w:val="0"/>
          <w:numId w:val="2"/>
        </w:numPr>
        <w:tabs>
          <w:tab w:val="left" w:pos="426"/>
        </w:tabs>
        <w:jc w:val="both"/>
        <w:rPr>
          <w:rFonts w:ascii="Arial" w:hAnsi="Arial" w:cs="Arial"/>
          <w:b/>
          <w:bCs/>
        </w:rPr>
      </w:pPr>
      <w:r w:rsidRPr="00CF55D4">
        <w:rPr>
          <w:rFonts w:ascii="Arial" w:hAnsi="Arial" w:cs="Arial"/>
          <w:b/>
          <w:bCs/>
        </w:rPr>
        <w:t>INFORME MENSUAL DE OCURRENCIAS</w:t>
      </w:r>
    </w:p>
    <w:p w:rsidR="00C97ED4" w:rsidRPr="00CF55D4" w:rsidRDefault="00C97ED4" w:rsidP="00C97ED4">
      <w:pPr>
        <w:tabs>
          <w:tab w:val="left" w:pos="426"/>
        </w:tabs>
        <w:ind w:left="780"/>
        <w:jc w:val="both"/>
        <w:rPr>
          <w:rFonts w:ascii="Arial" w:hAnsi="Arial" w:cs="Arial"/>
          <w:sz w:val="22"/>
          <w:szCs w:val="22"/>
        </w:rPr>
      </w:pPr>
      <w:r>
        <w:rPr>
          <w:rFonts w:ascii="Arial" w:hAnsi="Arial" w:cs="Arial"/>
          <w:sz w:val="22"/>
          <w:szCs w:val="22"/>
        </w:rPr>
        <w:t>Es el i</w:t>
      </w:r>
      <w:r w:rsidRPr="00CF55D4">
        <w:rPr>
          <w:rFonts w:ascii="Arial" w:hAnsi="Arial" w:cs="Arial"/>
          <w:sz w:val="22"/>
          <w:szCs w:val="22"/>
        </w:rPr>
        <w:t>nforme mensual en el que las empresas concesionarias deben presentar las ocurrencias (interrupciones y averías) y sus solicitudes de exclusión del mes anterior por cada teléfono público y por cada localidad.</w:t>
      </w:r>
    </w:p>
    <w:p w:rsidR="00C97ED4" w:rsidRPr="00CF55D4" w:rsidRDefault="00C97ED4" w:rsidP="00C97ED4">
      <w:pPr>
        <w:tabs>
          <w:tab w:val="left" w:pos="426"/>
        </w:tabs>
        <w:ind w:left="426" w:hanging="426"/>
        <w:jc w:val="both"/>
        <w:rPr>
          <w:rFonts w:ascii="Arial" w:hAnsi="Arial" w:cs="Arial"/>
          <w:bCs/>
          <w:sz w:val="22"/>
          <w:szCs w:val="22"/>
        </w:rPr>
      </w:pPr>
      <w:r w:rsidRPr="00CF55D4">
        <w:rPr>
          <w:rFonts w:ascii="Arial" w:hAnsi="Arial" w:cs="Arial"/>
          <w:sz w:val="22"/>
          <w:szCs w:val="22"/>
        </w:rPr>
        <w:tab/>
      </w:r>
    </w:p>
    <w:p w:rsidR="00C97ED4" w:rsidRPr="004C00AF" w:rsidRDefault="00C97ED4" w:rsidP="00C97ED4">
      <w:pPr>
        <w:pStyle w:val="Prrafodelista"/>
        <w:numPr>
          <w:ilvl w:val="0"/>
          <w:numId w:val="1"/>
        </w:numPr>
        <w:spacing w:before="40" w:after="40"/>
        <w:jc w:val="both"/>
        <w:rPr>
          <w:rFonts w:ascii="Arial" w:hAnsi="Arial" w:cs="Arial"/>
          <w:b/>
        </w:rPr>
      </w:pPr>
      <w:r w:rsidRPr="004C00AF">
        <w:rPr>
          <w:rFonts w:ascii="Arial" w:hAnsi="Arial" w:cs="Arial"/>
          <w:b/>
        </w:rPr>
        <w:t>Definiciones adicionales</w:t>
      </w:r>
    </w:p>
    <w:p w:rsidR="0087317A" w:rsidRPr="00C97ED4" w:rsidRDefault="00C97ED4" w:rsidP="00C97ED4">
      <w:pPr>
        <w:jc w:val="both"/>
        <w:rPr>
          <w:rFonts w:ascii="Arial" w:hAnsi="Arial" w:cs="Arial"/>
          <w:sz w:val="22"/>
          <w:szCs w:val="22"/>
        </w:rPr>
      </w:pPr>
      <w:r w:rsidRPr="00CF55D4">
        <w:rPr>
          <w:rFonts w:ascii="Arial" w:hAnsi="Arial" w:cs="Arial"/>
          <w:sz w:val="22"/>
          <w:szCs w:val="22"/>
        </w:rPr>
        <w:t xml:space="preserve">Las definiciones detalladas en el artículo 1 del presente Anexo del Reglamento no son limitativas y en ausencia de definición expresa se utilizarán las definiciones contenidas en </w:t>
      </w:r>
      <w:r>
        <w:rPr>
          <w:rFonts w:ascii="Arial" w:hAnsi="Arial" w:cs="Arial"/>
          <w:sz w:val="22"/>
          <w:szCs w:val="22"/>
        </w:rPr>
        <w:t xml:space="preserve">la normativa del OSIPTEL, </w:t>
      </w:r>
      <w:r w:rsidRPr="00CF55D4">
        <w:rPr>
          <w:rFonts w:ascii="Arial" w:hAnsi="Arial" w:cs="Arial"/>
          <w:sz w:val="22"/>
          <w:szCs w:val="22"/>
        </w:rPr>
        <w:t>la Ley de Telecomunicaciones, su Reglamento General y las demás normas aplicables. Asimismo, podrán utilizarse supletoriamente las definiciones</w:t>
      </w:r>
      <w:r>
        <w:rPr>
          <w:rFonts w:ascii="Arial" w:hAnsi="Arial" w:cs="Arial"/>
          <w:sz w:val="22"/>
          <w:szCs w:val="22"/>
        </w:rPr>
        <w:t xml:space="preserve"> adoptadas por la UIT y la ETSI, en cuanto sean aplicables.</w:t>
      </w:r>
    </w:p>
    <w:sectPr w:rsidR="0087317A" w:rsidRPr="00C97ED4" w:rsidSect="00C267F0">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B36" w:rsidRDefault="00113B36" w:rsidP="00C97ED4">
      <w:r>
        <w:separator/>
      </w:r>
    </w:p>
  </w:endnote>
  <w:endnote w:type="continuationSeparator" w:id="0">
    <w:p w:rsidR="00113B36" w:rsidRDefault="00113B36" w:rsidP="00C97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B6" w:rsidRDefault="00113B36" w:rsidP="00146E9D">
    <w:pPr>
      <w:pStyle w:val="Piedepgina"/>
      <w:jc w:val="center"/>
    </w:pPr>
  </w:p>
  <w:p w:rsidR="00587EB6" w:rsidRDefault="00113B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B36" w:rsidRDefault="00113B36" w:rsidP="00C97ED4">
      <w:r>
        <w:separator/>
      </w:r>
    </w:p>
  </w:footnote>
  <w:footnote w:type="continuationSeparator" w:id="0">
    <w:p w:rsidR="00113B36" w:rsidRDefault="00113B36" w:rsidP="00C97ED4">
      <w:r>
        <w:continuationSeparator/>
      </w:r>
    </w:p>
  </w:footnote>
  <w:footnote w:id="1">
    <w:p w:rsidR="00C97ED4" w:rsidRPr="009467D9" w:rsidRDefault="00C97ED4" w:rsidP="00C97ED4">
      <w:pPr>
        <w:tabs>
          <w:tab w:val="left" w:pos="709"/>
        </w:tabs>
        <w:ind w:left="284"/>
        <w:jc w:val="both"/>
        <w:rPr>
          <w:rFonts w:ascii="Arial" w:hAnsi="Arial" w:cs="Arial"/>
          <w:i/>
          <w:iCs/>
          <w:sz w:val="16"/>
          <w:szCs w:val="16"/>
        </w:rPr>
      </w:pPr>
      <w:r>
        <w:rPr>
          <w:rStyle w:val="Refdenotaalpie"/>
        </w:rPr>
        <w:footnoteRef/>
      </w:r>
      <w:r>
        <w:t xml:space="preserve"> </w:t>
      </w:r>
      <w:r w:rsidRPr="009467D9">
        <w:rPr>
          <w:rFonts w:ascii="Arial" w:hAnsi="Arial" w:cs="Arial"/>
          <w:i/>
          <w:iCs/>
          <w:sz w:val="16"/>
          <w:szCs w:val="16"/>
        </w:rPr>
        <w:t xml:space="preserve">Artículo 8.- Área Rural </w:t>
      </w:r>
    </w:p>
    <w:p w:rsidR="00C97ED4" w:rsidRPr="009467D9" w:rsidRDefault="00C97ED4" w:rsidP="00C97ED4">
      <w:pPr>
        <w:tabs>
          <w:tab w:val="left" w:pos="709"/>
          <w:tab w:val="left" w:pos="1134"/>
        </w:tabs>
        <w:ind w:left="1134" w:hanging="425"/>
        <w:jc w:val="both"/>
        <w:rPr>
          <w:rFonts w:ascii="Arial" w:hAnsi="Arial" w:cs="Arial"/>
          <w:i/>
          <w:iCs/>
          <w:sz w:val="16"/>
          <w:szCs w:val="16"/>
        </w:rPr>
      </w:pPr>
      <w:r w:rsidRPr="009467D9">
        <w:rPr>
          <w:rFonts w:ascii="Arial" w:hAnsi="Arial" w:cs="Arial"/>
          <w:i/>
          <w:iCs/>
          <w:sz w:val="16"/>
          <w:szCs w:val="16"/>
        </w:rPr>
        <w:t xml:space="preserve">8.1. Se considera área rural a los centros poblados que cumplan con las tres (3) siguientes condiciones: </w:t>
      </w:r>
    </w:p>
    <w:p w:rsidR="00C97ED4" w:rsidRPr="009467D9" w:rsidRDefault="00C97ED4" w:rsidP="00C97ED4">
      <w:pPr>
        <w:tabs>
          <w:tab w:val="left" w:pos="709"/>
          <w:tab w:val="left" w:pos="1418"/>
          <w:tab w:val="left" w:pos="1701"/>
        </w:tabs>
        <w:ind w:left="284"/>
        <w:jc w:val="both"/>
        <w:rPr>
          <w:rFonts w:ascii="Arial" w:hAnsi="Arial" w:cs="Arial"/>
          <w:i/>
          <w:iCs/>
          <w:sz w:val="16"/>
          <w:szCs w:val="16"/>
        </w:rPr>
      </w:pPr>
      <w:r w:rsidRPr="009467D9">
        <w:rPr>
          <w:rFonts w:ascii="Arial" w:hAnsi="Arial" w:cs="Arial"/>
          <w:i/>
          <w:iCs/>
          <w:sz w:val="16"/>
          <w:szCs w:val="16"/>
        </w:rPr>
        <w:tab/>
      </w:r>
      <w:r w:rsidRPr="009467D9">
        <w:rPr>
          <w:rFonts w:ascii="Arial" w:hAnsi="Arial" w:cs="Arial"/>
          <w:i/>
          <w:iCs/>
          <w:sz w:val="16"/>
          <w:szCs w:val="16"/>
        </w:rPr>
        <w:tab/>
        <w:t xml:space="preserve">a) </w:t>
      </w:r>
      <w:r w:rsidRPr="009467D9">
        <w:rPr>
          <w:rFonts w:ascii="Arial" w:hAnsi="Arial" w:cs="Arial"/>
          <w:i/>
          <w:iCs/>
          <w:sz w:val="16"/>
          <w:szCs w:val="16"/>
        </w:rPr>
        <w:tab/>
        <w:t xml:space="preserve">Aquellos que no formen parte de las áreas urbanas según el INEI. </w:t>
      </w:r>
    </w:p>
    <w:p w:rsidR="00C97ED4" w:rsidRPr="009467D9" w:rsidRDefault="00C97ED4" w:rsidP="00C97ED4">
      <w:pPr>
        <w:tabs>
          <w:tab w:val="left" w:pos="-2977"/>
          <w:tab w:val="left" w:pos="-2552"/>
          <w:tab w:val="left" w:pos="1701"/>
        </w:tabs>
        <w:ind w:left="1701" w:hanging="283"/>
        <w:jc w:val="both"/>
        <w:rPr>
          <w:rFonts w:ascii="Arial" w:hAnsi="Arial" w:cs="Arial"/>
          <w:i/>
          <w:iCs/>
          <w:sz w:val="16"/>
          <w:szCs w:val="16"/>
        </w:rPr>
      </w:pPr>
      <w:r w:rsidRPr="009467D9">
        <w:rPr>
          <w:rFonts w:ascii="Arial" w:hAnsi="Arial" w:cs="Arial"/>
          <w:i/>
          <w:iCs/>
          <w:sz w:val="16"/>
          <w:szCs w:val="16"/>
        </w:rPr>
        <w:t xml:space="preserve">b) Que cuenten con una población de menos de 3000 habitantes, según el  último censo poblacional del INEI o su proyección oficial, de ser ésta más reciente; y, </w:t>
      </w:r>
    </w:p>
    <w:p w:rsidR="00C97ED4" w:rsidRPr="009467D9" w:rsidRDefault="00C97ED4" w:rsidP="00C97ED4">
      <w:pPr>
        <w:tabs>
          <w:tab w:val="left" w:pos="-2977"/>
          <w:tab w:val="left" w:pos="-2552"/>
          <w:tab w:val="left" w:pos="1701"/>
        </w:tabs>
        <w:ind w:left="1701" w:hanging="283"/>
        <w:jc w:val="both"/>
        <w:rPr>
          <w:rFonts w:ascii="Arial" w:hAnsi="Arial" w:cs="Arial"/>
          <w:i/>
          <w:iCs/>
          <w:sz w:val="16"/>
          <w:szCs w:val="16"/>
        </w:rPr>
      </w:pPr>
      <w:r w:rsidRPr="009467D9">
        <w:rPr>
          <w:rFonts w:ascii="Arial" w:hAnsi="Arial" w:cs="Arial"/>
          <w:i/>
          <w:iCs/>
          <w:sz w:val="16"/>
          <w:szCs w:val="16"/>
        </w:rPr>
        <w:t xml:space="preserve">c) Que tengan escasez de servicios básicos. </w:t>
      </w:r>
    </w:p>
    <w:p w:rsidR="00C97ED4" w:rsidRPr="009467D9" w:rsidRDefault="00C97ED4" w:rsidP="00C97ED4">
      <w:pPr>
        <w:tabs>
          <w:tab w:val="left" w:pos="709"/>
        </w:tabs>
        <w:ind w:left="284"/>
        <w:jc w:val="both"/>
        <w:rPr>
          <w:rFonts w:ascii="Arial" w:hAnsi="Arial" w:cs="Arial"/>
          <w:i/>
          <w:iCs/>
          <w:sz w:val="16"/>
          <w:szCs w:val="16"/>
        </w:rPr>
      </w:pPr>
    </w:p>
    <w:p w:rsidR="00C97ED4" w:rsidRPr="009467D9" w:rsidRDefault="00C97ED4" w:rsidP="00C97ED4">
      <w:pPr>
        <w:tabs>
          <w:tab w:val="left" w:pos="709"/>
          <w:tab w:val="left" w:pos="1134"/>
        </w:tabs>
        <w:ind w:left="1134" w:hanging="425"/>
        <w:jc w:val="both"/>
        <w:rPr>
          <w:rFonts w:ascii="Arial" w:hAnsi="Arial" w:cs="Arial"/>
          <w:i/>
          <w:iCs/>
          <w:sz w:val="16"/>
          <w:szCs w:val="16"/>
        </w:rPr>
      </w:pPr>
      <w:r w:rsidRPr="009467D9">
        <w:rPr>
          <w:rFonts w:ascii="Arial" w:hAnsi="Arial" w:cs="Arial"/>
          <w:i/>
          <w:iCs/>
          <w:sz w:val="16"/>
          <w:szCs w:val="16"/>
        </w:rPr>
        <w:t xml:space="preserve">8.2. Por otro lado, también se considera área rural a aquellos centros poblados con una </w:t>
      </w:r>
      <w:proofErr w:type="spellStart"/>
      <w:r w:rsidRPr="009467D9">
        <w:rPr>
          <w:rFonts w:ascii="Arial" w:hAnsi="Arial" w:cs="Arial"/>
          <w:i/>
          <w:iCs/>
          <w:sz w:val="16"/>
          <w:szCs w:val="16"/>
        </w:rPr>
        <w:t>teledensidad</w:t>
      </w:r>
      <w:proofErr w:type="spellEnd"/>
      <w:r w:rsidRPr="009467D9">
        <w:rPr>
          <w:rFonts w:ascii="Arial" w:hAnsi="Arial" w:cs="Arial"/>
          <w:i/>
          <w:iCs/>
          <w:sz w:val="16"/>
          <w:szCs w:val="16"/>
        </w:rPr>
        <w:t xml:space="preserve"> de menos de dos líneas fijas por cada 100 habitantes, los cuales no requieren cumplir con las condiciones del numeral 8.1 del presente artículo. </w:t>
      </w:r>
    </w:p>
    <w:p w:rsidR="00C97ED4" w:rsidRPr="009467D9" w:rsidRDefault="00C97ED4" w:rsidP="00C97ED4">
      <w:pPr>
        <w:tabs>
          <w:tab w:val="left" w:pos="709"/>
        </w:tabs>
        <w:ind w:left="284"/>
        <w:jc w:val="both"/>
        <w:rPr>
          <w:rFonts w:ascii="Arial" w:hAnsi="Arial" w:cs="Arial"/>
          <w:i/>
          <w:iCs/>
          <w:sz w:val="16"/>
          <w:szCs w:val="16"/>
        </w:rPr>
      </w:pPr>
    </w:p>
    <w:p w:rsidR="00C97ED4" w:rsidRPr="009467D9" w:rsidRDefault="00C97ED4" w:rsidP="00C97ED4">
      <w:pPr>
        <w:tabs>
          <w:tab w:val="left" w:pos="709"/>
          <w:tab w:val="left" w:pos="1134"/>
        </w:tabs>
        <w:ind w:left="1134" w:hanging="425"/>
        <w:jc w:val="both"/>
        <w:rPr>
          <w:rFonts w:ascii="Arial" w:hAnsi="Arial" w:cs="Arial"/>
          <w:i/>
          <w:iCs/>
          <w:sz w:val="16"/>
          <w:szCs w:val="16"/>
        </w:rPr>
      </w:pPr>
      <w:r w:rsidRPr="009467D9">
        <w:rPr>
          <w:rFonts w:ascii="Arial" w:hAnsi="Arial" w:cs="Arial"/>
          <w:i/>
          <w:iCs/>
          <w:sz w:val="16"/>
          <w:szCs w:val="16"/>
        </w:rPr>
        <w:t>8.3 FITEL publicará anualmente en su página web la relación de centros poblados que se encuentran en áreas rurales, basada en los datos remitidos al Ministerio por las empresas concesionarias de servicios públicos de telecomunicaciones.</w:t>
      </w:r>
    </w:p>
    <w:p w:rsidR="00C97ED4" w:rsidRDefault="00C97ED4" w:rsidP="00C97ED4">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A6B8E"/>
    <w:multiLevelType w:val="hybridMultilevel"/>
    <w:tmpl w:val="BBBCA6F6"/>
    <w:lvl w:ilvl="0" w:tplc="D9728BD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2D3615"/>
    <w:multiLevelType w:val="hybridMultilevel"/>
    <w:tmpl w:val="43069BFA"/>
    <w:lvl w:ilvl="0" w:tplc="9746CACE">
      <w:start w:val="1"/>
      <w:numFmt w:val="decimal"/>
      <w:lvlText w:val="Artículo %1."/>
      <w:lvlJc w:val="right"/>
      <w:pPr>
        <w:ind w:left="1495"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7ED4"/>
    <w:rsid w:val="00085F33"/>
    <w:rsid w:val="00113B36"/>
    <w:rsid w:val="001C0433"/>
    <w:rsid w:val="00381697"/>
    <w:rsid w:val="00547B40"/>
    <w:rsid w:val="005B09C1"/>
    <w:rsid w:val="006E00B2"/>
    <w:rsid w:val="008B2359"/>
    <w:rsid w:val="00A6515E"/>
    <w:rsid w:val="00AE3542"/>
    <w:rsid w:val="00C267F0"/>
    <w:rsid w:val="00C97ED4"/>
    <w:rsid w:val="00D8676E"/>
    <w:rsid w:val="00DD4869"/>
    <w:rsid w:val="00F10F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97ED4"/>
    <w:pPr>
      <w:spacing w:after="200" w:line="276" w:lineRule="auto"/>
      <w:ind w:left="720"/>
      <w:contextualSpacing/>
    </w:pPr>
    <w:rPr>
      <w:rFonts w:ascii="Calibri" w:hAnsi="Calibri"/>
      <w:sz w:val="22"/>
      <w:szCs w:val="22"/>
    </w:rPr>
  </w:style>
  <w:style w:type="paragraph" w:styleId="Piedepgina">
    <w:name w:val="footer"/>
    <w:basedOn w:val="Normal"/>
    <w:link w:val="PiedepginaCar"/>
    <w:uiPriority w:val="99"/>
    <w:unhideWhenUsed/>
    <w:rsid w:val="00C97ED4"/>
    <w:pPr>
      <w:tabs>
        <w:tab w:val="center" w:pos="4252"/>
        <w:tab w:val="right" w:pos="8504"/>
      </w:tabs>
    </w:pPr>
  </w:style>
  <w:style w:type="character" w:customStyle="1" w:styleId="PiedepginaCar">
    <w:name w:val="Pie de página Car"/>
    <w:basedOn w:val="Fuentedeprrafopredeter"/>
    <w:link w:val="Piedepgina"/>
    <w:uiPriority w:val="99"/>
    <w:rsid w:val="00C97ED4"/>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C97ED4"/>
    <w:rPr>
      <w:sz w:val="20"/>
      <w:szCs w:val="20"/>
    </w:rPr>
  </w:style>
  <w:style w:type="character" w:customStyle="1" w:styleId="TextonotapieCar">
    <w:name w:val="Texto nota pie Car"/>
    <w:basedOn w:val="Fuentedeprrafopredeter"/>
    <w:link w:val="Textonotapie"/>
    <w:uiPriority w:val="99"/>
    <w:semiHidden/>
    <w:rsid w:val="00C97ED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97E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3396</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Huamán Sánchez</dc:creator>
  <cp:keywords/>
  <dc:description/>
  <cp:lastModifiedBy>Jorge Huamán Sánchez</cp:lastModifiedBy>
  <cp:revision>1</cp:revision>
  <dcterms:created xsi:type="dcterms:W3CDTF">2012-11-12T19:19:00Z</dcterms:created>
  <dcterms:modified xsi:type="dcterms:W3CDTF">2012-11-12T19:19:00Z</dcterms:modified>
</cp:coreProperties>
</file>