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53BB1" w14:textId="369E0378" w:rsidR="006E21AE" w:rsidRDefault="006E21AE" w:rsidP="006E21AE">
      <w:pPr>
        <w:jc w:val="center"/>
        <w:rPr>
          <w:rFonts w:asciiTheme="minorHAnsi" w:eastAsia="Calibri" w:hAnsiTheme="minorHAnsi" w:cstheme="minorHAnsi"/>
          <w:b/>
          <w:bCs/>
          <w:noProof/>
          <w:sz w:val="44"/>
          <w:szCs w:val="44"/>
          <w:lang w:eastAsia="en-US"/>
        </w:rPr>
      </w:pPr>
      <w:r>
        <w:rPr>
          <w:noProof/>
        </w:rPr>
        <w:drawing>
          <wp:inline distT="0" distB="0" distL="0" distR="0" wp14:anchorId="35E5140E" wp14:editId="0D658A70">
            <wp:extent cx="5400040" cy="785495"/>
            <wp:effectExtent l="0" t="0" r="0" b="0"/>
            <wp:docPr id="42" name="Imagen 42" descr="Pastilla gráfica de CO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Pastilla gráfica de CONAD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85495"/>
                    </a:xfrm>
                    <a:prstGeom prst="rect">
                      <a:avLst/>
                    </a:prstGeom>
                    <a:noFill/>
                    <a:ln>
                      <a:noFill/>
                    </a:ln>
                  </pic:spPr>
                </pic:pic>
              </a:graphicData>
            </a:graphic>
          </wp:inline>
        </w:drawing>
      </w:r>
    </w:p>
    <w:p w14:paraId="66F7DCFF" w14:textId="48CFB04E" w:rsidR="006E21AE" w:rsidRDefault="006E21AE" w:rsidP="006E21AE">
      <w:pPr>
        <w:jc w:val="center"/>
        <w:rPr>
          <w:rFonts w:asciiTheme="minorHAnsi" w:eastAsia="Calibri" w:hAnsiTheme="minorHAnsi" w:cstheme="minorHAnsi"/>
          <w:b/>
          <w:bCs/>
          <w:noProof/>
          <w:sz w:val="44"/>
          <w:szCs w:val="44"/>
          <w:lang w:eastAsia="en-US"/>
        </w:rPr>
      </w:pPr>
    </w:p>
    <w:p w14:paraId="62AB851D" w14:textId="77777777" w:rsidR="006E21AE" w:rsidRDefault="006E21AE" w:rsidP="006E21AE">
      <w:pPr>
        <w:jc w:val="center"/>
        <w:rPr>
          <w:rFonts w:asciiTheme="minorHAnsi" w:eastAsia="Calibri" w:hAnsiTheme="minorHAnsi" w:cstheme="minorHAnsi"/>
          <w:b/>
          <w:bCs/>
          <w:noProof/>
          <w:sz w:val="44"/>
          <w:szCs w:val="44"/>
          <w:lang w:eastAsia="en-US"/>
        </w:rPr>
      </w:pPr>
    </w:p>
    <w:p w14:paraId="06667A7F" w14:textId="23A644F4" w:rsidR="006E21AE" w:rsidRDefault="006E21AE" w:rsidP="006E21AE">
      <w:pPr>
        <w:jc w:val="center"/>
        <w:rPr>
          <w:rFonts w:asciiTheme="minorHAnsi" w:eastAsia="Calibri" w:hAnsiTheme="minorHAnsi" w:cstheme="minorHAnsi"/>
          <w:b/>
          <w:bCs/>
          <w:noProof/>
          <w:sz w:val="44"/>
          <w:szCs w:val="44"/>
          <w:lang w:eastAsia="en-US"/>
        </w:rPr>
      </w:pPr>
      <w:r w:rsidRPr="006E21AE">
        <w:rPr>
          <w:rFonts w:asciiTheme="minorHAnsi" w:eastAsia="Calibri" w:hAnsiTheme="minorHAnsi" w:cstheme="minorHAnsi"/>
          <w:b/>
          <w:bCs/>
          <w:noProof/>
          <w:sz w:val="44"/>
          <w:szCs w:val="44"/>
          <w:lang w:eastAsia="en-US"/>
        </w:rPr>
        <w:drawing>
          <wp:inline distT="0" distB="0" distL="0" distR="0" wp14:anchorId="0F701FF9" wp14:editId="6C519753">
            <wp:extent cx="3414678" cy="1162050"/>
            <wp:effectExtent l="0" t="0" r="0" b="0"/>
            <wp:docPr id="41" name="Imagen 41" descr="Logo CO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Logo CONAD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678" cy="1162050"/>
                    </a:xfrm>
                    <a:prstGeom prst="rect">
                      <a:avLst/>
                    </a:prstGeom>
                    <a:noFill/>
                    <a:ln>
                      <a:noFill/>
                    </a:ln>
                  </pic:spPr>
                </pic:pic>
              </a:graphicData>
            </a:graphic>
          </wp:inline>
        </w:drawing>
      </w:r>
    </w:p>
    <w:p w14:paraId="5F1D7B68" w14:textId="4AA6EE98" w:rsidR="006E21AE" w:rsidRDefault="005A4731" w:rsidP="006E21AE">
      <w:pPr>
        <w:jc w:val="center"/>
        <w:rPr>
          <w:rFonts w:asciiTheme="minorHAnsi" w:eastAsia="Calibri" w:hAnsiTheme="minorHAnsi" w:cstheme="minorHAnsi"/>
          <w:b/>
          <w:bCs/>
          <w:noProof/>
          <w:sz w:val="44"/>
          <w:szCs w:val="44"/>
          <w:lang w:eastAsia="en-US"/>
        </w:rPr>
      </w:pPr>
      <w:r>
        <w:rPr>
          <w:rFonts w:asciiTheme="minorHAnsi" w:eastAsia="Calibri" w:hAnsiTheme="minorHAnsi" w:cstheme="minorHAnsi"/>
          <w:b/>
          <w:bCs/>
          <w:noProof/>
          <w:sz w:val="44"/>
          <w:szCs w:val="44"/>
          <w:lang w:eastAsia="en-US"/>
        </w:rPr>
        <mc:AlternateContent>
          <mc:Choice Requires="wps">
            <w:drawing>
              <wp:anchor distT="0" distB="0" distL="114300" distR="114300" simplePos="0" relativeHeight="251620864" behindDoc="0" locked="0" layoutInCell="1" allowOverlap="1" wp14:anchorId="042A773F" wp14:editId="151EE724">
                <wp:simplePos x="0" y="0"/>
                <wp:positionH relativeFrom="column">
                  <wp:posOffset>8586</wp:posOffset>
                </wp:positionH>
                <wp:positionV relativeFrom="paragraph">
                  <wp:posOffset>191440</wp:posOffset>
                </wp:positionV>
                <wp:extent cx="5383580" cy="1272845"/>
                <wp:effectExtent l="0" t="0" r="7620" b="3810"/>
                <wp:wrapNone/>
                <wp:docPr id="61" name="Rectángulo: esquinas redondeadas 61"/>
                <wp:cNvGraphicFramePr/>
                <a:graphic xmlns:a="http://schemas.openxmlformats.org/drawingml/2006/main">
                  <a:graphicData uri="http://schemas.microsoft.com/office/word/2010/wordprocessingShape">
                    <wps:wsp>
                      <wps:cNvSpPr/>
                      <wps:spPr>
                        <a:xfrm>
                          <a:off x="0" y="0"/>
                          <a:ext cx="5383580" cy="127284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49579" w14:textId="77777777" w:rsidR="005A4731" w:rsidRPr="005A4731" w:rsidRDefault="005A4731" w:rsidP="005A4731">
                            <w:pPr>
                              <w:jc w:val="center"/>
                              <w:rPr>
                                <w:rFonts w:asciiTheme="minorHAnsi" w:eastAsia="Calibri" w:hAnsiTheme="minorHAnsi" w:cstheme="minorHAnsi"/>
                                <w:b/>
                                <w:bCs/>
                                <w:noProof/>
                                <w:color w:val="000000" w:themeColor="text1"/>
                                <w:sz w:val="44"/>
                                <w:szCs w:val="44"/>
                                <w:lang w:eastAsia="en-US"/>
                              </w:rPr>
                            </w:pPr>
                            <w:r w:rsidRPr="005A4731">
                              <w:rPr>
                                <w:rFonts w:asciiTheme="minorHAnsi" w:eastAsia="Calibri" w:hAnsiTheme="minorHAnsi" w:cstheme="minorHAnsi"/>
                                <w:b/>
                                <w:bCs/>
                                <w:noProof/>
                                <w:color w:val="000000" w:themeColor="text1"/>
                                <w:sz w:val="44"/>
                                <w:szCs w:val="44"/>
                                <w:lang w:eastAsia="en-US"/>
                              </w:rPr>
                              <w:t>Informe Anual 2020:</w:t>
                            </w:r>
                          </w:p>
                          <w:p w14:paraId="04C71E00" w14:textId="77777777" w:rsidR="005A4731" w:rsidRPr="005A4731" w:rsidRDefault="005A4731" w:rsidP="005A4731">
                            <w:pPr>
                              <w:suppressAutoHyphens/>
                              <w:jc w:val="center"/>
                              <w:rPr>
                                <w:rFonts w:asciiTheme="minorHAnsi" w:eastAsia="Lucida Sans Unicode" w:hAnsiTheme="minorHAnsi" w:cs="Arial"/>
                                <w:b/>
                                <w:bCs/>
                                <w:color w:val="000000" w:themeColor="text1"/>
                                <w:kern w:val="1"/>
                                <w:sz w:val="22"/>
                                <w:szCs w:val="22"/>
                                <w:u w:val="single"/>
                                <w:lang w:eastAsia="ar-SA"/>
                              </w:rPr>
                            </w:pPr>
                            <w:r w:rsidRPr="005A4731">
                              <w:rPr>
                                <w:rFonts w:asciiTheme="minorHAnsi" w:eastAsia="Calibri" w:hAnsiTheme="minorHAnsi" w:cstheme="minorHAnsi"/>
                                <w:noProof/>
                                <w:color w:val="000000" w:themeColor="text1"/>
                                <w:sz w:val="40"/>
                                <w:szCs w:val="40"/>
                                <w:lang w:eastAsia="en-US"/>
                              </w:rPr>
                              <w:t>Ejecución del presupuesto de los gobiernos regionales y municipalidades</w:t>
                            </w:r>
                          </w:p>
                          <w:p w14:paraId="2A0A9A4C" w14:textId="77777777" w:rsidR="005A4731" w:rsidRPr="005A4731" w:rsidRDefault="005A4731" w:rsidP="005A47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2A773F" id="Rectángulo: esquinas redondeadas 61" o:spid="_x0000_s1026" style="position:absolute;left:0;text-align:left;margin-left:.7pt;margin-top:15.05pt;width:423.9pt;height:100.2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" fillcolor="#d8d8d8 [2732]" stroked="f" strokeweight="2pt">
                <v:textbox>
                  <w:txbxContent>
                    <w:p w14:paraId="43649579" w14:textId="77777777" w:rsidR="005A4731" w:rsidRPr="005A4731" w:rsidRDefault="005A4731" w:rsidP="005A4731">
                      <w:pPr>
                        <w:jc w:val="center"/>
                        <w:rPr>
                          <w:rFonts w:asciiTheme="minorHAnsi" w:eastAsia="Calibri" w:hAnsiTheme="minorHAnsi" w:cstheme="minorHAnsi"/>
                          <w:b/>
                          <w:bCs/>
                          <w:noProof/>
                          <w:color w:val="000000" w:themeColor="text1"/>
                          <w:sz w:val="44"/>
                          <w:szCs w:val="44"/>
                          <w:lang w:eastAsia="en-US"/>
                        </w:rPr>
                      </w:pPr>
                      <w:r w:rsidRPr="005A4731">
                        <w:rPr>
                          <w:rFonts w:asciiTheme="minorHAnsi" w:eastAsia="Calibri" w:hAnsiTheme="minorHAnsi" w:cstheme="minorHAnsi"/>
                          <w:b/>
                          <w:bCs/>
                          <w:noProof/>
                          <w:color w:val="000000" w:themeColor="text1"/>
                          <w:sz w:val="44"/>
                          <w:szCs w:val="44"/>
                          <w:lang w:eastAsia="en-US"/>
                        </w:rPr>
                        <w:t>Informe Anual 2020:</w:t>
                      </w:r>
                    </w:p>
                    <w:p w14:paraId="04C71E00" w14:textId="77777777" w:rsidR="005A4731" w:rsidRPr="005A4731" w:rsidRDefault="005A4731" w:rsidP="005A4731">
                      <w:pPr>
                        <w:suppressAutoHyphens/>
                        <w:jc w:val="center"/>
                        <w:rPr>
                          <w:rFonts w:asciiTheme="minorHAnsi" w:eastAsia="Lucida Sans Unicode" w:hAnsiTheme="minorHAnsi" w:cs="Arial"/>
                          <w:b/>
                          <w:bCs/>
                          <w:color w:val="000000" w:themeColor="text1"/>
                          <w:kern w:val="1"/>
                          <w:sz w:val="22"/>
                          <w:szCs w:val="22"/>
                          <w:u w:val="single"/>
                          <w:lang w:eastAsia="ar-SA"/>
                        </w:rPr>
                      </w:pPr>
                      <w:r w:rsidRPr="005A4731">
                        <w:rPr>
                          <w:rFonts w:asciiTheme="minorHAnsi" w:eastAsia="Calibri" w:hAnsiTheme="minorHAnsi" w:cstheme="minorHAnsi"/>
                          <w:noProof/>
                          <w:color w:val="000000" w:themeColor="text1"/>
                          <w:sz w:val="40"/>
                          <w:szCs w:val="40"/>
                          <w:lang w:eastAsia="en-US"/>
                        </w:rPr>
                        <w:t>Ejecución del presupuesto de los gobiernos regionales y municipalidades</w:t>
                      </w:r>
                    </w:p>
                    <w:p w14:paraId="2A0A9A4C" w14:textId="77777777" w:rsidR="005A4731" w:rsidRPr="005A4731" w:rsidRDefault="005A4731" w:rsidP="005A4731">
                      <w:pPr>
                        <w:jc w:val="center"/>
                        <w:rPr>
                          <w:color w:val="000000" w:themeColor="text1"/>
                        </w:rPr>
                      </w:pPr>
                    </w:p>
                  </w:txbxContent>
                </v:textbox>
              </v:roundrect>
            </w:pict>
          </mc:Fallback>
        </mc:AlternateContent>
      </w:r>
    </w:p>
    <w:p w14:paraId="5466173E" w14:textId="5ED91FD4" w:rsidR="006E21AE" w:rsidRDefault="006E21AE" w:rsidP="005A4731">
      <w:pPr>
        <w:suppressAutoHyphens/>
        <w:jc w:val="center"/>
        <w:rPr>
          <w:rFonts w:ascii="Calibri" w:eastAsia="Calibri" w:hAnsi="Calibri" w:cs="Calibri"/>
          <w:sz w:val="22"/>
          <w:szCs w:val="22"/>
        </w:rPr>
      </w:pPr>
    </w:p>
    <w:p w14:paraId="4F2E77D7" w14:textId="424E812D" w:rsidR="005A4731" w:rsidRDefault="005A4731" w:rsidP="005A4731">
      <w:pPr>
        <w:suppressAutoHyphens/>
        <w:jc w:val="center"/>
        <w:rPr>
          <w:rFonts w:ascii="Calibri" w:eastAsia="Calibri" w:hAnsi="Calibri" w:cs="Calibri"/>
          <w:sz w:val="22"/>
          <w:szCs w:val="22"/>
        </w:rPr>
      </w:pPr>
    </w:p>
    <w:p w14:paraId="58BE83DF" w14:textId="0BBAA371" w:rsidR="005A4731" w:rsidRDefault="005A4731" w:rsidP="005A4731">
      <w:pPr>
        <w:suppressAutoHyphens/>
        <w:jc w:val="center"/>
        <w:rPr>
          <w:rFonts w:ascii="Calibri" w:eastAsia="Calibri" w:hAnsi="Calibri" w:cs="Calibri"/>
          <w:sz w:val="22"/>
          <w:szCs w:val="22"/>
        </w:rPr>
      </w:pPr>
    </w:p>
    <w:p w14:paraId="6C9C1221" w14:textId="3A706D48" w:rsidR="005A4731" w:rsidRDefault="005A4731" w:rsidP="005A4731">
      <w:pPr>
        <w:suppressAutoHyphens/>
        <w:jc w:val="center"/>
        <w:rPr>
          <w:rFonts w:ascii="Calibri" w:eastAsia="Calibri" w:hAnsi="Calibri" w:cs="Calibri"/>
          <w:sz w:val="22"/>
          <w:szCs w:val="22"/>
        </w:rPr>
      </w:pPr>
    </w:p>
    <w:p w14:paraId="061D2F36" w14:textId="5C18D97B" w:rsidR="005A4731" w:rsidRDefault="005A4731" w:rsidP="005A4731">
      <w:pPr>
        <w:suppressAutoHyphens/>
        <w:jc w:val="center"/>
        <w:rPr>
          <w:rFonts w:ascii="Calibri" w:eastAsia="Calibri" w:hAnsi="Calibri" w:cs="Calibri"/>
          <w:sz w:val="22"/>
          <w:szCs w:val="22"/>
        </w:rPr>
      </w:pPr>
    </w:p>
    <w:p w14:paraId="73769834" w14:textId="36CD8579" w:rsidR="005A4731" w:rsidRDefault="005A4731" w:rsidP="005A4731">
      <w:pPr>
        <w:suppressAutoHyphens/>
        <w:jc w:val="center"/>
        <w:rPr>
          <w:rFonts w:ascii="Calibri" w:eastAsia="Calibri" w:hAnsi="Calibri" w:cs="Calibri"/>
          <w:sz w:val="22"/>
          <w:szCs w:val="22"/>
        </w:rPr>
      </w:pPr>
    </w:p>
    <w:p w14:paraId="2582E7FD" w14:textId="0706729F" w:rsidR="005A4731" w:rsidRDefault="005A4731" w:rsidP="005A4731">
      <w:pPr>
        <w:suppressAutoHyphens/>
        <w:jc w:val="center"/>
        <w:rPr>
          <w:rFonts w:ascii="Calibri" w:eastAsia="Calibri" w:hAnsi="Calibri" w:cs="Calibri"/>
          <w:sz w:val="22"/>
          <w:szCs w:val="22"/>
        </w:rPr>
      </w:pPr>
    </w:p>
    <w:p w14:paraId="33A87306" w14:textId="05CB92AE" w:rsidR="006E21AE" w:rsidRDefault="005A4731" w:rsidP="005A4731">
      <w:pPr>
        <w:spacing w:after="200" w:line="276"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54110002" wp14:editId="00EFEE37">
            <wp:extent cx="714375" cy="714375"/>
            <wp:effectExtent l="0" t="0" r="9525" b="0"/>
            <wp:docPr id="59" name="Gráfico 59" descr="Diner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9" descr="Dinero con relleno sólido"/>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14375" cy="714375"/>
                    </a:xfrm>
                    <a:prstGeom prst="rect">
                      <a:avLst/>
                    </a:prstGeom>
                  </pic:spPr>
                </pic:pic>
              </a:graphicData>
            </a:graphic>
          </wp:inline>
        </w:drawing>
      </w:r>
      <w:r>
        <w:rPr>
          <w:rFonts w:ascii="Calibri" w:eastAsia="Calibri" w:hAnsi="Calibri" w:cs="Calibri"/>
          <w:noProof/>
          <w:sz w:val="22"/>
          <w:szCs w:val="22"/>
        </w:rPr>
        <w:drawing>
          <wp:inline distT="0" distB="0" distL="0" distR="0" wp14:anchorId="556DD717" wp14:editId="1D5E624F">
            <wp:extent cx="714375" cy="714375"/>
            <wp:effectExtent l="0" t="0" r="0" b="0"/>
            <wp:docPr id="58" name="Gráfico 58" descr="Banc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áfico 58" descr="Banco contorno"/>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14375" cy="714375"/>
                    </a:xfrm>
                    <a:prstGeom prst="rect">
                      <a:avLst/>
                    </a:prstGeom>
                  </pic:spPr>
                </pic:pic>
              </a:graphicData>
            </a:graphic>
          </wp:inline>
        </w:drawing>
      </w:r>
      <w:r>
        <w:rPr>
          <w:rFonts w:ascii="Calibri" w:eastAsia="Calibri" w:hAnsi="Calibri" w:cs="Calibri"/>
          <w:noProof/>
          <w:sz w:val="22"/>
          <w:szCs w:val="22"/>
        </w:rPr>
        <w:drawing>
          <wp:inline distT="0" distB="0" distL="0" distR="0" wp14:anchorId="4A50F01E" wp14:editId="6CB6111E">
            <wp:extent cx="704850" cy="704850"/>
            <wp:effectExtent l="0" t="0" r="0" b="0"/>
            <wp:docPr id="60" name="Gráfico 60" descr="Acceso universal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áfico 60" descr="Acceso universal contorno"/>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04850" cy="704850"/>
                    </a:xfrm>
                    <a:prstGeom prst="rect">
                      <a:avLst/>
                    </a:prstGeom>
                  </pic:spPr>
                </pic:pic>
              </a:graphicData>
            </a:graphic>
          </wp:inline>
        </w:drawing>
      </w:r>
    </w:p>
    <w:p w14:paraId="2B068054" w14:textId="2AA8D821" w:rsidR="005A4731" w:rsidRDefault="005A4731" w:rsidP="006E21AE">
      <w:pPr>
        <w:spacing w:after="200" w:line="276" w:lineRule="auto"/>
        <w:contextualSpacing/>
        <w:jc w:val="center"/>
        <w:rPr>
          <w:rFonts w:ascii="Calibri" w:eastAsia="Calibri" w:hAnsi="Calibri" w:cs="Calibri"/>
          <w:sz w:val="40"/>
          <w:szCs w:val="40"/>
        </w:rPr>
      </w:pPr>
    </w:p>
    <w:p w14:paraId="4CE65800" w14:textId="77777777" w:rsidR="005A4731" w:rsidRDefault="005A4731" w:rsidP="006E21AE">
      <w:pPr>
        <w:spacing w:after="200" w:line="276" w:lineRule="auto"/>
        <w:contextualSpacing/>
        <w:jc w:val="center"/>
        <w:rPr>
          <w:rFonts w:ascii="Calibri" w:eastAsia="Calibri" w:hAnsi="Calibri" w:cs="Calibri"/>
          <w:sz w:val="40"/>
          <w:szCs w:val="40"/>
        </w:rPr>
      </w:pPr>
    </w:p>
    <w:p w14:paraId="6ED8572A" w14:textId="77777777" w:rsidR="005A4731" w:rsidRDefault="005A4731" w:rsidP="006E21AE">
      <w:pPr>
        <w:spacing w:after="200" w:line="276" w:lineRule="auto"/>
        <w:contextualSpacing/>
        <w:jc w:val="center"/>
        <w:rPr>
          <w:rFonts w:ascii="Calibri" w:eastAsia="Calibri" w:hAnsi="Calibri" w:cs="Calibri"/>
          <w:sz w:val="40"/>
          <w:szCs w:val="40"/>
        </w:rPr>
      </w:pPr>
    </w:p>
    <w:p w14:paraId="73635C57" w14:textId="77777777" w:rsidR="005A4731" w:rsidRDefault="005A4731" w:rsidP="006E21AE">
      <w:pPr>
        <w:spacing w:after="200" w:line="276" w:lineRule="auto"/>
        <w:contextualSpacing/>
        <w:jc w:val="center"/>
        <w:rPr>
          <w:rFonts w:ascii="Calibri" w:eastAsia="Calibri" w:hAnsi="Calibri" w:cs="Calibri"/>
          <w:sz w:val="40"/>
          <w:szCs w:val="40"/>
        </w:rPr>
      </w:pPr>
    </w:p>
    <w:p w14:paraId="64B9080E" w14:textId="77777777" w:rsidR="005A4731" w:rsidRDefault="005A4731" w:rsidP="006E21AE">
      <w:pPr>
        <w:spacing w:after="200" w:line="276" w:lineRule="auto"/>
        <w:contextualSpacing/>
        <w:jc w:val="center"/>
        <w:rPr>
          <w:rFonts w:ascii="Calibri" w:eastAsia="Calibri" w:hAnsi="Calibri" w:cs="Calibri"/>
          <w:sz w:val="40"/>
          <w:szCs w:val="40"/>
        </w:rPr>
      </w:pPr>
    </w:p>
    <w:p w14:paraId="507A1F1B" w14:textId="77777777" w:rsidR="005A4731" w:rsidRDefault="005A4731" w:rsidP="006E21AE">
      <w:pPr>
        <w:spacing w:after="200" w:line="276" w:lineRule="auto"/>
        <w:contextualSpacing/>
        <w:jc w:val="center"/>
        <w:rPr>
          <w:rFonts w:ascii="Calibri" w:eastAsia="Calibri" w:hAnsi="Calibri" w:cs="Calibri"/>
          <w:sz w:val="40"/>
          <w:szCs w:val="40"/>
        </w:rPr>
      </w:pPr>
    </w:p>
    <w:p w14:paraId="6AD8A7D0" w14:textId="77777777" w:rsidR="005A4731" w:rsidRDefault="005A4731" w:rsidP="006E21AE">
      <w:pPr>
        <w:spacing w:after="200" w:line="276" w:lineRule="auto"/>
        <w:contextualSpacing/>
        <w:jc w:val="center"/>
        <w:rPr>
          <w:rFonts w:ascii="Calibri" w:eastAsia="Calibri" w:hAnsi="Calibri" w:cs="Calibri"/>
          <w:sz w:val="40"/>
          <w:szCs w:val="40"/>
        </w:rPr>
      </w:pPr>
    </w:p>
    <w:p w14:paraId="47245458" w14:textId="14AAC2FD" w:rsidR="006E21AE" w:rsidRPr="006E21AE" w:rsidRDefault="006E21AE" w:rsidP="006E21AE">
      <w:pPr>
        <w:spacing w:after="200" w:line="276" w:lineRule="auto"/>
        <w:contextualSpacing/>
        <w:jc w:val="center"/>
        <w:rPr>
          <w:rFonts w:ascii="Calibri" w:eastAsia="Calibri" w:hAnsi="Calibri" w:cs="Calibri"/>
          <w:sz w:val="40"/>
          <w:szCs w:val="40"/>
        </w:rPr>
      </w:pPr>
      <w:r w:rsidRPr="006E21AE">
        <w:rPr>
          <w:rFonts w:ascii="Calibri" w:eastAsia="Calibri" w:hAnsi="Calibri" w:cs="Calibri"/>
          <w:sz w:val="40"/>
          <w:szCs w:val="40"/>
        </w:rPr>
        <w:t>Setiembre</w:t>
      </w:r>
    </w:p>
    <w:p w14:paraId="061B80A0" w14:textId="1FDB908D" w:rsidR="006E21AE" w:rsidRDefault="006E21AE" w:rsidP="006E21AE">
      <w:pPr>
        <w:spacing w:after="200" w:line="276" w:lineRule="auto"/>
        <w:contextualSpacing/>
        <w:jc w:val="center"/>
        <w:rPr>
          <w:rFonts w:ascii="Calibri" w:eastAsia="Calibri" w:hAnsi="Calibri" w:cs="Calibri"/>
          <w:sz w:val="40"/>
          <w:szCs w:val="40"/>
        </w:rPr>
      </w:pPr>
      <w:r w:rsidRPr="006E21AE">
        <w:rPr>
          <w:rFonts w:ascii="Calibri" w:eastAsia="Calibri" w:hAnsi="Calibri" w:cs="Calibri"/>
          <w:sz w:val="40"/>
          <w:szCs w:val="40"/>
        </w:rPr>
        <w:t>2021</w:t>
      </w:r>
    </w:p>
    <w:p w14:paraId="096192E7" w14:textId="0AD9BEF8" w:rsidR="005C4643" w:rsidRPr="005A4731" w:rsidRDefault="005C4643" w:rsidP="00DC282B">
      <w:pPr>
        <w:pStyle w:val="Ttulo1"/>
        <w:pBdr>
          <w:bottom w:val="single" w:sz="4" w:space="0" w:color="auto"/>
        </w:pBdr>
      </w:pPr>
      <w:r w:rsidRPr="005A4731">
        <w:lastRenderedPageBreak/>
        <w:t>ANTECEDENTES</w:t>
      </w:r>
    </w:p>
    <w:p w14:paraId="56CBF6F2" w14:textId="77777777" w:rsidR="005C4643" w:rsidRPr="0044066E" w:rsidRDefault="005C4643" w:rsidP="005C4643">
      <w:pPr>
        <w:numPr>
          <w:ilvl w:val="1"/>
          <w:numId w:val="19"/>
        </w:numPr>
        <w:pBdr>
          <w:top w:val="nil"/>
          <w:left w:val="nil"/>
          <w:bottom w:val="nil"/>
          <w:right w:val="nil"/>
          <w:between w:val="nil"/>
        </w:pBdr>
        <w:spacing w:line="259" w:lineRule="auto"/>
        <w:jc w:val="both"/>
        <w:rPr>
          <w:rFonts w:ascii="Calibri" w:eastAsia="Calibri" w:hAnsi="Calibri" w:cs="Calibri"/>
          <w:sz w:val="22"/>
          <w:szCs w:val="22"/>
        </w:rPr>
      </w:pPr>
      <w:r w:rsidRPr="0044066E">
        <w:rPr>
          <w:rFonts w:ascii="Calibri" w:eastAsia="Calibri" w:hAnsi="Calibri" w:cs="Calibri"/>
          <w:sz w:val="22"/>
          <w:szCs w:val="22"/>
        </w:rPr>
        <w:t>Mediante el numeral 6.1 del artículo 6 de la Ley N° 29973, Ley General de la Persona con Discapacidad, en adelante LGPCD, se establece que, el Estado asigna progresivamente los recursos presupuestales necesarios para la promoción, protección y realización de los derechos de la persona con discapacidad.</w:t>
      </w:r>
    </w:p>
    <w:p w14:paraId="69CD95D3" w14:textId="77777777" w:rsidR="005C4643" w:rsidRPr="00DC282B" w:rsidRDefault="005C4643" w:rsidP="005C4643">
      <w:pPr>
        <w:pBdr>
          <w:top w:val="nil"/>
          <w:left w:val="nil"/>
          <w:bottom w:val="nil"/>
          <w:right w:val="nil"/>
          <w:between w:val="nil"/>
        </w:pBdr>
        <w:spacing w:line="259" w:lineRule="auto"/>
        <w:ind w:left="570"/>
        <w:jc w:val="both"/>
        <w:rPr>
          <w:rFonts w:ascii="Calibri" w:eastAsia="Calibri" w:hAnsi="Calibri" w:cs="Calibri"/>
          <w:sz w:val="14"/>
          <w:szCs w:val="14"/>
        </w:rPr>
      </w:pPr>
    </w:p>
    <w:p w14:paraId="0EF9BFC8" w14:textId="77777777" w:rsidR="005C4643" w:rsidRPr="0044066E" w:rsidRDefault="005C4643" w:rsidP="005C4643">
      <w:pPr>
        <w:numPr>
          <w:ilvl w:val="1"/>
          <w:numId w:val="19"/>
        </w:numPr>
        <w:pBdr>
          <w:top w:val="nil"/>
          <w:left w:val="nil"/>
          <w:bottom w:val="nil"/>
          <w:right w:val="nil"/>
          <w:between w:val="nil"/>
        </w:pBdr>
        <w:spacing w:line="259" w:lineRule="auto"/>
        <w:jc w:val="both"/>
        <w:rPr>
          <w:rFonts w:ascii="Calibri" w:eastAsia="Calibri" w:hAnsi="Calibri" w:cs="Calibri"/>
          <w:sz w:val="22"/>
          <w:szCs w:val="22"/>
        </w:rPr>
      </w:pPr>
      <w:r w:rsidRPr="0044066E">
        <w:rPr>
          <w:rFonts w:ascii="Calibri" w:eastAsia="Calibri" w:hAnsi="Calibri" w:cs="Calibri"/>
          <w:sz w:val="22"/>
          <w:szCs w:val="22"/>
        </w:rPr>
        <w:t>Mediante el literal c) del numeral 69.2 del artículo 69 de la LGPCD, se establece que, las Oficinas Regionales de Atención a la Persona con Discapacidad (OREDIS) promueven que, en la formulación y aprobación del presupuesto regional, se destinen los recursos necesarios para la implementación de políticas y programas transversales y multisectoriales sobre cuestiones relativas a la discapacidad. Asimismo, mediante el literal c) del numeral 70.2 del artículo 70 de la LGPCD, se establece que, las Oficinas Municipales de Atención a la Persona con Discapacidad (OREDIS), participan de la formulación y aprobación del presupuesto local para asegurar que se destinen los recursos necesarios para la implementación de políticas y programas sobre cuestiones relativas a la discapacidad.</w:t>
      </w:r>
    </w:p>
    <w:p w14:paraId="1E3F265D" w14:textId="77777777" w:rsidR="005C4643" w:rsidRPr="00DC282B" w:rsidRDefault="005C4643" w:rsidP="005C4643">
      <w:pPr>
        <w:pBdr>
          <w:top w:val="nil"/>
          <w:left w:val="nil"/>
          <w:bottom w:val="nil"/>
          <w:right w:val="nil"/>
          <w:between w:val="nil"/>
        </w:pBdr>
        <w:spacing w:line="259" w:lineRule="auto"/>
        <w:ind w:left="570"/>
        <w:jc w:val="both"/>
        <w:rPr>
          <w:rFonts w:ascii="Calibri" w:eastAsia="Calibri" w:hAnsi="Calibri" w:cs="Calibri"/>
          <w:sz w:val="14"/>
          <w:szCs w:val="14"/>
        </w:rPr>
      </w:pPr>
    </w:p>
    <w:p w14:paraId="77AF74EE" w14:textId="77777777" w:rsidR="005C4643" w:rsidRPr="0044066E" w:rsidRDefault="005C4643" w:rsidP="005C4643">
      <w:pPr>
        <w:numPr>
          <w:ilvl w:val="1"/>
          <w:numId w:val="19"/>
        </w:numPr>
        <w:pBdr>
          <w:top w:val="nil"/>
          <w:left w:val="nil"/>
          <w:bottom w:val="nil"/>
          <w:right w:val="nil"/>
          <w:between w:val="nil"/>
        </w:pBdr>
        <w:spacing w:line="259" w:lineRule="auto"/>
        <w:jc w:val="both"/>
        <w:rPr>
          <w:rFonts w:ascii="Calibri" w:eastAsia="Calibri" w:hAnsi="Calibri" w:cs="Calibri"/>
          <w:sz w:val="22"/>
          <w:szCs w:val="22"/>
        </w:rPr>
      </w:pPr>
      <w:r w:rsidRPr="0044066E">
        <w:rPr>
          <w:rFonts w:ascii="Calibri" w:eastAsia="Calibri" w:hAnsi="Calibri" w:cs="Calibri"/>
          <w:sz w:val="22"/>
          <w:szCs w:val="22"/>
        </w:rPr>
        <w:t>Mediante el Decreto de Urgencia N° 014-2019, Decreto de Urgencia que aprueba el Presupuesto del Sector Público para el Año Fiscal 2020, en su Trigésima Quinta Disposición Complementaria Final establece que, los gobiernos regionales y locales  están autorizados para utilizar el 0.5% de su presupuesto institucional a favor de la realización de obras, mantenimiento, reparación o adecuación destinados a mejorar o proveer de accesibilidad a la infraestructura urbana de las ciudades incluyendo el acceso a los palacios y demás sedes municipales y regionales que están al servicio de todos los ciudadanos y prioritariamente a los que presenten algún tipo de discapacidad. Asimismo, dicha disposición establece que, los gobiernos regionales y locales están autorizados para utilizar el 0.5% de su presupuesto institucional para financiar los gastos operativos, planes, programas y servicios que por ley deben realizar las OREDIS y OMAPED a favor de la población con discapacidad de su jurisdicción. Finalmente, la disposición en mención señala que, los gobiernos regionales y locales informan anualmente a la Comisión de Inclusión Social y Personas con Discapacidad, así como a la Comisión de Presupuesto y Cuenta General de la República del Congreso de la República, sobre el cumplimiento de lo establecido en la presente disposición, con copia al Consejo Nacional para la Integración de la Persona con Discapacidad (CONADIS), en un plazo de noventa (90) días calendario de culminado el año fiscal correspondiente.</w:t>
      </w:r>
    </w:p>
    <w:p w14:paraId="2125C2AD" w14:textId="77777777" w:rsidR="005C4643" w:rsidRPr="00DC282B" w:rsidRDefault="005C4643" w:rsidP="005C4643">
      <w:pPr>
        <w:pBdr>
          <w:top w:val="nil"/>
          <w:left w:val="nil"/>
          <w:bottom w:val="nil"/>
          <w:right w:val="nil"/>
          <w:between w:val="nil"/>
        </w:pBdr>
        <w:spacing w:line="259" w:lineRule="auto"/>
        <w:ind w:left="570"/>
        <w:jc w:val="both"/>
        <w:rPr>
          <w:rFonts w:ascii="Calibri" w:eastAsia="Calibri" w:hAnsi="Calibri" w:cs="Calibri"/>
          <w:sz w:val="14"/>
          <w:szCs w:val="14"/>
        </w:rPr>
      </w:pPr>
    </w:p>
    <w:p w14:paraId="40AA3632" w14:textId="356B1B76" w:rsidR="005C4643" w:rsidRPr="0044066E" w:rsidRDefault="005C4643" w:rsidP="005C4643">
      <w:pPr>
        <w:numPr>
          <w:ilvl w:val="1"/>
          <w:numId w:val="19"/>
        </w:numPr>
        <w:pBdr>
          <w:top w:val="nil"/>
          <w:left w:val="nil"/>
          <w:bottom w:val="nil"/>
          <w:right w:val="nil"/>
          <w:between w:val="nil"/>
        </w:pBdr>
        <w:spacing w:line="259" w:lineRule="auto"/>
        <w:jc w:val="both"/>
        <w:rPr>
          <w:rFonts w:ascii="Calibri" w:eastAsia="Calibri" w:hAnsi="Calibri" w:cs="Calibri"/>
          <w:sz w:val="22"/>
          <w:szCs w:val="22"/>
        </w:rPr>
      </w:pPr>
      <w:r w:rsidRPr="0044066E">
        <w:rPr>
          <w:rFonts w:ascii="Calibri" w:eastAsia="Calibri" w:hAnsi="Calibri" w:cs="Calibri"/>
          <w:color w:val="000000"/>
          <w:sz w:val="22"/>
          <w:szCs w:val="22"/>
        </w:rPr>
        <w:t xml:space="preserve">Mediante </w:t>
      </w:r>
      <w:r w:rsidRPr="0044066E">
        <w:rPr>
          <w:rFonts w:ascii="Calibri" w:eastAsia="Calibri" w:hAnsi="Calibri" w:cs="Calibri"/>
          <w:sz w:val="22"/>
          <w:szCs w:val="22"/>
        </w:rPr>
        <w:t>Resolución de Presidencia N° 084-2020-CONADIS/PRE, se aprueban los “LINEAMIENTOS PARA LA APLICACIÓN DE LA TRIGÉSIMA QUINTA DISPOSICIÓN COMPLEMENTARIA FINAL DEL DECRETO DE URGENCIA N° 014-2019, DECRETO DE URGENCIA QUE APRUEBA EL PRESUPUESTO DEL SECTOR PÚBLICO PARA EL AÑO FISCAL 2020, RESPECTO A LOS PRESUPUESTOS DESTINADOS PARA LAS OFICINAS REGIONALES DE ATENCIÓN A LA PERSONA CON DISCAPACIDAD (OREDIS) LAS OFICINAS MUNICIPALES DE ATENCIÓN A LA PERSONA CON DISCAPACIDAD (OMAPED)”, en adelante Lineamiento</w:t>
      </w:r>
      <w:r w:rsidR="004558D0">
        <w:rPr>
          <w:rFonts w:ascii="Calibri" w:eastAsia="Calibri" w:hAnsi="Calibri" w:cs="Calibri"/>
          <w:sz w:val="22"/>
          <w:szCs w:val="22"/>
        </w:rPr>
        <w:t>s</w:t>
      </w:r>
      <w:r w:rsidRPr="0044066E">
        <w:rPr>
          <w:rFonts w:ascii="Calibri" w:eastAsia="Calibri" w:hAnsi="Calibri" w:cs="Calibri"/>
          <w:sz w:val="22"/>
          <w:szCs w:val="22"/>
        </w:rPr>
        <w:t>.</w:t>
      </w:r>
    </w:p>
    <w:p w14:paraId="32115E5F" w14:textId="77777777" w:rsidR="005C4643" w:rsidRPr="0044066E" w:rsidRDefault="005C4643" w:rsidP="004558D0">
      <w:pPr>
        <w:pStyle w:val="Ttulo1"/>
      </w:pPr>
      <w:r w:rsidRPr="0044066E">
        <w:lastRenderedPageBreak/>
        <w:t xml:space="preserve">ANÁLISIS </w:t>
      </w:r>
    </w:p>
    <w:p w14:paraId="396426BA" w14:textId="77777777" w:rsidR="005C4643" w:rsidRPr="0044066E" w:rsidRDefault="005C4643" w:rsidP="005C4643">
      <w:pPr>
        <w:numPr>
          <w:ilvl w:val="1"/>
          <w:numId w:val="17"/>
        </w:numPr>
        <w:pBdr>
          <w:top w:val="nil"/>
          <w:left w:val="nil"/>
          <w:bottom w:val="nil"/>
          <w:right w:val="nil"/>
          <w:between w:val="nil"/>
        </w:pBdr>
        <w:ind w:left="567" w:hanging="567"/>
        <w:jc w:val="both"/>
        <w:rPr>
          <w:rFonts w:ascii="Calibri" w:eastAsia="Calibri" w:hAnsi="Calibri" w:cs="Calibri"/>
          <w:sz w:val="22"/>
          <w:szCs w:val="22"/>
        </w:rPr>
      </w:pPr>
      <w:r w:rsidRPr="0044066E">
        <w:rPr>
          <w:rFonts w:ascii="Calibri" w:eastAsia="Calibri" w:hAnsi="Calibri" w:cs="Calibri"/>
          <w:color w:val="000000"/>
          <w:sz w:val="22"/>
          <w:szCs w:val="22"/>
        </w:rPr>
        <w:t xml:space="preserve">En el marco de lo </w:t>
      </w:r>
      <w:r w:rsidRPr="0044066E">
        <w:rPr>
          <w:rFonts w:ascii="Calibri" w:eastAsia="Calibri" w:hAnsi="Calibri" w:cs="Calibri"/>
          <w:sz w:val="22"/>
          <w:szCs w:val="22"/>
        </w:rPr>
        <w:t xml:space="preserve">definido en </w:t>
      </w:r>
      <w:r w:rsidRPr="0044066E">
        <w:rPr>
          <w:rFonts w:ascii="Calibri" w:eastAsia="Calibri" w:hAnsi="Calibri" w:cs="Calibri"/>
          <w:color w:val="000000"/>
          <w:sz w:val="22"/>
          <w:szCs w:val="22"/>
        </w:rPr>
        <w:t xml:space="preserve">los Lineamientos, </w:t>
      </w:r>
      <w:r w:rsidRPr="0044066E">
        <w:rPr>
          <w:rFonts w:ascii="Calibri" w:eastAsia="Calibri" w:hAnsi="Calibri" w:cs="Calibri"/>
          <w:sz w:val="22"/>
          <w:szCs w:val="22"/>
        </w:rPr>
        <w:t>las direcciones de línea de CONADIS realizan el trabajo de asistencia técnica y seguimiento hacia los gobiernos regionales y locales, para la aplicación de los mencionados lineamientos. Estas tareas se distribuyen de la siguiente manera:</w:t>
      </w:r>
    </w:p>
    <w:p w14:paraId="522E810A" w14:textId="77777777" w:rsidR="005C4643" w:rsidRPr="00DC282B" w:rsidRDefault="005C4643" w:rsidP="005C4643">
      <w:pPr>
        <w:pBdr>
          <w:top w:val="nil"/>
          <w:left w:val="nil"/>
          <w:bottom w:val="nil"/>
          <w:right w:val="nil"/>
          <w:between w:val="nil"/>
        </w:pBdr>
        <w:tabs>
          <w:tab w:val="left" w:pos="1416"/>
          <w:tab w:val="left" w:pos="2124"/>
        </w:tabs>
        <w:ind w:left="6881"/>
        <w:jc w:val="both"/>
        <w:rPr>
          <w:rFonts w:ascii="Calibri" w:eastAsia="Calibri" w:hAnsi="Calibri" w:cs="Calibri"/>
          <w:sz w:val="14"/>
          <w:szCs w:val="14"/>
        </w:rPr>
      </w:pPr>
    </w:p>
    <w:p w14:paraId="5D1943CF" w14:textId="33F07934" w:rsidR="005C4643" w:rsidRDefault="005C4643" w:rsidP="005C4643">
      <w:pPr>
        <w:numPr>
          <w:ilvl w:val="0"/>
          <w:numId w:val="18"/>
        </w:numPr>
        <w:pBdr>
          <w:top w:val="nil"/>
          <w:left w:val="nil"/>
          <w:bottom w:val="nil"/>
          <w:right w:val="nil"/>
          <w:between w:val="nil"/>
        </w:pBdr>
        <w:ind w:left="1133" w:hanging="285"/>
        <w:jc w:val="both"/>
        <w:rPr>
          <w:rFonts w:ascii="Calibri" w:eastAsia="Calibri" w:hAnsi="Calibri" w:cs="Calibri"/>
          <w:sz w:val="22"/>
          <w:szCs w:val="22"/>
        </w:rPr>
      </w:pPr>
      <w:r w:rsidRPr="0044066E">
        <w:rPr>
          <w:rFonts w:ascii="Calibri" w:eastAsia="Calibri" w:hAnsi="Calibri" w:cs="Calibri"/>
          <w:sz w:val="22"/>
          <w:szCs w:val="22"/>
        </w:rPr>
        <w:t>Dirección de Promoción y Desarrollo Social (DPDS): Asistencia técnica para el correcto funcionamiento de las OREDIS y OMAPED.</w:t>
      </w:r>
    </w:p>
    <w:p w14:paraId="2B667D2F" w14:textId="77777777" w:rsidR="00DC282B" w:rsidRPr="00DC282B" w:rsidRDefault="00DC282B" w:rsidP="00DC282B">
      <w:pPr>
        <w:pBdr>
          <w:top w:val="nil"/>
          <w:left w:val="nil"/>
          <w:bottom w:val="nil"/>
          <w:right w:val="nil"/>
          <w:between w:val="nil"/>
        </w:pBdr>
        <w:ind w:left="1133"/>
        <w:jc w:val="both"/>
        <w:rPr>
          <w:rFonts w:ascii="Calibri" w:eastAsia="Calibri" w:hAnsi="Calibri" w:cs="Calibri"/>
          <w:sz w:val="10"/>
          <w:szCs w:val="10"/>
        </w:rPr>
      </w:pPr>
    </w:p>
    <w:p w14:paraId="2D4B3A9C" w14:textId="15DD3DE2" w:rsidR="005C4643" w:rsidRDefault="005C4643" w:rsidP="005C4643">
      <w:pPr>
        <w:numPr>
          <w:ilvl w:val="0"/>
          <w:numId w:val="18"/>
        </w:numPr>
        <w:pBdr>
          <w:top w:val="nil"/>
          <w:left w:val="nil"/>
          <w:bottom w:val="nil"/>
          <w:right w:val="nil"/>
          <w:between w:val="nil"/>
        </w:pBdr>
        <w:ind w:left="1133" w:hanging="285"/>
        <w:jc w:val="both"/>
        <w:rPr>
          <w:rFonts w:ascii="Calibri" w:eastAsia="Calibri" w:hAnsi="Calibri" w:cs="Calibri"/>
          <w:sz w:val="22"/>
          <w:szCs w:val="22"/>
        </w:rPr>
      </w:pPr>
      <w:r w:rsidRPr="0044066E">
        <w:rPr>
          <w:rFonts w:ascii="Calibri" w:eastAsia="Calibri" w:hAnsi="Calibri" w:cs="Calibri"/>
          <w:sz w:val="22"/>
          <w:szCs w:val="22"/>
        </w:rPr>
        <w:t>Dirección de Investigación y Registro (DIR): Asistencia técnica y acciones de coordinación para la adecuada administración del Registro Nacional de la Persona con Discapacidad a nivel regional y municipal; así como el acopio, procesamiento y generación de información pertinente para la toma de decisiones.</w:t>
      </w:r>
    </w:p>
    <w:p w14:paraId="639BB75B" w14:textId="77777777" w:rsidR="00DC282B" w:rsidRPr="00DC282B" w:rsidRDefault="00DC282B" w:rsidP="00DC282B">
      <w:pPr>
        <w:pBdr>
          <w:top w:val="nil"/>
          <w:left w:val="nil"/>
          <w:bottom w:val="nil"/>
          <w:right w:val="nil"/>
          <w:between w:val="nil"/>
        </w:pBdr>
        <w:jc w:val="both"/>
        <w:rPr>
          <w:rFonts w:ascii="Calibri" w:eastAsia="Calibri" w:hAnsi="Calibri" w:cs="Calibri"/>
          <w:sz w:val="10"/>
          <w:szCs w:val="10"/>
        </w:rPr>
      </w:pPr>
    </w:p>
    <w:p w14:paraId="3A14476B" w14:textId="167185C8" w:rsidR="005C4643" w:rsidRDefault="005C4643" w:rsidP="005C4643">
      <w:pPr>
        <w:numPr>
          <w:ilvl w:val="0"/>
          <w:numId w:val="18"/>
        </w:numPr>
        <w:pBdr>
          <w:top w:val="nil"/>
          <w:left w:val="nil"/>
          <w:bottom w:val="nil"/>
          <w:right w:val="nil"/>
          <w:between w:val="nil"/>
        </w:pBdr>
        <w:ind w:left="1133" w:hanging="285"/>
        <w:jc w:val="both"/>
        <w:rPr>
          <w:rFonts w:ascii="Calibri" w:eastAsia="Calibri" w:hAnsi="Calibri" w:cs="Calibri"/>
          <w:sz w:val="22"/>
          <w:szCs w:val="22"/>
        </w:rPr>
      </w:pPr>
      <w:r w:rsidRPr="0044066E">
        <w:rPr>
          <w:rFonts w:ascii="Calibri" w:eastAsia="Calibri" w:hAnsi="Calibri" w:cs="Calibri"/>
          <w:sz w:val="22"/>
          <w:szCs w:val="22"/>
        </w:rPr>
        <w:t>Dirección de Fiscalización y Sanciones (DFS): Seguimiento y evaluación al cumplimiento de la ejecución presupuestal en materia de discapacidad.</w:t>
      </w:r>
    </w:p>
    <w:p w14:paraId="1C2607C6" w14:textId="77777777" w:rsidR="00DC282B" w:rsidRPr="00DC282B" w:rsidRDefault="00DC282B" w:rsidP="00DC282B">
      <w:pPr>
        <w:pBdr>
          <w:top w:val="nil"/>
          <w:left w:val="nil"/>
          <w:bottom w:val="nil"/>
          <w:right w:val="nil"/>
          <w:between w:val="nil"/>
        </w:pBdr>
        <w:jc w:val="both"/>
        <w:rPr>
          <w:rFonts w:ascii="Calibri" w:eastAsia="Calibri" w:hAnsi="Calibri" w:cs="Calibri"/>
          <w:sz w:val="10"/>
          <w:szCs w:val="10"/>
        </w:rPr>
      </w:pPr>
    </w:p>
    <w:p w14:paraId="3704980F" w14:textId="77777777" w:rsidR="005C4643" w:rsidRPr="0044066E" w:rsidRDefault="005C4643" w:rsidP="005C4643">
      <w:pPr>
        <w:numPr>
          <w:ilvl w:val="0"/>
          <w:numId w:val="18"/>
        </w:numPr>
        <w:pBdr>
          <w:top w:val="nil"/>
          <w:left w:val="nil"/>
          <w:bottom w:val="nil"/>
          <w:right w:val="nil"/>
          <w:between w:val="nil"/>
        </w:pBdr>
        <w:ind w:left="1133" w:hanging="285"/>
        <w:jc w:val="both"/>
        <w:rPr>
          <w:rFonts w:ascii="Calibri" w:eastAsia="Calibri" w:hAnsi="Calibri" w:cs="Calibri"/>
          <w:sz w:val="22"/>
          <w:szCs w:val="22"/>
        </w:rPr>
      </w:pPr>
      <w:r w:rsidRPr="0044066E">
        <w:rPr>
          <w:rFonts w:ascii="Calibri" w:eastAsia="Calibri" w:hAnsi="Calibri" w:cs="Calibri"/>
          <w:sz w:val="22"/>
          <w:szCs w:val="22"/>
        </w:rPr>
        <w:t>Dirección de Políticas en Discapacidad (DPD): Elaboración del Informe Anual 2020 - Ejecución del presupuesto de los gobiernos regionales y locales.</w:t>
      </w:r>
    </w:p>
    <w:p w14:paraId="464A362A" w14:textId="77777777" w:rsidR="005C4643" w:rsidRPr="00DC282B" w:rsidRDefault="005C4643" w:rsidP="005C4643">
      <w:pPr>
        <w:pBdr>
          <w:top w:val="nil"/>
          <w:left w:val="nil"/>
          <w:bottom w:val="nil"/>
          <w:right w:val="nil"/>
          <w:between w:val="nil"/>
        </w:pBdr>
        <w:tabs>
          <w:tab w:val="left" w:pos="1416"/>
          <w:tab w:val="left" w:pos="2124"/>
        </w:tabs>
        <w:ind w:left="6881"/>
        <w:jc w:val="both"/>
        <w:rPr>
          <w:rFonts w:ascii="Calibri" w:eastAsia="Calibri" w:hAnsi="Calibri" w:cs="Calibri"/>
          <w:sz w:val="14"/>
          <w:szCs w:val="14"/>
        </w:rPr>
      </w:pPr>
    </w:p>
    <w:p w14:paraId="280CC45F" w14:textId="229E111C" w:rsidR="005C4643" w:rsidRPr="0044066E" w:rsidRDefault="005C4643" w:rsidP="005C4643">
      <w:pPr>
        <w:numPr>
          <w:ilvl w:val="1"/>
          <w:numId w:val="17"/>
        </w:numPr>
        <w:pBdr>
          <w:top w:val="nil"/>
          <w:left w:val="nil"/>
          <w:bottom w:val="nil"/>
          <w:right w:val="nil"/>
          <w:between w:val="nil"/>
        </w:pBdr>
        <w:ind w:left="566" w:hanging="566"/>
        <w:jc w:val="both"/>
        <w:rPr>
          <w:rFonts w:ascii="Calibri" w:eastAsia="Calibri" w:hAnsi="Calibri" w:cs="Calibri"/>
          <w:sz w:val="22"/>
          <w:szCs w:val="22"/>
        </w:rPr>
      </w:pPr>
      <w:r w:rsidRPr="0044066E">
        <w:rPr>
          <w:rFonts w:ascii="Calibri" w:eastAsia="Calibri" w:hAnsi="Calibri" w:cs="Calibri"/>
          <w:sz w:val="22"/>
          <w:szCs w:val="22"/>
        </w:rPr>
        <w:t>A partir de junio 2020, la Sub Dirección de Fiscalización orientó sus esfuerzos en realizar y ejecutar el “Plan de Fiscalización remota en materia presupuestal”, lo cual se constituyó en un instrumento fundamental para la programación de acciones de orientación, supervisión y fiscalización de los gobiernos regionales y locales, así como para el seguimiento y evaluación de las mejoras en su gestión. Como parte de los esfuerzos y de acuerdo con la capacidad operativa del eje de presupuesto público de la SDF, se identificaron criterios técnicos para el monitoreo y acompañamiento de manera remota a las municipalidades de Lima Metropolitana en el uso de los recursos en materia de discapacidad, priorizando a un total de 22 municipalidades distritales de Lima Metropolitana para su seguimiento.</w:t>
      </w:r>
    </w:p>
    <w:p w14:paraId="0CD6458F" w14:textId="77777777" w:rsidR="005C4643" w:rsidRPr="0044066E" w:rsidRDefault="005C4643" w:rsidP="005C4643">
      <w:pPr>
        <w:pBdr>
          <w:top w:val="nil"/>
          <w:left w:val="nil"/>
          <w:bottom w:val="nil"/>
          <w:right w:val="nil"/>
          <w:between w:val="nil"/>
        </w:pBdr>
        <w:tabs>
          <w:tab w:val="left" w:pos="1416"/>
          <w:tab w:val="left" w:pos="2124"/>
        </w:tabs>
        <w:ind w:left="6881"/>
        <w:jc w:val="both"/>
        <w:rPr>
          <w:rFonts w:ascii="Calibri" w:eastAsia="Calibri" w:hAnsi="Calibri" w:cs="Calibri"/>
          <w:sz w:val="22"/>
          <w:szCs w:val="22"/>
        </w:rPr>
      </w:pPr>
      <w:r w:rsidRPr="0044066E">
        <w:rPr>
          <w:rFonts w:ascii="Calibri" w:eastAsia="Calibri" w:hAnsi="Calibri" w:cs="Calibri"/>
          <w:sz w:val="22"/>
          <w:szCs w:val="22"/>
        </w:rPr>
        <w:t xml:space="preserve"> </w:t>
      </w:r>
    </w:p>
    <w:p w14:paraId="2D8CF262" w14:textId="03620B4C" w:rsidR="005C4643" w:rsidRPr="004558D0" w:rsidRDefault="00DC282B" w:rsidP="006B380A">
      <w:pPr>
        <w:numPr>
          <w:ilvl w:val="1"/>
          <w:numId w:val="17"/>
        </w:numPr>
        <w:pBdr>
          <w:top w:val="nil"/>
          <w:left w:val="nil"/>
          <w:bottom w:val="nil"/>
          <w:right w:val="nil"/>
          <w:between w:val="nil"/>
        </w:pBdr>
        <w:ind w:left="566" w:hanging="567"/>
        <w:jc w:val="both"/>
        <w:rPr>
          <w:rFonts w:ascii="Calibri" w:eastAsia="Calibri" w:hAnsi="Calibri" w:cs="Calibri"/>
          <w:sz w:val="22"/>
          <w:szCs w:val="22"/>
        </w:rPr>
      </w:pPr>
      <w:r>
        <w:rPr>
          <w:rFonts w:ascii="Calibri" w:eastAsia="Calibri" w:hAnsi="Calibri" w:cs="Calibri"/>
          <w:sz w:val="22"/>
          <w:szCs w:val="22"/>
        </w:rPr>
        <w:t>En base a</w:t>
      </w:r>
      <w:r w:rsidR="004558D0">
        <w:rPr>
          <w:rFonts w:ascii="Calibri" w:eastAsia="Calibri" w:hAnsi="Calibri" w:cs="Calibri"/>
          <w:sz w:val="22"/>
          <w:szCs w:val="22"/>
        </w:rPr>
        <w:t xml:space="preserve"> las actividades realizadas por la </w:t>
      </w:r>
      <w:r w:rsidRPr="0044066E">
        <w:rPr>
          <w:rFonts w:ascii="Calibri" w:eastAsia="Calibri" w:hAnsi="Calibri" w:cs="Calibri"/>
          <w:sz w:val="22"/>
          <w:szCs w:val="22"/>
        </w:rPr>
        <w:t>Sub Dirección de Fiscalización</w:t>
      </w:r>
      <w:r w:rsidR="004558D0">
        <w:rPr>
          <w:rFonts w:ascii="Calibri" w:eastAsia="Calibri" w:hAnsi="Calibri" w:cs="Calibri"/>
          <w:sz w:val="22"/>
          <w:szCs w:val="22"/>
        </w:rPr>
        <w:t>,</w:t>
      </w:r>
      <w:r w:rsidR="005C4643" w:rsidRPr="004558D0">
        <w:rPr>
          <w:rFonts w:ascii="Calibri" w:eastAsia="Calibri" w:hAnsi="Calibri" w:cs="Calibri"/>
          <w:sz w:val="22"/>
          <w:szCs w:val="22"/>
        </w:rPr>
        <w:t xml:space="preserve"> se encontraron ciertas dificultades que limitan un adecuado seguimiento en la programación </w:t>
      </w:r>
      <w:r w:rsidR="004558D0" w:rsidRPr="004558D0">
        <w:rPr>
          <w:rFonts w:ascii="Calibri" w:eastAsia="Calibri" w:hAnsi="Calibri" w:cs="Calibri"/>
          <w:sz w:val="22"/>
          <w:szCs w:val="22"/>
        </w:rPr>
        <w:t>de los gobiernos regionales y locales</w:t>
      </w:r>
      <w:r w:rsidR="004558D0" w:rsidRPr="004558D0">
        <w:rPr>
          <w:rFonts w:ascii="Calibri" w:eastAsia="Calibri" w:hAnsi="Calibri" w:cs="Calibri"/>
          <w:sz w:val="22"/>
          <w:szCs w:val="22"/>
        </w:rPr>
        <w:t xml:space="preserve"> </w:t>
      </w:r>
      <w:r w:rsidR="004558D0">
        <w:rPr>
          <w:rFonts w:ascii="Calibri" w:eastAsia="Calibri" w:hAnsi="Calibri" w:cs="Calibri"/>
          <w:sz w:val="22"/>
          <w:szCs w:val="22"/>
        </w:rPr>
        <w:t xml:space="preserve">sobre </w:t>
      </w:r>
      <w:r w:rsidR="005C4643" w:rsidRPr="004558D0">
        <w:rPr>
          <w:rFonts w:ascii="Calibri" w:eastAsia="Calibri" w:hAnsi="Calibri" w:cs="Calibri"/>
          <w:sz w:val="22"/>
          <w:szCs w:val="22"/>
        </w:rPr>
        <w:t>los recursos en materia de discapacida</w:t>
      </w:r>
      <w:r w:rsidR="004558D0">
        <w:rPr>
          <w:rFonts w:ascii="Calibri" w:eastAsia="Calibri" w:hAnsi="Calibri" w:cs="Calibri"/>
          <w:sz w:val="22"/>
          <w:szCs w:val="22"/>
        </w:rPr>
        <w:t>d</w:t>
      </w:r>
      <w:r w:rsidR="005C4643" w:rsidRPr="004558D0">
        <w:rPr>
          <w:rFonts w:ascii="Calibri" w:eastAsia="Calibri" w:hAnsi="Calibri" w:cs="Calibri"/>
          <w:sz w:val="22"/>
          <w:szCs w:val="22"/>
        </w:rPr>
        <w:t>, resaltando los siguientes aspectos:</w:t>
      </w:r>
    </w:p>
    <w:p w14:paraId="133B6090" w14:textId="77777777" w:rsidR="005C4643" w:rsidRPr="00DC282B" w:rsidRDefault="005C4643" w:rsidP="005C4643">
      <w:pPr>
        <w:pBdr>
          <w:top w:val="nil"/>
          <w:left w:val="nil"/>
          <w:bottom w:val="nil"/>
          <w:right w:val="nil"/>
          <w:between w:val="nil"/>
        </w:pBdr>
        <w:ind w:left="1854"/>
        <w:jc w:val="both"/>
        <w:rPr>
          <w:rFonts w:ascii="Calibri" w:eastAsia="Calibri" w:hAnsi="Calibri" w:cs="Calibri"/>
          <w:sz w:val="14"/>
          <w:szCs w:val="14"/>
        </w:rPr>
      </w:pPr>
    </w:p>
    <w:p w14:paraId="67F42850" w14:textId="2CF7230B" w:rsidR="005C4643" w:rsidRDefault="005C4643" w:rsidP="005C4643">
      <w:pPr>
        <w:numPr>
          <w:ilvl w:val="3"/>
          <w:numId w:val="17"/>
        </w:numPr>
        <w:pBdr>
          <w:top w:val="nil"/>
          <w:left w:val="nil"/>
          <w:bottom w:val="nil"/>
          <w:right w:val="nil"/>
          <w:between w:val="nil"/>
        </w:pBdr>
        <w:ind w:left="1133" w:hanging="285"/>
        <w:jc w:val="both"/>
        <w:rPr>
          <w:rFonts w:ascii="Calibri" w:eastAsia="Calibri" w:hAnsi="Calibri" w:cs="Calibri"/>
          <w:sz w:val="22"/>
          <w:szCs w:val="22"/>
        </w:rPr>
      </w:pPr>
      <w:r w:rsidRPr="0044066E">
        <w:rPr>
          <w:rFonts w:ascii="Calibri" w:eastAsia="Calibri" w:hAnsi="Calibri" w:cs="Calibri"/>
          <w:sz w:val="22"/>
          <w:szCs w:val="22"/>
        </w:rPr>
        <w:t>A nivel de gastos de capital en materia de accesibilidad, la falta de información presupuestaria desagregada impide conocer las actividades que se realizan en el marco de los programas y proyectos de inversión, las metas físicas proyectadas y alcanzadas, y a la existencia de indicadores de impacto o resultado. Los proyectos de inversión no necesariamente consideran en su totalidad la provisión de accesibilidad, sino que pueden ser parte de los componentes del proyecto.</w:t>
      </w:r>
    </w:p>
    <w:p w14:paraId="20083A22" w14:textId="77777777" w:rsidR="00DC282B" w:rsidRPr="00DC282B" w:rsidRDefault="00DC282B" w:rsidP="00DC282B">
      <w:pPr>
        <w:pBdr>
          <w:top w:val="nil"/>
          <w:left w:val="nil"/>
          <w:bottom w:val="nil"/>
          <w:right w:val="nil"/>
          <w:between w:val="nil"/>
        </w:pBdr>
        <w:ind w:left="1133"/>
        <w:jc w:val="both"/>
        <w:rPr>
          <w:rFonts w:ascii="Calibri" w:eastAsia="Calibri" w:hAnsi="Calibri" w:cs="Calibri"/>
          <w:sz w:val="10"/>
          <w:szCs w:val="10"/>
        </w:rPr>
      </w:pPr>
    </w:p>
    <w:p w14:paraId="1CBB6127" w14:textId="77777777" w:rsidR="005C4643" w:rsidRPr="0044066E" w:rsidRDefault="005C4643" w:rsidP="005C4643">
      <w:pPr>
        <w:numPr>
          <w:ilvl w:val="3"/>
          <w:numId w:val="17"/>
        </w:numPr>
        <w:pBdr>
          <w:top w:val="nil"/>
          <w:left w:val="nil"/>
          <w:bottom w:val="nil"/>
          <w:right w:val="nil"/>
          <w:between w:val="nil"/>
        </w:pBdr>
        <w:ind w:left="1133" w:hanging="285"/>
        <w:jc w:val="both"/>
        <w:rPr>
          <w:rFonts w:ascii="Calibri" w:eastAsia="Calibri" w:hAnsi="Calibri" w:cs="Calibri"/>
          <w:sz w:val="22"/>
          <w:szCs w:val="22"/>
        </w:rPr>
      </w:pPr>
      <w:r w:rsidRPr="0044066E">
        <w:rPr>
          <w:rFonts w:ascii="Calibri" w:eastAsia="Calibri" w:hAnsi="Calibri" w:cs="Calibri"/>
          <w:sz w:val="22"/>
          <w:szCs w:val="22"/>
        </w:rPr>
        <w:t xml:space="preserve">A nivel de gastos corrientes en materia de gatos operativos de las OREDIS y OMAPED, la asignación no se limita a la Cadena Presupuestal autorizada por el Ministerio de Economía y Finanzas (MEF), cuya Actividad es la 5005387 - Mejoramiento y Atención de las Personas con Discapacidad, sino que los gastos se vienen programando y registrando en otras partidas, dificultando el seguimiento. </w:t>
      </w:r>
    </w:p>
    <w:p w14:paraId="5B8AD1B5" w14:textId="77777777" w:rsidR="005C4643" w:rsidRPr="0044066E" w:rsidRDefault="005C4643" w:rsidP="005C4643">
      <w:pPr>
        <w:pBdr>
          <w:top w:val="nil"/>
          <w:left w:val="nil"/>
          <w:bottom w:val="nil"/>
          <w:right w:val="nil"/>
          <w:between w:val="nil"/>
        </w:pBdr>
        <w:tabs>
          <w:tab w:val="left" w:pos="1416"/>
          <w:tab w:val="left" w:pos="2124"/>
        </w:tabs>
        <w:ind w:left="1854"/>
        <w:jc w:val="both"/>
        <w:rPr>
          <w:rFonts w:ascii="Calibri" w:eastAsia="Calibri" w:hAnsi="Calibri" w:cs="Calibri"/>
          <w:sz w:val="22"/>
          <w:szCs w:val="22"/>
        </w:rPr>
      </w:pPr>
    </w:p>
    <w:p w14:paraId="779C03F6" w14:textId="1284FC6F" w:rsidR="005C4643" w:rsidRPr="0044066E" w:rsidRDefault="005C4643" w:rsidP="005C4643">
      <w:pPr>
        <w:numPr>
          <w:ilvl w:val="1"/>
          <w:numId w:val="17"/>
        </w:numPr>
        <w:ind w:left="566" w:hanging="566"/>
        <w:jc w:val="both"/>
        <w:rPr>
          <w:rFonts w:ascii="Calibri" w:eastAsia="Calibri" w:hAnsi="Calibri" w:cs="Calibri"/>
          <w:sz w:val="22"/>
          <w:szCs w:val="22"/>
        </w:rPr>
      </w:pPr>
      <w:r w:rsidRPr="0044066E">
        <w:rPr>
          <w:rFonts w:ascii="Calibri" w:eastAsia="Calibri" w:hAnsi="Calibri" w:cs="Calibri"/>
          <w:sz w:val="22"/>
          <w:szCs w:val="22"/>
        </w:rPr>
        <w:lastRenderedPageBreak/>
        <w:t>Por otra parte, en el marco de</w:t>
      </w:r>
      <w:r w:rsidR="00DC282B">
        <w:rPr>
          <w:rFonts w:ascii="Calibri" w:eastAsia="Calibri" w:hAnsi="Calibri" w:cs="Calibri"/>
          <w:sz w:val="22"/>
          <w:szCs w:val="22"/>
        </w:rPr>
        <w:t xml:space="preserve"> las </w:t>
      </w:r>
      <w:r w:rsidR="00DC282B" w:rsidRPr="00DC282B">
        <w:rPr>
          <w:rFonts w:ascii="Calibri" w:eastAsia="Calibri" w:hAnsi="Calibri" w:cs="Calibri"/>
          <w:sz w:val="22"/>
          <w:szCs w:val="22"/>
        </w:rPr>
        <w:t>acciones de articulación institucional de los Órganos de Línea del CONADIS respecto al presupuesto del 1% asignado por los gobiernos regionales y locales</w:t>
      </w:r>
      <w:r w:rsidR="00DC282B">
        <w:rPr>
          <w:rFonts w:ascii="Calibri" w:eastAsia="Calibri" w:hAnsi="Calibri" w:cs="Calibri"/>
          <w:sz w:val="22"/>
          <w:szCs w:val="22"/>
        </w:rPr>
        <w:t>, se definieron</w:t>
      </w:r>
      <w:r w:rsidRPr="0044066E">
        <w:rPr>
          <w:rFonts w:ascii="Calibri" w:eastAsia="Calibri" w:hAnsi="Calibri" w:cs="Calibri"/>
          <w:sz w:val="22"/>
          <w:szCs w:val="22"/>
        </w:rPr>
        <w:t xml:space="preserve"> los siguientes acuerdos: </w:t>
      </w:r>
    </w:p>
    <w:p w14:paraId="3750F432" w14:textId="77777777" w:rsidR="005C4643" w:rsidRPr="0044066E" w:rsidRDefault="005C4643" w:rsidP="005C4643">
      <w:pPr>
        <w:ind w:left="2421"/>
        <w:jc w:val="both"/>
        <w:rPr>
          <w:rFonts w:ascii="Calibri" w:eastAsia="Calibri" w:hAnsi="Calibri" w:cs="Calibri"/>
          <w:sz w:val="22"/>
          <w:szCs w:val="22"/>
        </w:rPr>
      </w:pPr>
    </w:p>
    <w:p w14:paraId="37B4F782" w14:textId="3141D79E" w:rsidR="005C4643" w:rsidRPr="0044066E" w:rsidRDefault="00DC282B" w:rsidP="005C4643">
      <w:pPr>
        <w:numPr>
          <w:ilvl w:val="0"/>
          <w:numId w:val="20"/>
        </w:numPr>
        <w:ind w:left="1140" w:hanging="289"/>
        <w:jc w:val="both"/>
        <w:rPr>
          <w:rFonts w:ascii="Calibri" w:eastAsia="Calibri" w:hAnsi="Calibri" w:cs="Calibri"/>
          <w:sz w:val="22"/>
          <w:szCs w:val="22"/>
        </w:rPr>
      </w:pPr>
      <w:r>
        <w:rPr>
          <w:rFonts w:ascii="Calibri" w:eastAsia="Calibri" w:hAnsi="Calibri" w:cs="Calibri"/>
          <w:sz w:val="22"/>
          <w:szCs w:val="22"/>
        </w:rPr>
        <w:t xml:space="preserve">Desde la </w:t>
      </w:r>
      <w:r w:rsidRPr="0044066E">
        <w:rPr>
          <w:rFonts w:ascii="Calibri" w:eastAsia="Calibri" w:hAnsi="Calibri" w:cs="Calibri"/>
          <w:sz w:val="22"/>
          <w:szCs w:val="22"/>
        </w:rPr>
        <w:t xml:space="preserve">Dirección de Promoción y Desarrollo Social </w:t>
      </w:r>
      <w:r>
        <w:rPr>
          <w:rFonts w:ascii="Calibri" w:eastAsia="Calibri" w:hAnsi="Calibri" w:cs="Calibri"/>
          <w:sz w:val="22"/>
          <w:szCs w:val="22"/>
        </w:rPr>
        <w:t>s</w:t>
      </w:r>
      <w:r w:rsidR="005C4643" w:rsidRPr="0044066E">
        <w:rPr>
          <w:rFonts w:ascii="Calibri" w:eastAsia="Calibri" w:hAnsi="Calibri" w:cs="Calibri"/>
          <w:sz w:val="22"/>
          <w:szCs w:val="22"/>
        </w:rPr>
        <w:t>e brindará y fortalecerá la asistencia técnica al personal de los gobiernos regionales y locales para la correcta asignación presupuestal del 1%.</w:t>
      </w:r>
    </w:p>
    <w:p w14:paraId="34880BCC" w14:textId="6515090E" w:rsidR="005C4643" w:rsidRPr="0044066E" w:rsidRDefault="00DC282B" w:rsidP="005C4643">
      <w:pPr>
        <w:numPr>
          <w:ilvl w:val="0"/>
          <w:numId w:val="20"/>
        </w:numPr>
        <w:ind w:left="1140" w:hanging="289"/>
        <w:jc w:val="both"/>
        <w:rPr>
          <w:rFonts w:ascii="Calibri" w:eastAsia="Calibri" w:hAnsi="Calibri" w:cs="Calibri"/>
          <w:sz w:val="22"/>
          <w:szCs w:val="22"/>
        </w:rPr>
      </w:pPr>
      <w:r>
        <w:rPr>
          <w:rFonts w:ascii="Calibri" w:eastAsia="Calibri" w:hAnsi="Calibri" w:cs="Calibri"/>
          <w:sz w:val="22"/>
          <w:szCs w:val="22"/>
        </w:rPr>
        <w:t xml:space="preserve">Desde la </w:t>
      </w:r>
      <w:r w:rsidRPr="0044066E">
        <w:rPr>
          <w:rFonts w:ascii="Calibri" w:eastAsia="Calibri" w:hAnsi="Calibri" w:cs="Calibri"/>
          <w:sz w:val="22"/>
          <w:szCs w:val="22"/>
        </w:rPr>
        <w:t xml:space="preserve">Dirección de Fiscalización y Sanciones </w:t>
      </w:r>
      <w:r>
        <w:rPr>
          <w:rFonts w:ascii="Calibri" w:eastAsia="Calibri" w:hAnsi="Calibri" w:cs="Calibri"/>
          <w:sz w:val="22"/>
          <w:szCs w:val="22"/>
        </w:rPr>
        <w:t>s</w:t>
      </w:r>
      <w:r w:rsidR="005C4643" w:rsidRPr="0044066E">
        <w:rPr>
          <w:rFonts w:ascii="Calibri" w:eastAsia="Calibri" w:hAnsi="Calibri" w:cs="Calibri"/>
          <w:sz w:val="22"/>
          <w:szCs w:val="22"/>
        </w:rPr>
        <w:t xml:space="preserve">e definirá un Anexo que permita estandarizar el contenido mínimo de los Informes Anuales que deben remitir los gobiernos </w:t>
      </w:r>
      <w:r>
        <w:rPr>
          <w:rFonts w:ascii="Calibri" w:eastAsia="Calibri" w:hAnsi="Calibri" w:cs="Calibri"/>
          <w:sz w:val="22"/>
          <w:szCs w:val="22"/>
        </w:rPr>
        <w:t>regionales y locales</w:t>
      </w:r>
      <w:r w:rsidR="005C4643" w:rsidRPr="0044066E">
        <w:rPr>
          <w:rFonts w:ascii="Calibri" w:eastAsia="Calibri" w:hAnsi="Calibri" w:cs="Calibri"/>
          <w:sz w:val="22"/>
          <w:szCs w:val="22"/>
        </w:rPr>
        <w:t>.</w:t>
      </w:r>
    </w:p>
    <w:p w14:paraId="62395538" w14:textId="77777777" w:rsidR="005C4643" w:rsidRPr="0044066E" w:rsidRDefault="005C4643" w:rsidP="005C4643">
      <w:pPr>
        <w:numPr>
          <w:ilvl w:val="0"/>
          <w:numId w:val="20"/>
        </w:numPr>
        <w:ind w:left="1140" w:hanging="289"/>
        <w:jc w:val="both"/>
        <w:rPr>
          <w:rFonts w:ascii="Calibri" w:eastAsia="Calibri" w:hAnsi="Calibri" w:cs="Calibri"/>
          <w:sz w:val="22"/>
          <w:szCs w:val="22"/>
        </w:rPr>
      </w:pPr>
      <w:r w:rsidRPr="0044066E">
        <w:rPr>
          <w:rFonts w:ascii="Calibri" w:eastAsia="Calibri" w:hAnsi="Calibri" w:cs="Calibri"/>
          <w:sz w:val="22"/>
          <w:szCs w:val="22"/>
        </w:rPr>
        <w:t>En mérito a las evidencias encontradas (informes anuales, intervenciones, etc.) por parte de los órganos de línea del CONADIS, se establece la necesidad de convocar al MEF para exponer las evidencias encontradas, a fin de viabilizar que los montos autorizados por la Ley de Presupuesto a los gobiernos subnacionales, en materia de discapacidad y accesibilidad cumplan con su finalidad.</w:t>
      </w:r>
    </w:p>
    <w:p w14:paraId="4C872374" w14:textId="77777777" w:rsidR="005C4643" w:rsidRPr="0044066E" w:rsidRDefault="005C4643" w:rsidP="005C4643">
      <w:pPr>
        <w:pBdr>
          <w:top w:val="nil"/>
          <w:left w:val="nil"/>
          <w:bottom w:val="nil"/>
          <w:right w:val="nil"/>
          <w:between w:val="nil"/>
        </w:pBdr>
        <w:ind w:left="6881"/>
        <w:jc w:val="both"/>
        <w:rPr>
          <w:rFonts w:ascii="Calibri" w:eastAsia="Calibri" w:hAnsi="Calibri" w:cs="Calibri"/>
          <w:sz w:val="22"/>
          <w:szCs w:val="22"/>
        </w:rPr>
      </w:pPr>
    </w:p>
    <w:p w14:paraId="7767F85F" w14:textId="551248B8" w:rsidR="005C4643" w:rsidRDefault="005C4643" w:rsidP="005C4643">
      <w:pPr>
        <w:numPr>
          <w:ilvl w:val="1"/>
          <w:numId w:val="17"/>
        </w:numPr>
        <w:pBdr>
          <w:top w:val="nil"/>
          <w:left w:val="nil"/>
          <w:bottom w:val="nil"/>
          <w:right w:val="nil"/>
          <w:between w:val="nil"/>
        </w:pBdr>
        <w:ind w:left="566" w:hanging="566"/>
        <w:jc w:val="both"/>
        <w:rPr>
          <w:rFonts w:ascii="Calibri" w:eastAsia="Calibri" w:hAnsi="Calibri" w:cs="Calibri"/>
          <w:sz w:val="22"/>
          <w:szCs w:val="22"/>
        </w:rPr>
      </w:pPr>
      <w:r w:rsidRPr="0044066E">
        <w:rPr>
          <w:rFonts w:ascii="Calibri" w:eastAsia="Calibri" w:hAnsi="Calibri" w:cs="Calibri"/>
          <w:sz w:val="22"/>
          <w:szCs w:val="22"/>
        </w:rPr>
        <w:t xml:space="preserve">Asimismo, dado el limitado reporte por parte de los gobiernos regionales y locales, desde la </w:t>
      </w:r>
      <w:r w:rsidR="00DC282B" w:rsidRPr="0044066E">
        <w:rPr>
          <w:rFonts w:ascii="Calibri" w:eastAsia="Calibri" w:hAnsi="Calibri" w:cs="Calibri"/>
          <w:sz w:val="22"/>
          <w:szCs w:val="22"/>
        </w:rPr>
        <w:t xml:space="preserve">Dirección de Políticas en Discapacidad </w:t>
      </w:r>
      <w:r w:rsidRPr="0044066E">
        <w:rPr>
          <w:rFonts w:ascii="Calibri" w:eastAsia="Calibri" w:hAnsi="Calibri" w:cs="Calibri"/>
          <w:sz w:val="22"/>
          <w:szCs w:val="22"/>
        </w:rPr>
        <w:t xml:space="preserve">se realizó un análisis sistemático a partir de la base de datos del Sistema Integrado de Administración Financiera (SIAF), en función a la información desagregada de </w:t>
      </w:r>
      <w:r>
        <w:rPr>
          <w:rFonts w:ascii="Calibri" w:eastAsia="Calibri" w:hAnsi="Calibri" w:cs="Calibri"/>
          <w:sz w:val="22"/>
          <w:szCs w:val="22"/>
        </w:rPr>
        <w:t xml:space="preserve">las </w:t>
      </w:r>
      <w:r w:rsidRPr="0044066E">
        <w:rPr>
          <w:rFonts w:ascii="Calibri" w:eastAsia="Calibri" w:hAnsi="Calibri" w:cs="Calibri"/>
          <w:sz w:val="22"/>
          <w:szCs w:val="22"/>
        </w:rPr>
        <w:t xml:space="preserve">Actividades y Fines Presupuestarios vinculados expresamente a la persona con discapacidad y/o a las OREDIS/OMAPED; este análisis </w:t>
      </w:r>
      <w:r w:rsidR="00DC282B">
        <w:rPr>
          <w:rFonts w:ascii="Calibri" w:eastAsia="Calibri" w:hAnsi="Calibri" w:cs="Calibri"/>
          <w:sz w:val="22"/>
          <w:szCs w:val="22"/>
        </w:rPr>
        <w:t>ha servido</w:t>
      </w:r>
      <w:r w:rsidRPr="0044066E">
        <w:rPr>
          <w:rFonts w:ascii="Calibri" w:eastAsia="Calibri" w:hAnsi="Calibri" w:cs="Calibri"/>
          <w:sz w:val="22"/>
          <w:szCs w:val="22"/>
        </w:rPr>
        <w:t xml:space="preserve"> para comparar los montos reportados por l</w:t>
      </w:r>
      <w:r w:rsidR="00DC282B">
        <w:rPr>
          <w:rFonts w:ascii="Calibri" w:eastAsia="Calibri" w:hAnsi="Calibri" w:cs="Calibri"/>
          <w:sz w:val="22"/>
          <w:szCs w:val="22"/>
        </w:rPr>
        <w:t>o</w:t>
      </w:r>
      <w:r w:rsidRPr="0044066E">
        <w:rPr>
          <w:rFonts w:ascii="Calibri" w:eastAsia="Calibri" w:hAnsi="Calibri" w:cs="Calibri"/>
          <w:sz w:val="22"/>
          <w:szCs w:val="22"/>
        </w:rPr>
        <w:t xml:space="preserve">s </w:t>
      </w:r>
      <w:r w:rsidR="00DC282B">
        <w:rPr>
          <w:rFonts w:ascii="Calibri" w:eastAsia="Calibri" w:hAnsi="Calibri" w:cs="Calibri"/>
          <w:sz w:val="22"/>
          <w:szCs w:val="22"/>
        </w:rPr>
        <w:t xml:space="preserve">gobiernos regionales y locales. </w:t>
      </w:r>
      <w:r>
        <w:rPr>
          <w:rFonts w:ascii="Calibri" w:eastAsia="Calibri" w:hAnsi="Calibri" w:cs="Calibri"/>
          <w:sz w:val="22"/>
          <w:szCs w:val="22"/>
        </w:rPr>
        <w:t>Este análisis forma parte de los resúmenes ejecutivos que se encuentra publicados en el siguiente enlace:</w:t>
      </w:r>
    </w:p>
    <w:p w14:paraId="397C99DB" w14:textId="47C52E77" w:rsidR="00DC282B" w:rsidRDefault="00DC282B" w:rsidP="00DC282B">
      <w:pPr>
        <w:pBdr>
          <w:top w:val="nil"/>
          <w:left w:val="nil"/>
          <w:bottom w:val="nil"/>
          <w:right w:val="nil"/>
          <w:between w:val="nil"/>
        </w:pBdr>
        <w:ind w:left="566"/>
        <w:jc w:val="both"/>
        <w:rPr>
          <w:rFonts w:ascii="Calibri" w:eastAsia="Calibri" w:hAnsi="Calibri" w:cs="Calibri"/>
          <w:sz w:val="22"/>
          <w:szCs w:val="22"/>
        </w:rPr>
      </w:pPr>
    </w:p>
    <w:p w14:paraId="72945CAD" w14:textId="3193AAD9" w:rsidR="00536444" w:rsidRDefault="00536444" w:rsidP="00DC282B">
      <w:pPr>
        <w:pBdr>
          <w:top w:val="nil"/>
          <w:left w:val="nil"/>
          <w:bottom w:val="nil"/>
          <w:right w:val="nil"/>
          <w:between w:val="nil"/>
        </w:pBdr>
        <w:ind w:left="566"/>
        <w:jc w:val="both"/>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659264" behindDoc="0" locked="0" layoutInCell="1" allowOverlap="1" wp14:anchorId="090E198E" wp14:editId="70D7368B">
                <wp:simplePos x="0" y="0"/>
                <wp:positionH relativeFrom="column">
                  <wp:posOffset>377825</wp:posOffset>
                </wp:positionH>
                <wp:positionV relativeFrom="paragraph">
                  <wp:posOffset>100965</wp:posOffset>
                </wp:positionV>
                <wp:extent cx="5016500" cy="361950"/>
                <wp:effectExtent l="0" t="0" r="12700" b="19050"/>
                <wp:wrapNone/>
                <wp:docPr id="90" name="Rectángulo: esquinas redondeadas 90"/>
                <wp:cNvGraphicFramePr/>
                <a:graphic xmlns:a="http://schemas.openxmlformats.org/drawingml/2006/main">
                  <a:graphicData uri="http://schemas.microsoft.com/office/word/2010/wordprocessingShape">
                    <wps:wsp>
                      <wps:cNvSpPr/>
                      <wps:spPr>
                        <a:xfrm>
                          <a:off x="0" y="0"/>
                          <a:ext cx="501650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4CBEDD" w14:textId="69CB9634" w:rsidR="00536444" w:rsidRDefault="00536444" w:rsidP="00304519">
                            <w:pPr>
                              <w:jc w:val="center"/>
                            </w:pPr>
                            <w:r w:rsidRPr="00536444">
                              <w:t>Resúmenes Ejecutivos Regionales en Materia de Discapacidad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E198E" id="Rectángulo: esquinas redondeadas 90" o:spid="_x0000_s1027" style="position:absolute;left:0;text-align:left;margin-left:29.75pt;margin-top:7.95pt;width:3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" fillcolor="#4f81bd [3204]" strokecolor="#243f60 [1604]" strokeweight="2pt">
                <v:textbox>
                  <w:txbxContent>
                    <w:p w14:paraId="764CBEDD" w14:textId="69CB9634" w:rsidR="00536444" w:rsidRDefault="00536444" w:rsidP="00304519">
                      <w:pPr>
                        <w:jc w:val="center"/>
                      </w:pPr>
                      <w:r w:rsidRPr="00536444">
                        <w:t>Resúmenes Ejecutivos Regionales en Materia de Discapacidad</w:t>
                      </w:r>
                    </w:p>
                  </w:txbxContent>
                </v:textbox>
              </v:roundrect>
            </w:pict>
          </mc:Fallback>
        </mc:AlternateContent>
      </w:r>
    </w:p>
    <w:p w14:paraId="71CB1904" w14:textId="77777777" w:rsidR="00536444" w:rsidRDefault="00536444" w:rsidP="005C4643">
      <w:pPr>
        <w:pBdr>
          <w:top w:val="nil"/>
          <w:left w:val="nil"/>
          <w:bottom w:val="nil"/>
          <w:right w:val="nil"/>
          <w:between w:val="nil"/>
        </w:pBdr>
        <w:ind w:left="566"/>
        <w:jc w:val="center"/>
      </w:pPr>
    </w:p>
    <w:p w14:paraId="632E6692" w14:textId="77777777" w:rsidR="00536444" w:rsidRDefault="00536444" w:rsidP="005C4643">
      <w:pPr>
        <w:pBdr>
          <w:top w:val="nil"/>
          <w:left w:val="nil"/>
          <w:bottom w:val="nil"/>
          <w:right w:val="nil"/>
          <w:between w:val="nil"/>
        </w:pBdr>
        <w:ind w:left="566"/>
        <w:jc w:val="center"/>
      </w:pPr>
    </w:p>
    <w:p w14:paraId="6AB04F8B" w14:textId="288E7EC8" w:rsidR="005C4643" w:rsidRDefault="00536444" w:rsidP="005C4643">
      <w:pPr>
        <w:pBdr>
          <w:top w:val="nil"/>
          <w:left w:val="nil"/>
          <w:bottom w:val="nil"/>
          <w:right w:val="nil"/>
          <w:between w:val="nil"/>
        </w:pBdr>
        <w:ind w:left="566"/>
        <w:jc w:val="center"/>
        <w:rPr>
          <w:rFonts w:ascii="Calibri" w:eastAsia="Calibri" w:hAnsi="Calibri" w:cs="Calibri"/>
          <w:sz w:val="22"/>
          <w:szCs w:val="22"/>
        </w:rPr>
      </w:pPr>
      <w:hyperlink r:id="rId16" w:history="1">
        <w:r w:rsidRPr="00150E10">
          <w:rPr>
            <w:rStyle w:val="Hipervnculo"/>
            <w:rFonts w:ascii="Calibri" w:eastAsia="Calibri" w:hAnsi="Calibri" w:cs="Calibri"/>
            <w:sz w:val="22"/>
            <w:szCs w:val="22"/>
          </w:rPr>
          <w:t>https://www.gob.pe/institucion/conadis/informes-publicaciones/2053729-resumenes-ejecutivos-regionales-en-materia-de-discapacidad</w:t>
        </w:r>
      </w:hyperlink>
    </w:p>
    <w:p w14:paraId="08E86B3B" w14:textId="38EF3260" w:rsidR="005C4643" w:rsidRDefault="005C4643" w:rsidP="005C4643">
      <w:pPr>
        <w:pBdr>
          <w:top w:val="nil"/>
          <w:left w:val="nil"/>
          <w:bottom w:val="nil"/>
          <w:right w:val="nil"/>
          <w:between w:val="nil"/>
        </w:pBdr>
        <w:ind w:left="566"/>
        <w:jc w:val="both"/>
        <w:rPr>
          <w:rFonts w:ascii="Calibri" w:eastAsia="Calibri" w:hAnsi="Calibri" w:cs="Calibri"/>
          <w:sz w:val="22"/>
          <w:szCs w:val="22"/>
        </w:rPr>
      </w:pPr>
    </w:p>
    <w:p w14:paraId="35E46C9E" w14:textId="46A542AA" w:rsidR="005C4643" w:rsidRDefault="00EA5623" w:rsidP="005C4643">
      <w:pPr>
        <w:pBdr>
          <w:top w:val="nil"/>
          <w:left w:val="nil"/>
          <w:bottom w:val="nil"/>
          <w:right w:val="nil"/>
          <w:between w:val="nil"/>
        </w:pBdr>
        <w:ind w:left="566"/>
        <w:jc w:val="both"/>
      </w:pPr>
      <w:r>
        <w:rPr>
          <w:noProof/>
        </w:rPr>
        <w:drawing>
          <wp:inline distT="0" distB="0" distL="0" distR="0" wp14:anchorId="5C3FA6F9" wp14:editId="0C6B762A">
            <wp:extent cx="943610" cy="1331595"/>
            <wp:effectExtent l="0" t="0" r="889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Pr>
          <w:noProof/>
        </w:rPr>
        <w:drawing>
          <wp:inline distT="0" distB="0" distL="0" distR="0" wp14:anchorId="79619122" wp14:editId="0DB3656F">
            <wp:extent cx="943610" cy="1331595"/>
            <wp:effectExtent l="0" t="0" r="889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Pr>
          <w:noProof/>
        </w:rPr>
        <w:drawing>
          <wp:inline distT="0" distB="0" distL="0" distR="0" wp14:anchorId="5CC9C33A" wp14:editId="3AE04059">
            <wp:extent cx="943610" cy="1331595"/>
            <wp:effectExtent l="0" t="0" r="889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Pr>
          <w:noProof/>
        </w:rPr>
        <w:drawing>
          <wp:inline distT="0" distB="0" distL="0" distR="0" wp14:anchorId="6E6ECA18" wp14:editId="54514961">
            <wp:extent cx="943610" cy="1331595"/>
            <wp:effectExtent l="0" t="0" r="889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Pr>
          <w:noProof/>
        </w:rPr>
        <w:drawing>
          <wp:inline distT="0" distB="0" distL="0" distR="0" wp14:anchorId="6B74F064" wp14:editId="10340BDF">
            <wp:extent cx="943610" cy="1331595"/>
            <wp:effectExtent l="0" t="0" r="8890" b="1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Pr>
          <w:noProof/>
        </w:rPr>
        <w:drawing>
          <wp:inline distT="0" distB="0" distL="0" distR="0" wp14:anchorId="224EBF32" wp14:editId="7BD6AE8C">
            <wp:extent cx="943610" cy="1331595"/>
            <wp:effectExtent l="0" t="0" r="889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Pr>
          <w:noProof/>
        </w:rPr>
        <w:drawing>
          <wp:inline distT="0" distB="0" distL="0" distR="0" wp14:anchorId="4DAAC533" wp14:editId="5E073A1E">
            <wp:extent cx="943610" cy="1331595"/>
            <wp:effectExtent l="0" t="0" r="889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Pr>
          <w:noProof/>
        </w:rPr>
        <w:drawing>
          <wp:inline distT="0" distB="0" distL="0" distR="0" wp14:anchorId="0A4E0354" wp14:editId="014BF92B">
            <wp:extent cx="943610" cy="1331595"/>
            <wp:effectExtent l="0" t="0" r="8890" b="190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sidR="00304519">
        <w:t xml:space="preserve"> </w:t>
      </w:r>
      <w:r>
        <w:rPr>
          <w:noProof/>
        </w:rPr>
        <w:drawing>
          <wp:inline distT="0" distB="0" distL="0" distR="0" wp14:anchorId="7E1FAD57" wp14:editId="0B5397DA">
            <wp:extent cx="943610" cy="1331595"/>
            <wp:effectExtent l="0" t="0" r="8890" b="190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EA5623">
        <w:t xml:space="preserve"> </w:t>
      </w:r>
      <w:r w:rsidR="00304519">
        <w:t xml:space="preserve"> </w:t>
      </w:r>
      <w:r>
        <w:rPr>
          <w:noProof/>
        </w:rPr>
        <w:drawing>
          <wp:inline distT="0" distB="0" distL="0" distR="0" wp14:anchorId="5AAEB39F" wp14:editId="00223B6D">
            <wp:extent cx="943610" cy="1331595"/>
            <wp:effectExtent l="0" t="0" r="889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p>
    <w:p w14:paraId="0610A232" w14:textId="21E1DA11" w:rsidR="00536444" w:rsidRDefault="00536444" w:rsidP="005C4643">
      <w:pPr>
        <w:pBdr>
          <w:top w:val="nil"/>
          <w:left w:val="nil"/>
          <w:bottom w:val="nil"/>
          <w:right w:val="nil"/>
          <w:between w:val="nil"/>
        </w:pBdr>
        <w:ind w:left="566"/>
        <w:jc w:val="both"/>
        <w:rPr>
          <w:rFonts w:ascii="Calibri" w:eastAsia="Calibri" w:hAnsi="Calibri" w:cs="Calibri"/>
          <w:sz w:val="22"/>
          <w:szCs w:val="22"/>
        </w:rPr>
      </w:pPr>
      <w:r>
        <w:rPr>
          <w:noProof/>
        </w:rPr>
        <w:lastRenderedPageBreak/>
        <w:drawing>
          <wp:inline distT="0" distB="0" distL="0" distR="0" wp14:anchorId="0B1A398E" wp14:editId="344F2AA3">
            <wp:extent cx="943610" cy="1331595"/>
            <wp:effectExtent l="0" t="0" r="8890"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020887E7" wp14:editId="65E8F058">
            <wp:extent cx="943610" cy="1331595"/>
            <wp:effectExtent l="0" t="0" r="8890"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6B8F4F92" wp14:editId="2D5DDB01">
            <wp:extent cx="943610" cy="1331595"/>
            <wp:effectExtent l="0" t="0" r="889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048D0ACA" wp14:editId="592C5C39">
            <wp:extent cx="943610" cy="1331595"/>
            <wp:effectExtent l="0" t="0" r="8890" b="190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3B204934" wp14:editId="1C42AD8F">
            <wp:extent cx="943610" cy="1331595"/>
            <wp:effectExtent l="0" t="0" r="8890"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6772ED9C" wp14:editId="368CB7D9">
            <wp:extent cx="943610" cy="1331595"/>
            <wp:effectExtent l="0" t="0" r="8890" b="190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632F421F" wp14:editId="3004E580">
            <wp:extent cx="943610" cy="1331595"/>
            <wp:effectExtent l="0" t="0" r="8890"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7D345F14" wp14:editId="53FE418E">
            <wp:extent cx="943610" cy="1331595"/>
            <wp:effectExtent l="0" t="0" r="889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59C66690" wp14:editId="23D916D8">
            <wp:extent cx="943610" cy="1331595"/>
            <wp:effectExtent l="0" t="0" r="8890"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6F22AF8E" wp14:editId="2AF3CEB5">
            <wp:extent cx="943610" cy="1331595"/>
            <wp:effectExtent l="0" t="0" r="889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4F23A857" wp14:editId="3C9E8331">
            <wp:extent cx="943610" cy="1331595"/>
            <wp:effectExtent l="0" t="0" r="889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sidR="00304519">
        <w:t xml:space="preserve"> </w:t>
      </w:r>
      <w:r>
        <w:rPr>
          <w:noProof/>
        </w:rPr>
        <w:drawing>
          <wp:inline distT="0" distB="0" distL="0" distR="0" wp14:anchorId="006DA972" wp14:editId="37B39605">
            <wp:extent cx="943610" cy="1331595"/>
            <wp:effectExtent l="0" t="0" r="889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sidR="00304519">
        <w:t xml:space="preserve"> </w:t>
      </w:r>
      <w:r>
        <w:rPr>
          <w:noProof/>
        </w:rPr>
        <w:drawing>
          <wp:inline distT="0" distB="0" distL="0" distR="0" wp14:anchorId="7784C9BC" wp14:editId="2C550E6F">
            <wp:extent cx="943610" cy="1331595"/>
            <wp:effectExtent l="0" t="0" r="8890" b="190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00304519">
        <w:t xml:space="preserve"> </w:t>
      </w:r>
      <w:r w:rsidRPr="00536444">
        <w:t xml:space="preserve"> </w:t>
      </w:r>
      <w:r>
        <w:rPr>
          <w:noProof/>
        </w:rPr>
        <w:drawing>
          <wp:inline distT="0" distB="0" distL="0" distR="0" wp14:anchorId="2C82A99B" wp14:editId="5063D8BF">
            <wp:extent cx="943610" cy="1331595"/>
            <wp:effectExtent l="0" t="0" r="8890" b="19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r w:rsidRPr="00536444">
        <w:t xml:space="preserve"> </w:t>
      </w:r>
      <w:r>
        <w:rPr>
          <w:noProof/>
        </w:rPr>
        <w:drawing>
          <wp:inline distT="0" distB="0" distL="0" distR="0" wp14:anchorId="5FC94D95" wp14:editId="456D722F">
            <wp:extent cx="943610" cy="1331595"/>
            <wp:effectExtent l="0" t="0" r="889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3610" cy="1331595"/>
                    </a:xfrm>
                    <a:prstGeom prst="rect">
                      <a:avLst/>
                    </a:prstGeom>
                    <a:noFill/>
                    <a:ln>
                      <a:noFill/>
                    </a:ln>
                  </pic:spPr>
                </pic:pic>
              </a:graphicData>
            </a:graphic>
          </wp:inline>
        </w:drawing>
      </w:r>
    </w:p>
    <w:p w14:paraId="7AC8669C" w14:textId="707781E9" w:rsidR="005C4643" w:rsidRDefault="005C4643" w:rsidP="005C4643">
      <w:pPr>
        <w:pBdr>
          <w:top w:val="nil"/>
          <w:left w:val="nil"/>
          <w:bottom w:val="nil"/>
          <w:right w:val="nil"/>
          <w:between w:val="nil"/>
        </w:pBdr>
        <w:ind w:left="566"/>
        <w:jc w:val="both"/>
        <w:rPr>
          <w:rFonts w:ascii="Calibri" w:eastAsia="Calibri" w:hAnsi="Calibri" w:cs="Calibri"/>
          <w:sz w:val="22"/>
          <w:szCs w:val="22"/>
        </w:rPr>
      </w:pPr>
    </w:p>
    <w:p w14:paraId="37466ECC" w14:textId="77777777" w:rsidR="00304519" w:rsidRDefault="00304519" w:rsidP="00304519">
      <w:pPr>
        <w:pBdr>
          <w:top w:val="nil"/>
          <w:left w:val="nil"/>
          <w:bottom w:val="nil"/>
          <w:right w:val="nil"/>
          <w:between w:val="nil"/>
        </w:pBdr>
        <w:shd w:val="clear" w:color="auto" w:fill="D9D9D9" w:themeFill="background1" w:themeFillShade="D9"/>
        <w:jc w:val="center"/>
        <w:rPr>
          <w:rFonts w:ascii="Calibri" w:eastAsia="Calibri" w:hAnsi="Calibri" w:cs="Calibri"/>
          <w:b/>
          <w:bCs/>
          <w:sz w:val="22"/>
          <w:szCs w:val="22"/>
        </w:rPr>
      </w:pPr>
      <w:r w:rsidRPr="00304519">
        <w:rPr>
          <w:rFonts w:ascii="Calibri" w:eastAsia="Calibri" w:hAnsi="Calibri" w:cs="Calibri"/>
          <w:b/>
          <w:bCs/>
          <w:sz w:val="22"/>
          <w:szCs w:val="22"/>
        </w:rPr>
        <w:t>Gráfico 1: Ejemplo de análisis de la asignación presupuestal</w:t>
      </w:r>
    </w:p>
    <w:p w14:paraId="3BE3D783" w14:textId="72DA2EE8" w:rsidR="00304519" w:rsidRPr="00304519" w:rsidRDefault="00304519" w:rsidP="00304519">
      <w:pPr>
        <w:pBdr>
          <w:top w:val="nil"/>
          <w:left w:val="nil"/>
          <w:bottom w:val="nil"/>
          <w:right w:val="nil"/>
          <w:between w:val="nil"/>
        </w:pBdr>
        <w:shd w:val="clear" w:color="auto" w:fill="D9D9D9" w:themeFill="background1" w:themeFillShade="D9"/>
        <w:jc w:val="center"/>
        <w:rPr>
          <w:rFonts w:ascii="Calibri" w:eastAsia="Calibri" w:hAnsi="Calibri" w:cs="Calibri"/>
          <w:b/>
          <w:bCs/>
          <w:sz w:val="22"/>
          <w:szCs w:val="22"/>
        </w:rPr>
      </w:pPr>
      <w:r w:rsidRPr="00304519">
        <w:rPr>
          <w:rFonts w:ascii="Calibri" w:eastAsia="Calibri" w:hAnsi="Calibri" w:cs="Calibri"/>
          <w:b/>
          <w:bCs/>
          <w:sz w:val="22"/>
          <w:szCs w:val="22"/>
        </w:rPr>
        <w:t>Caso Gobierno Regional de Amazonas</w:t>
      </w:r>
      <w:r w:rsidRPr="00304519">
        <w:rPr>
          <w:noProof/>
          <w:sz w:val="32"/>
          <w:szCs w:val="32"/>
        </w:rPr>
        <w:t xml:space="preserve"> </w:t>
      </w:r>
      <w:r>
        <w:rPr>
          <w:noProof/>
        </w:rPr>
        <w:drawing>
          <wp:inline distT="0" distB="0" distL="0" distR="0" wp14:anchorId="4DCC677B" wp14:editId="48C1B06F">
            <wp:extent cx="5399405" cy="3629025"/>
            <wp:effectExtent l="19050" t="19050" r="10795" b="28575"/>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2222" b="36912"/>
                    <a:stretch/>
                  </pic:blipFill>
                  <pic:spPr bwMode="auto">
                    <a:xfrm>
                      <a:off x="0" y="0"/>
                      <a:ext cx="5402933" cy="36313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27B946" w14:textId="6ED9A906" w:rsidR="005C4643" w:rsidRPr="0044066E" w:rsidRDefault="005C4643" w:rsidP="005C4643">
      <w:pPr>
        <w:numPr>
          <w:ilvl w:val="1"/>
          <w:numId w:val="17"/>
        </w:numPr>
        <w:pBdr>
          <w:top w:val="nil"/>
          <w:left w:val="nil"/>
          <w:bottom w:val="nil"/>
          <w:right w:val="nil"/>
          <w:between w:val="nil"/>
        </w:pBdr>
        <w:ind w:left="567" w:hanging="567"/>
        <w:jc w:val="both"/>
        <w:rPr>
          <w:rFonts w:ascii="Calibri" w:eastAsia="Calibri" w:hAnsi="Calibri" w:cs="Calibri"/>
          <w:sz w:val="22"/>
          <w:szCs w:val="22"/>
        </w:rPr>
      </w:pPr>
      <w:r w:rsidRPr="0044066E">
        <w:rPr>
          <w:rFonts w:ascii="Calibri" w:eastAsia="Calibri" w:hAnsi="Calibri" w:cs="Calibri"/>
          <w:sz w:val="22"/>
          <w:szCs w:val="22"/>
        </w:rPr>
        <w:lastRenderedPageBreak/>
        <w:t>En lo que se refiere a la información que elaboran los gobiernos regionales y locales, 23 entidades</w:t>
      </w:r>
      <w:r w:rsidR="00304519">
        <w:rPr>
          <w:rFonts w:ascii="Calibri" w:eastAsia="Calibri" w:hAnsi="Calibri" w:cs="Calibri"/>
          <w:sz w:val="22"/>
          <w:szCs w:val="22"/>
        </w:rPr>
        <w:t xml:space="preserve"> remitieron su información a CONADIS</w:t>
      </w:r>
      <w:r w:rsidRPr="0044066E">
        <w:rPr>
          <w:rFonts w:ascii="Calibri" w:eastAsia="Calibri" w:hAnsi="Calibri" w:cs="Calibri"/>
          <w:sz w:val="22"/>
          <w:szCs w:val="22"/>
        </w:rPr>
        <w:t>, 16 gobiernos locales y 7 gobiernos regionales. En caso de los gobiernos locales, estos representan el 0.85% de los 1874 gobiernos locales</w:t>
      </w:r>
      <w:r w:rsidRPr="0044066E">
        <w:rPr>
          <w:rStyle w:val="Refdenotaalpie"/>
          <w:rFonts w:ascii="Calibri" w:eastAsia="Calibri" w:hAnsi="Calibri" w:cs="Calibri"/>
          <w:sz w:val="22"/>
          <w:szCs w:val="22"/>
        </w:rPr>
        <w:footnoteReference w:id="1"/>
      </w:r>
      <w:r w:rsidRPr="0044066E">
        <w:rPr>
          <w:rFonts w:ascii="Calibri" w:eastAsia="Calibri" w:hAnsi="Calibri" w:cs="Calibri"/>
          <w:sz w:val="22"/>
          <w:szCs w:val="22"/>
        </w:rPr>
        <w:t xml:space="preserve"> y el 28% de los </w:t>
      </w:r>
      <w:r>
        <w:rPr>
          <w:rFonts w:ascii="Calibri" w:eastAsia="Calibri" w:hAnsi="Calibri" w:cs="Calibri"/>
          <w:sz w:val="22"/>
          <w:szCs w:val="22"/>
        </w:rPr>
        <w:t xml:space="preserve">25 </w:t>
      </w:r>
      <w:r w:rsidRPr="0044066E">
        <w:rPr>
          <w:rFonts w:ascii="Calibri" w:eastAsia="Calibri" w:hAnsi="Calibri" w:cs="Calibri"/>
          <w:sz w:val="22"/>
          <w:szCs w:val="22"/>
        </w:rPr>
        <w:t xml:space="preserve">gobiernos regionales. </w:t>
      </w:r>
    </w:p>
    <w:p w14:paraId="69FB7E08" w14:textId="77777777" w:rsidR="005C4643" w:rsidRPr="0044066E" w:rsidRDefault="005C4643" w:rsidP="005C4643">
      <w:pPr>
        <w:pStyle w:val="Prrafodelista"/>
        <w:rPr>
          <w:rFonts w:ascii="Calibri" w:eastAsia="Calibri" w:hAnsi="Calibri" w:cs="Calibri"/>
          <w:sz w:val="22"/>
          <w:szCs w:val="22"/>
        </w:rPr>
      </w:pPr>
    </w:p>
    <w:p w14:paraId="701EDD4F" w14:textId="77777777" w:rsidR="005C4643" w:rsidRPr="0044066E" w:rsidRDefault="005C4643" w:rsidP="005C4643">
      <w:pPr>
        <w:numPr>
          <w:ilvl w:val="1"/>
          <w:numId w:val="17"/>
        </w:numPr>
        <w:pBdr>
          <w:top w:val="nil"/>
          <w:left w:val="nil"/>
          <w:bottom w:val="nil"/>
          <w:right w:val="nil"/>
          <w:between w:val="nil"/>
        </w:pBdr>
        <w:ind w:left="567" w:hanging="567"/>
        <w:jc w:val="both"/>
        <w:rPr>
          <w:rFonts w:ascii="Calibri" w:eastAsia="Calibri" w:hAnsi="Calibri" w:cs="Calibri"/>
          <w:sz w:val="22"/>
          <w:szCs w:val="22"/>
        </w:rPr>
      </w:pPr>
      <w:r w:rsidRPr="0044066E">
        <w:rPr>
          <w:rFonts w:ascii="Calibri" w:eastAsia="Calibri" w:hAnsi="Calibri" w:cs="Calibri"/>
          <w:sz w:val="22"/>
          <w:szCs w:val="22"/>
        </w:rPr>
        <w:t>Sobre esta información, se incluyó el 0.5% del Presupuesto Institucional Modificado, publicado por el MEF, como monto referencial, y poder utilizarlo para realizar la estimación de los porcentajes de ejecución según los montos reportados.</w:t>
      </w:r>
    </w:p>
    <w:p w14:paraId="6B1D08D2" w14:textId="77777777" w:rsidR="005C4643" w:rsidRPr="0044066E" w:rsidRDefault="005C4643" w:rsidP="005C4643">
      <w:pPr>
        <w:pStyle w:val="Prrafodelista"/>
        <w:rPr>
          <w:rFonts w:ascii="Calibri" w:eastAsia="Calibri" w:hAnsi="Calibri" w:cs="Calibri"/>
          <w:sz w:val="22"/>
          <w:szCs w:val="22"/>
        </w:rPr>
      </w:pPr>
    </w:p>
    <w:p w14:paraId="53E85A7F" w14:textId="77777777" w:rsidR="005C4643" w:rsidRPr="0044066E" w:rsidRDefault="005C4643" w:rsidP="005C4643">
      <w:pPr>
        <w:numPr>
          <w:ilvl w:val="1"/>
          <w:numId w:val="17"/>
        </w:numPr>
        <w:pBdr>
          <w:top w:val="nil"/>
          <w:left w:val="nil"/>
          <w:bottom w:val="nil"/>
          <w:right w:val="nil"/>
          <w:between w:val="nil"/>
        </w:pBdr>
        <w:ind w:left="567" w:hanging="567"/>
        <w:jc w:val="both"/>
        <w:rPr>
          <w:rFonts w:ascii="Calibri" w:eastAsia="Calibri" w:hAnsi="Calibri" w:cs="Calibri"/>
          <w:sz w:val="22"/>
          <w:szCs w:val="22"/>
        </w:rPr>
      </w:pPr>
      <w:r w:rsidRPr="0044066E">
        <w:rPr>
          <w:rFonts w:ascii="Calibri" w:eastAsia="Calibri" w:hAnsi="Calibri" w:cs="Calibri"/>
          <w:sz w:val="22"/>
          <w:szCs w:val="22"/>
        </w:rPr>
        <w:t>Cabe señalar que, en caso de los gastos operativos, en algunos casos se estaría tomando en consideración los montos correspondientes a Programas Presupuestales, los cuales escapan de la función de las OREDIS/OMAPED.</w:t>
      </w:r>
    </w:p>
    <w:p w14:paraId="13E49DDF" w14:textId="77777777" w:rsidR="005C4643" w:rsidRPr="0044066E" w:rsidRDefault="005C4643" w:rsidP="005C4643">
      <w:pPr>
        <w:pBdr>
          <w:top w:val="nil"/>
          <w:left w:val="nil"/>
          <w:bottom w:val="nil"/>
          <w:right w:val="nil"/>
          <w:between w:val="nil"/>
        </w:pBdr>
        <w:ind w:left="567"/>
        <w:jc w:val="both"/>
        <w:rPr>
          <w:rFonts w:ascii="Calibri" w:eastAsia="Calibri" w:hAnsi="Calibri" w:cs="Calibri"/>
          <w:sz w:val="22"/>
          <w:szCs w:val="22"/>
        </w:rPr>
      </w:pPr>
    </w:p>
    <w:p w14:paraId="44891E6C" w14:textId="77777777" w:rsidR="005C4643" w:rsidRPr="0044066E" w:rsidRDefault="005C4643" w:rsidP="005C4643">
      <w:pPr>
        <w:numPr>
          <w:ilvl w:val="1"/>
          <w:numId w:val="17"/>
        </w:numPr>
        <w:pBdr>
          <w:top w:val="nil"/>
          <w:left w:val="nil"/>
          <w:bottom w:val="nil"/>
          <w:right w:val="nil"/>
          <w:between w:val="nil"/>
        </w:pBdr>
        <w:ind w:left="567" w:hanging="567"/>
        <w:jc w:val="both"/>
        <w:rPr>
          <w:rFonts w:ascii="Calibri" w:eastAsia="Calibri" w:hAnsi="Calibri" w:cs="Calibri"/>
          <w:sz w:val="22"/>
          <w:szCs w:val="22"/>
        </w:rPr>
      </w:pPr>
      <w:r w:rsidRPr="0044066E">
        <w:rPr>
          <w:rFonts w:ascii="Calibri" w:eastAsia="Calibri" w:hAnsi="Calibri" w:cs="Calibri"/>
          <w:sz w:val="22"/>
          <w:szCs w:val="22"/>
        </w:rPr>
        <w:t>De igual manera, en caso de los gastos de capital, tal como se señaló anteriormente, se debe señalar que los proyectos de inversión no necesariamente consideran en su totalidad la provisión de accesibilidad, sino que pueden ser parte de los componentes del proyecto, dificultando el cálculo exacto de los montos correspondientes. Por esta razón, en algunos casos los montos podrían estarse sobre estimando, por considerar los montos completos de determinados proyectos, o sub estimando, por no considerar montos correspondientes a los componentes de accesibilidad de otros proyectos de inversión.</w:t>
      </w:r>
    </w:p>
    <w:p w14:paraId="5B60E7BB" w14:textId="77777777" w:rsidR="005C4643" w:rsidRPr="0044066E" w:rsidRDefault="005C4643" w:rsidP="005C4643">
      <w:pPr>
        <w:pStyle w:val="Prrafodelista"/>
        <w:rPr>
          <w:rFonts w:ascii="Calibri" w:eastAsia="Calibri" w:hAnsi="Calibri" w:cs="Calibri"/>
          <w:sz w:val="22"/>
          <w:szCs w:val="22"/>
        </w:rPr>
      </w:pPr>
    </w:p>
    <w:p w14:paraId="2FA6CA40" w14:textId="77777777" w:rsidR="005C4643" w:rsidRPr="0044066E" w:rsidRDefault="005C4643" w:rsidP="005C4643">
      <w:pPr>
        <w:numPr>
          <w:ilvl w:val="1"/>
          <w:numId w:val="17"/>
        </w:numPr>
        <w:pBdr>
          <w:top w:val="nil"/>
          <w:left w:val="nil"/>
          <w:bottom w:val="nil"/>
          <w:right w:val="nil"/>
          <w:between w:val="nil"/>
        </w:pBdr>
        <w:ind w:left="567" w:hanging="567"/>
        <w:jc w:val="both"/>
        <w:rPr>
          <w:rFonts w:ascii="Calibri" w:eastAsia="Calibri" w:hAnsi="Calibri" w:cs="Calibri"/>
          <w:sz w:val="22"/>
          <w:szCs w:val="22"/>
        </w:rPr>
        <w:sectPr w:rsidR="005C4643" w:rsidRPr="0044066E" w:rsidSect="006E21AE">
          <w:headerReference w:type="default" r:id="rId43"/>
          <w:footerReference w:type="default" r:id="rId44"/>
          <w:pgSz w:w="11906" w:h="16838"/>
          <w:pgMar w:top="2127" w:right="1701" w:bottom="1644" w:left="1701" w:header="709" w:footer="671"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26"/>
        </w:sectPr>
      </w:pPr>
      <w:r w:rsidRPr="0044066E">
        <w:rPr>
          <w:rFonts w:ascii="Calibri" w:eastAsia="Calibri" w:hAnsi="Calibri" w:cs="Calibri"/>
          <w:sz w:val="22"/>
          <w:szCs w:val="22"/>
        </w:rPr>
        <w:br w:type="page"/>
      </w:r>
    </w:p>
    <w:p w14:paraId="2CA9C082" w14:textId="77777777" w:rsidR="005C4643" w:rsidRPr="003E5F65" w:rsidRDefault="005C4643" w:rsidP="005C4643">
      <w:pPr>
        <w:jc w:val="center"/>
        <w:rPr>
          <w:rFonts w:ascii="Calibri" w:eastAsia="Calibri" w:hAnsi="Calibri" w:cs="Calibri"/>
          <w:b/>
          <w:bCs/>
          <w:sz w:val="22"/>
          <w:szCs w:val="22"/>
        </w:rPr>
      </w:pPr>
      <w:r w:rsidRPr="003E5F65">
        <w:rPr>
          <w:rFonts w:ascii="Calibri" w:eastAsia="Calibri" w:hAnsi="Calibri" w:cs="Calibri"/>
          <w:b/>
          <w:bCs/>
          <w:sz w:val="22"/>
          <w:szCs w:val="22"/>
        </w:rPr>
        <w:lastRenderedPageBreak/>
        <w:t>Tabla 1: Sistematización de informes presupuestarios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1242"/>
        <w:gridCol w:w="1226"/>
        <w:gridCol w:w="948"/>
        <w:gridCol w:w="1188"/>
        <w:gridCol w:w="960"/>
        <w:gridCol w:w="1293"/>
        <w:gridCol w:w="1107"/>
        <w:gridCol w:w="1384"/>
        <w:gridCol w:w="1107"/>
        <w:gridCol w:w="1289"/>
        <w:gridCol w:w="2103"/>
      </w:tblGrid>
      <w:tr w:rsidR="005C4643" w:rsidRPr="0044066E" w14:paraId="17AEF915" w14:textId="77777777" w:rsidTr="003301A8">
        <w:trPr>
          <w:trHeight w:val="255"/>
          <w:tblHeader/>
        </w:trPr>
        <w:tc>
          <w:tcPr>
            <w:tcW w:w="191" w:type="pct"/>
            <w:vMerge w:val="restart"/>
            <w:shd w:val="clear" w:color="000000" w:fill="9BC2E6"/>
            <w:noWrap/>
            <w:vAlign w:val="center"/>
            <w:hideMark/>
          </w:tcPr>
          <w:p w14:paraId="074B0B1B"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N°</w:t>
            </w:r>
          </w:p>
        </w:tc>
        <w:tc>
          <w:tcPr>
            <w:tcW w:w="438" w:type="pct"/>
            <w:vMerge w:val="restart"/>
            <w:shd w:val="clear" w:color="000000" w:fill="9BC2E6"/>
            <w:vAlign w:val="center"/>
            <w:hideMark/>
          </w:tcPr>
          <w:p w14:paraId="64F5B00C"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NIVEL DE </w:t>
            </w:r>
            <w:r w:rsidRPr="0044066E">
              <w:rPr>
                <w:rFonts w:ascii="Calibri" w:hAnsi="Calibri"/>
                <w:b/>
                <w:bCs/>
                <w:color w:val="000000"/>
                <w:sz w:val="18"/>
                <w:szCs w:val="18"/>
              </w:rPr>
              <w:br/>
              <w:t>GOBIERNO</w:t>
            </w:r>
          </w:p>
        </w:tc>
        <w:tc>
          <w:tcPr>
            <w:tcW w:w="435" w:type="pct"/>
            <w:vMerge w:val="restart"/>
            <w:shd w:val="clear" w:color="000000" w:fill="9BC2E6"/>
            <w:noWrap/>
            <w:vAlign w:val="center"/>
            <w:hideMark/>
          </w:tcPr>
          <w:p w14:paraId="406FA0C3"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ENTIDAD</w:t>
            </w:r>
          </w:p>
        </w:tc>
        <w:tc>
          <w:tcPr>
            <w:tcW w:w="334" w:type="pct"/>
            <w:vMerge w:val="restart"/>
            <w:shd w:val="clear" w:color="000000" w:fill="9BC2E6"/>
            <w:vAlign w:val="center"/>
            <w:hideMark/>
          </w:tcPr>
          <w:p w14:paraId="157741F8"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REGIÓN</w:t>
            </w:r>
          </w:p>
        </w:tc>
        <w:tc>
          <w:tcPr>
            <w:tcW w:w="761" w:type="pct"/>
            <w:gridSpan w:val="2"/>
            <w:vMerge w:val="restart"/>
            <w:shd w:val="clear" w:color="000000" w:fill="9BC2E6"/>
            <w:vAlign w:val="center"/>
            <w:hideMark/>
          </w:tcPr>
          <w:p w14:paraId="1B2A7481"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SIAF 2020</w:t>
            </w:r>
          </w:p>
        </w:tc>
        <w:tc>
          <w:tcPr>
            <w:tcW w:w="1737" w:type="pct"/>
            <w:gridSpan w:val="4"/>
            <w:shd w:val="clear" w:color="000000" w:fill="9BC2E6"/>
            <w:vAlign w:val="center"/>
            <w:hideMark/>
          </w:tcPr>
          <w:p w14:paraId="46C42F30"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INFORMACIÓN DE REPORTE</w:t>
            </w:r>
            <w:r w:rsidRPr="0044066E">
              <w:rPr>
                <w:rFonts w:ascii="Calibri" w:hAnsi="Calibri"/>
                <w:b/>
                <w:bCs/>
                <w:color w:val="000000"/>
                <w:sz w:val="18"/>
                <w:szCs w:val="18"/>
              </w:rPr>
              <w:br/>
              <w:t xml:space="preserve">1% </w:t>
            </w:r>
          </w:p>
        </w:tc>
        <w:tc>
          <w:tcPr>
            <w:tcW w:w="248" w:type="pct"/>
            <w:vMerge w:val="restart"/>
            <w:shd w:val="clear" w:color="000000" w:fill="9BC2E6"/>
            <w:vAlign w:val="center"/>
            <w:hideMark/>
          </w:tcPr>
          <w:p w14:paraId="6F53125C"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ACTIVIDAD PRESUPUESTAL o CADENA PRESUPUESTAL</w:t>
            </w:r>
          </w:p>
        </w:tc>
        <w:tc>
          <w:tcPr>
            <w:tcW w:w="856" w:type="pct"/>
            <w:vMerge w:val="restart"/>
            <w:shd w:val="clear" w:color="000000" w:fill="9BC2E6"/>
            <w:vAlign w:val="center"/>
            <w:hideMark/>
          </w:tcPr>
          <w:p w14:paraId="60F45007"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INVERSIONES / ACTIVIDADES EJECUTADAS EN EL AÑO 2020</w:t>
            </w:r>
            <w:r w:rsidRPr="0044066E">
              <w:rPr>
                <w:rFonts w:ascii="Calibri" w:hAnsi="Calibri"/>
                <w:b/>
                <w:bCs/>
                <w:color w:val="000000"/>
                <w:sz w:val="18"/>
                <w:szCs w:val="18"/>
              </w:rPr>
              <w:br/>
              <w:t>-TIPOLOGÍA-</w:t>
            </w:r>
          </w:p>
        </w:tc>
      </w:tr>
      <w:tr w:rsidR="005C4643" w:rsidRPr="0044066E" w14:paraId="0FEF91FF" w14:textId="77777777" w:rsidTr="003301A8">
        <w:trPr>
          <w:trHeight w:val="255"/>
          <w:tblHeader/>
        </w:trPr>
        <w:tc>
          <w:tcPr>
            <w:tcW w:w="191" w:type="pct"/>
            <w:vMerge/>
            <w:vAlign w:val="center"/>
            <w:hideMark/>
          </w:tcPr>
          <w:p w14:paraId="2E965A9E" w14:textId="77777777" w:rsidR="005C4643" w:rsidRPr="0044066E" w:rsidRDefault="005C4643" w:rsidP="003301A8">
            <w:pPr>
              <w:rPr>
                <w:rFonts w:ascii="Calibri" w:hAnsi="Calibri"/>
                <w:b/>
                <w:bCs/>
                <w:color w:val="000000"/>
                <w:sz w:val="18"/>
                <w:szCs w:val="18"/>
              </w:rPr>
            </w:pPr>
          </w:p>
        </w:tc>
        <w:tc>
          <w:tcPr>
            <w:tcW w:w="438" w:type="pct"/>
            <w:vMerge/>
            <w:vAlign w:val="center"/>
            <w:hideMark/>
          </w:tcPr>
          <w:p w14:paraId="591F3DE2" w14:textId="77777777" w:rsidR="005C4643" w:rsidRPr="0044066E" w:rsidRDefault="005C4643" w:rsidP="003301A8">
            <w:pPr>
              <w:rPr>
                <w:rFonts w:ascii="Calibri" w:hAnsi="Calibri"/>
                <w:b/>
                <w:bCs/>
                <w:color w:val="000000"/>
                <w:sz w:val="18"/>
                <w:szCs w:val="18"/>
              </w:rPr>
            </w:pPr>
          </w:p>
        </w:tc>
        <w:tc>
          <w:tcPr>
            <w:tcW w:w="435" w:type="pct"/>
            <w:vMerge/>
            <w:vAlign w:val="center"/>
            <w:hideMark/>
          </w:tcPr>
          <w:p w14:paraId="1E95E2D1" w14:textId="77777777" w:rsidR="005C4643" w:rsidRPr="0044066E" w:rsidRDefault="005C4643" w:rsidP="003301A8">
            <w:pPr>
              <w:rPr>
                <w:rFonts w:ascii="Calibri" w:hAnsi="Calibri"/>
                <w:b/>
                <w:bCs/>
                <w:color w:val="000000"/>
                <w:sz w:val="18"/>
                <w:szCs w:val="18"/>
              </w:rPr>
            </w:pPr>
          </w:p>
        </w:tc>
        <w:tc>
          <w:tcPr>
            <w:tcW w:w="334" w:type="pct"/>
            <w:vMerge/>
            <w:vAlign w:val="center"/>
            <w:hideMark/>
          </w:tcPr>
          <w:p w14:paraId="772B2BFD" w14:textId="77777777" w:rsidR="005C4643" w:rsidRPr="0044066E" w:rsidRDefault="005C4643" w:rsidP="003301A8">
            <w:pPr>
              <w:rPr>
                <w:rFonts w:ascii="Calibri" w:hAnsi="Calibri"/>
                <w:b/>
                <w:bCs/>
                <w:color w:val="000000"/>
                <w:sz w:val="18"/>
                <w:szCs w:val="18"/>
              </w:rPr>
            </w:pPr>
          </w:p>
        </w:tc>
        <w:tc>
          <w:tcPr>
            <w:tcW w:w="761" w:type="pct"/>
            <w:gridSpan w:val="2"/>
            <w:vMerge/>
            <w:vAlign w:val="center"/>
            <w:hideMark/>
          </w:tcPr>
          <w:p w14:paraId="4E436E5D" w14:textId="77777777" w:rsidR="005C4643" w:rsidRPr="0044066E" w:rsidRDefault="005C4643" w:rsidP="003301A8">
            <w:pPr>
              <w:rPr>
                <w:rFonts w:ascii="Calibri" w:hAnsi="Calibri"/>
                <w:b/>
                <w:bCs/>
                <w:color w:val="000000"/>
                <w:sz w:val="18"/>
                <w:szCs w:val="18"/>
              </w:rPr>
            </w:pPr>
          </w:p>
        </w:tc>
        <w:tc>
          <w:tcPr>
            <w:tcW w:w="852" w:type="pct"/>
            <w:gridSpan w:val="2"/>
            <w:shd w:val="clear" w:color="000000" w:fill="9BC2E6"/>
            <w:vAlign w:val="center"/>
            <w:hideMark/>
          </w:tcPr>
          <w:p w14:paraId="0BEDBD88"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OREDIS / OMAPED</w:t>
            </w:r>
          </w:p>
        </w:tc>
        <w:tc>
          <w:tcPr>
            <w:tcW w:w="885" w:type="pct"/>
            <w:gridSpan w:val="2"/>
            <w:shd w:val="clear" w:color="000000" w:fill="9BC2E6"/>
            <w:vAlign w:val="center"/>
            <w:hideMark/>
          </w:tcPr>
          <w:p w14:paraId="3A8CB26B"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ACCESIBILIDAD</w:t>
            </w:r>
          </w:p>
        </w:tc>
        <w:tc>
          <w:tcPr>
            <w:tcW w:w="248" w:type="pct"/>
            <w:vMerge/>
            <w:vAlign w:val="center"/>
            <w:hideMark/>
          </w:tcPr>
          <w:p w14:paraId="42A58C8F" w14:textId="77777777" w:rsidR="005C4643" w:rsidRPr="0044066E" w:rsidRDefault="005C4643" w:rsidP="003301A8">
            <w:pPr>
              <w:rPr>
                <w:rFonts w:ascii="Calibri" w:hAnsi="Calibri"/>
                <w:b/>
                <w:bCs/>
                <w:color w:val="000000"/>
                <w:sz w:val="18"/>
                <w:szCs w:val="18"/>
              </w:rPr>
            </w:pPr>
          </w:p>
        </w:tc>
        <w:tc>
          <w:tcPr>
            <w:tcW w:w="856" w:type="pct"/>
            <w:vMerge/>
            <w:vAlign w:val="center"/>
            <w:hideMark/>
          </w:tcPr>
          <w:p w14:paraId="640E340C" w14:textId="77777777" w:rsidR="005C4643" w:rsidRPr="0044066E" w:rsidRDefault="005C4643" w:rsidP="003301A8">
            <w:pPr>
              <w:rPr>
                <w:rFonts w:ascii="Calibri" w:hAnsi="Calibri"/>
                <w:b/>
                <w:bCs/>
                <w:color w:val="000000"/>
                <w:sz w:val="18"/>
                <w:szCs w:val="18"/>
              </w:rPr>
            </w:pPr>
          </w:p>
        </w:tc>
      </w:tr>
      <w:tr w:rsidR="005C4643" w:rsidRPr="0044066E" w14:paraId="78938E8F" w14:textId="77777777" w:rsidTr="003301A8">
        <w:trPr>
          <w:trHeight w:val="1785"/>
          <w:tblHeader/>
        </w:trPr>
        <w:tc>
          <w:tcPr>
            <w:tcW w:w="191" w:type="pct"/>
            <w:vMerge/>
            <w:vAlign w:val="center"/>
            <w:hideMark/>
          </w:tcPr>
          <w:p w14:paraId="74C08ABF" w14:textId="77777777" w:rsidR="005C4643" w:rsidRPr="0044066E" w:rsidRDefault="005C4643" w:rsidP="003301A8">
            <w:pPr>
              <w:rPr>
                <w:rFonts w:ascii="Calibri" w:hAnsi="Calibri"/>
                <w:b/>
                <w:bCs/>
                <w:color w:val="000000"/>
                <w:sz w:val="18"/>
                <w:szCs w:val="18"/>
              </w:rPr>
            </w:pPr>
          </w:p>
        </w:tc>
        <w:tc>
          <w:tcPr>
            <w:tcW w:w="438" w:type="pct"/>
            <w:vMerge/>
            <w:vAlign w:val="center"/>
            <w:hideMark/>
          </w:tcPr>
          <w:p w14:paraId="1997BA8C" w14:textId="77777777" w:rsidR="005C4643" w:rsidRPr="0044066E" w:rsidRDefault="005C4643" w:rsidP="003301A8">
            <w:pPr>
              <w:rPr>
                <w:rFonts w:ascii="Calibri" w:hAnsi="Calibri"/>
                <w:b/>
                <w:bCs/>
                <w:color w:val="000000"/>
                <w:sz w:val="18"/>
                <w:szCs w:val="18"/>
              </w:rPr>
            </w:pPr>
          </w:p>
        </w:tc>
        <w:tc>
          <w:tcPr>
            <w:tcW w:w="435" w:type="pct"/>
            <w:vMerge/>
            <w:vAlign w:val="center"/>
            <w:hideMark/>
          </w:tcPr>
          <w:p w14:paraId="6CDC5BC2" w14:textId="77777777" w:rsidR="005C4643" w:rsidRPr="0044066E" w:rsidRDefault="005C4643" w:rsidP="003301A8">
            <w:pPr>
              <w:rPr>
                <w:rFonts w:ascii="Calibri" w:hAnsi="Calibri"/>
                <w:b/>
                <w:bCs/>
                <w:color w:val="000000"/>
                <w:sz w:val="18"/>
                <w:szCs w:val="18"/>
              </w:rPr>
            </w:pPr>
          </w:p>
        </w:tc>
        <w:tc>
          <w:tcPr>
            <w:tcW w:w="334" w:type="pct"/>
            <w:vMerge/>
            <w:vAlign w:val="center"/>
            <w:hideMark/>
          </w:tcPr>
          <w:p w14:paraId="5CB90594" w14:textId="77777777" w:rsidR="005C4643" w:rsidRPr="0044066E" w:rsidRDefault="005C4643" w:rsidP="003301A8">
            <w:pPr>
              <w:rPr>
                <w:rFonts w:ascii="Calibri" w:hAnsi="Calibri"/>
                <w:b/>
                <w:bCs/>
                <w:color w:val="000000"/>
                <w:sz w:val="18"/>
                <w:szCs w:val="18"/>
              </w:rPr>
            </w:pPr>
          </w:p>
        </w:tc>
        <w:tc>
          <w:tcPr>
            <w:tcW w:w="761" w:type="pct"/>
            <w:gridSpan w:val="2"/>
            <w:shd w:val="clear" w:color="000000" w:fill="9BC2E6"/>
            <w:vAlign w:val="center"/>
            <w:hideMark/>
          </w:tcPr>
          <w:p w14:paraId="4117F261"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PIM DEL GORE/GL </w:t>
            </w:r>
          </w:p>
        </w:tc>
        <w:tc>
          <w:tcPr>
            <w:tcW w:w="459" w:type="pct"/>
            <w:shd w:val="clear" w:color="000000" w:fill="9BC2E6"/>
            <w:vAlign w:val="center"/>
            <w:hideMark/>
          </w:tcPr>
          <w:p w14:paraId="4EBA577E"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PRESUPUESTO EJECUTADO DECLARADO POR EL GORE/GL </w:t>
            </w:r>
          </w:p>
        </w:tc>
        <w:tc>
          <w:tcPr>
            <w:tcW w:w="392" w:type="pct"/>
            <w:shd w:val="clear" w:color="000000" w:fill="9BC2E6"/>
            <w:vAlign w:val="center"/>
            <w:hideMark/>
          </w:tcPr>
          <w:p w14:paraId="5DBB57F6"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PORCENTAJE DE EJECUCIÓN SOBRE MONTO DEL SIAF </w:t>
            </w:r>
          </w:p>
        </w:tc>
        <w:tc>
          <w:tcPr>
            <w:tcW w:w="492" w:type="pct"/>
            <w:shd w:val="clear" w:color="000000" w:fill="9BC2E6"/>
            <w:vAlign w:val="center"/>
            <w:hideMark/>
          </w:tcPr>
          <w:p w14:paraId="772A5460"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PRESUPUESTO EJECUTADO DECLARADO POR EL GORE/GL </w:t>
            </w:r>
          </w:p>
        </w:tc>
        <w:tc>
          <w:tcPr>
            <w:tcW w:w="392" w:type="pct"/>
            <w:shd w:val="clear" w:color="000000" w:fill="9BC2E6"/>
            <w:vAlign w:val="center"/>
            <w:hideMark/>
          </w:tcPr>
          <w:p w14:paraId="2DF3E92D"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PORCENTAJE DE EJECUCIÓN SOBRE MONTO DEL SIAF </w:t>
            </w:r>
          </w:p>
        </w:tc>
        <w:tc>
          <w:tcPr>
            <w:tcW w:w="248" w:type="pct"/>
            <w:vMerge/>
            <w:vAlign w:val="center"/>
            <w:hideMark/>
          </w:tcPr>
          <w:p w14:paraId="01453865" w14:textId="77777777" w:rsidR="005C4643" w:rsidRPr="0044066E" w:rsidRDefault="005C4643" w:rsidP="003301A8">
            <w:pPr>
              <w:rPr>
                <w:rFonts w:ascii="Calibri" w:hAnsi="Calibri"/>
                <w:b/>
                <w:bCs/>
                <w:color w:val="000000"/>
                <w:sz w:val="18"/>
                <w:szCs w:val="18"/>
              </w:rPr>
            </w:pPr>
          </w:p>
        </w:tc>
        <w:tc>
          <w:tcPr>
            <w:tcW w:w="856" w:type="pct"/>
            <w:vMerge/>
            <w:vAlign w:val="center"/>
            <w:hideMark/>
          </w:tcPr>
          <w:p w14:paraId="57913463" w14:textId="77777777" w:rsidR="005C4643" w:rsidRPr="0044066E" w:rsidRDefault="005C4643" w:rsidP="003301A8">
            <w:pPr>
              <w:rPr>
                <w:rFonts w:ascii="Calibri" w:hAnsi="Calibri"/>
                <w:b/>
                <w:bCs/>
                <w:color w:val="000000"/>
                <w:sz w:val="18"/>
                <w:szCs w:val="18"/>
              </w:rPr>
            </w:pPr>
          </w:p>
        </w:tc>
      </w:tr>
      <w:tr w:rsidR="005C4643" w:rsidRPr="0044066E" w14:paraId="207219E1" w14:textId="77777777" w:rsidTr="003301A8">
        <w:trPr>
          <w:trHeight w:val="510"/>
          <w:tblHeader/>
        </w:trPr>
        <w:tc>
          <w:tcPr>
            <w:tcW w:w="191" w:type="pct"/>
            <w:vMerge/>
            <w:vAlign w:val="center"/>
            <w:hideMark/>
          </w:tcPr>
          <w:p w14:paraId="4FD0EC06" w14:textId="77777777" w:rsidR="005C4643" w:rsidRPr="0044066E" w:rsidRDefault="005C4643" w:rsidP="003301A8">
            <w:pPr>
              <w:rPr>
                <w:rFonts w:ascii="Calibri" w:hAnsi="Calibri"/>
                <w:b/>
                <w:bCs/>
                <w:color w:val="000000"/>
                <w:sz w:val="18"/>
                <w:szCs w:val="18"/>
              </w:rPr>
            </w:pPr>
          </w:p>
        </w:tc>
        <w:tc>
          <w:tcPr>
            <w:tcW w:w="438" w:type="pct"/>
            <w:vMerge/>
            <w:vAlign w:val="center"/>
            <w:hideMark/>
          </w:tcPr>
          <w:p w14:paraId="1CFB878F" w14:textId="77777777" w:rsidR="005C4643" w:rsidRPr="0044066E" w:rsidRDefault="005C4643" w:rsidP="003301A8">
            <w:pPr>
              <w:rPr>
                <w:rFonts w:ascii="Calibri" w:hAnsi="Calibri"/>
                <w:b/>
                <w:bCs/>
                <w:color w:val="000000"/>
                <w:sz w:val="18"/>
                <w:szCs w:val="18"/>
              </w:rPr>
            </w:pPr>
          </w:p>
        </w:tc>
        <w:tc>
          <w:tcPr>
            <w:tcW w:w="435" w:type="pct"/>
            <w:vMerge/>
            <w:vAlign w:val="center"/>
            <w:hideMark/>
          </w:tcPr>
          <w:p w14:paraId="788C4992" w14:textId="77777777" w:rsidR="005C4643" w:rsidRPr="0044066E" w:rsidRDefault="005C4643" w:rsidP="003301A8">
            <w:pPr>
              <w:rPr>
                <w:rFonts w:ascii="Calibri" w:hAnsi="Calibri"/>
                <w:b/>
                <w:bCs/>
                <w:color w:val="000000"/>
                <w:sz w:val="18"/>
                <w:szCs w:val="18"/>
              </w:rPr>
            </w:pPr>
          </w:p>
        </w:tc>
        <w:tc>
          <w:tcPr>
            <w:tcW w:w="334" w:type="pct"/>
            <w:vMerge/>
            <w:vAlign w:val="center"/>
            <w:hideMark/>
          </w:tcPr>
          <w:p w14:paraId="38EF50F6" w14:textId="77777777" w:rsidR="005C4643" w:rsidRPr="0044066E" w:rsidRDefault="005C4643" w:rsidP="003301A8">
            <w:pPr>
              <w:rPr>
                <w:rFonts w:ascii="Calibri" w:hAnsi="Calibri"/>
                <w:b/>
                <w:bCs/>
                <w:color w:val="000000"/>
                <w:sz w:val="18"/>
                <w:szCs w:val="18"/>
              </w:rPr>
            </w:pPr>
          </w:p>
        </w:tc>
        <w:tc>
          <w:tcPr>
            <w:tcW w:w="421" w:type="pct"/>
            <w:shd w:val="clear" w:color="000000" w:fill="9BC2E6"/>
            <w:vAlign w:val="center"/>
            <w:hideMark/>
          </w:tcPr>
          <w:p w14:paraId="5001CF00"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Monto total en soles </w:t>
            </w:r>
          </w:p>
        </w:tc>
        <w:tc>
          <w:tcPr>
            <w:tcW w:w="339" w:type="pct"/>
            <w:shd w:val="clear" w:color="000000" w:fill="9BC2E6"/>
            <w:vAlign w:val="center"/>
            <w:hideMark/>
          </w:tcPr>
          <w:p w14:paraId="706F0079"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0.5% del PIM en soles </w:t>
            </w:r>
          </w:p>
        </w:tc>
        <w:tc>
          <w:tcPr>
            <w:tcW w:w="459" w:type="pct"/>
            <w:shd w:val="clear" w:color="000000" w:fill="9BC2E6"/>
            <w:vAlign w:val="center"/>
            <w:hideMark/>
          </w:tcPr>
          <w:p w14:paraId="6D721B1D"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Monto en soles </w:t>
            </w:r>
          </w:p>
        </w:tc>
        <w:tc>
          <w:tcPr>
            <w:tcW w:w="392" w:type="pct"/>
            <w:shd w:val="clear" w:color="000000" w:fill="9BC2E6"/>
            <w:vAlign w:val="center"/>
            <w:hideMark/>
          </w:tcPr>
          <w:p w14:paraId="4D871CCC"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Porcentaje </w:t>
            </w:r>
          </w:p>
        </w:tc>
        <w:tc>
          <w:tcPr>
            <w:tcW w:w="492" w:type="pct"/>
            <w:shd w:val="clear" w:color="000000" w:fill="9BC2E6"/>
            <w:vAlign w:val="center"/>
            <w:hideMark/>
          </w:tcPr>
          <w:p w14:paraId="5368A24A"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Monto en soles </w:t>
            </w:r>
          </w:p>
        </w:tc>
        <w:tc>
          <w:tcPr>
            <w:tcW w:w="392" w:type="pct"/>
            <w:shd w:val="clear" w:color="000000" w:fill="9BC2E6"/>
            <w:vAlign w:val="center"/>
            <w:hideMark/>
          </w:tcPr>
          <w:p w14:paraId="7026C519"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 xml:space="preserve"> Porcentaje </w:t>
            </w:r>
          </w:p>
        </w:tc>
        <w:tc>
          <w:tcPr>
            <w:tcW w:w="248" w:type="pct"/>
            <w:shd w:val="clear" w:color="000000" w:fill="9BC2E6"/>
            <w:vAlign w:val="center"/>
            <w:hideMark/>
          </w:tcPr>
          <w:p w14:paraId="1A645695"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Detalle</w:t>
            </w:r>
          </w:p>
        </w:tc>
        <w:tc>
          <w:tcPr>
            <w:tcW w:w="856" w:type="pct"/>
            <w:shd w:val="clear" w:color="000000" w:fill="9BC2E6"/>
            <w:vAlign w:val="center"/>
            <w:hideMark/>
          </w:tcPr>
          <w:p w14:paraId="165A4768" w14:textId="77777777" w:rsidR="005C4643" w:rsidRPr="0044066E" w:rsidRDefault="005C4643" w:rsidP="003301A8">
            <w:pPr>
              <w:jc w:val="center"/>
              <w:rPr>
                <w:rFonts w:ascii="Calibri" w:hAnsi="Calibri"/>
                <w:b/>
                <w:bCs/>
                <w:color w:val="000000"/>
                <w:sz w:val="18"/>
                <w:szCs w:val="18"/>
              </w:rPr>
            </w:pPr>
            <w:r w:rsidRPr="0044066E">
              <w:rPr>
                <w:rFonts w:ascii="Calibri" w:hAnsi="Calibri"/>
                <w:b/>
                <w:bCs/>
                <w:color w:val="000000"/>
                <w:sz w:val="18"/>
                <w:szCs w:val="18"/>
              </w:rPr>
              <w:t>Detalle</w:t>
            </w:r>
          </w:p>
        </w:tc>
      </w:tr>
      <w:tr w:rsidR="005C4643" w:rsidRPr="0044066E" w14:paraId="411B4695" w14:textId="77777777" w:rsidTr="003301A8">
        <w:trPr>
          <w:trHeight w:val="1020"/>
        </w:trPr>
        <w:tc>
          <w:tcPr>
            <w:tcW w:w="191" w:type="pct"/>
            <w:shd w:val="clear" w:color="000000" w:fill="FFFFFF"/>
            <w:noWrap/>
            <w:vAlign w:val="center"/>
          </w:tcPr>
          <w:p w14:paraId="54578FF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w:t>
            </w:r>
          </w:p>
        </w:tc>
        <w:tc>
          <w:tcPr>
            <w:tcW w:w="438" w:type="pct"/>
            <w:shd w:val="clear" w:color="000000" w:fill="FFFFFF"/>
            <w:vAlign w:val="center"/>
            <w:hideMark/>
          </w:tcPr>
          <w:p w14:paraId="3E3A347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Gobierno </w:t>
            </w:r>
            <w:r w:rsidRPr="0044066E">
              <w:rPr>
                <w:rFonts w:ascii="Calibri" w:hAnsi="Calibri"/>
                <w:color w:val="000000"/>
                <w:sz w:val="18"/>
                <w:szCs w:val="18"/>
              </w:rPr>
              <w:br/>
              <w:t>Regional</w:t>
            </w:r>
          </w:p>
        </w:tc>
        <w:tc>
          <w:tcPr>
            <w:tcW w:w="435" w:type="pct"/>
            <w:shd w:val="clear" w:color="000000" w:fill="FFFFFF"/>
            <w:vAlign w:val="center"/>
            <w:hideMark/>
          </w:tcPr>
          <w:p w14:paraId="59FCB018"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Regional de Apurímac</w:t>
            </w:r>
          </w:p>
        </w:tc>
        <w:tc>
          <w:tcPr>
            <w:tcW w:w="334" w:type="pct"/>
            <w:shd w:val="clear" w:color="000000" w:fill="FFFFFF"/>
            <w:noWrap/>
            <w:vAlign w:val="center"/>
            <w:hideMark/>
          </w:tcPr>
          <w:p w14:paraId="4DFC7F4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Apurímac</w:t>
            </w:r>
          </w:p>
        </w:tc>
        <w:tc>
          <w:tcPr>
            <w:tcW w:w="421" w:type="pct"/>
            <w:shd w:val="clear" w:color="000000" w:fill="FFFFFF"/>
            <w:vAlign w:val="center"/>
            <w:hideMark/>
          </w:tcPr>
          <w:p w14:paraId="6AAAC81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1,213,767,785 </w:t>
            </w:r>
          </w:p>
        </w:tc>
        <w:tc>
          <w:tcPr>
            <w:tcW w:w="339" w:type="pct"/>
            <w:shd w:val="clear" w:color="000000" w:fill="FFFFFF"/>
            <w:vAlign w:val="center"/>
            <w:hideMark/>
          </w:tcPr>
          <w:p w14:paraId="34CAEE4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6,068,839 </w:t>
            </w:r>
          </w:p>
        </w:tc>
        <w:tc>
          <w:tcPr>
            <w:tcW w:w="459" w:type="pct"/>
            <w:shd w:val="clear" w:color="000000" w:fill="FFFFFF"/>
            <w:noWrap/>
            <w:vAlign w:val="center"/>
            <w:hideMark/>
          </w:tcPr>
          <w:p w14:paraId="6823DE0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5,118,523 </w:t>
            </w:r>
          </w:p>
        </w:tc>
        <w:tc>
          <w:tcPr>
            <w:tcW w:w="392" w:type="pct"/>
            <w:shd w:val="clear" w:color="000000" w:fill="FFFFFF"/>
            <w:vAlign w:val="center"/>
            <w:hideMark/>
          </w:tcPr>
          <w:p w14:paraId="430A84C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84%</w:t>
            </w:r>
          </w:p>
        </w:tc>
        <w:tc>
          <w:tcPr>
            <w:tcW w:w="492" w:type="pct"/>
            <w:shd w:val="clear" w:color="000000" w:fill="FFFFFF"/>
            <w:noWrap/>
            <w:vAlign w:val="center"/>
            <w:hideMark/>
          </w:tcPr>
          <w:p w14:paraId="0594509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3,214,374 </w:t>
            </w:r>
          </w:p>
        </w:tc>
        <w:tc>
          <w:tcPr>
            <w:tcW w:w="392" w:type="pct"/>
            <w:shd w:val="clear" w:color="000000" w:fill="FFFFFF"/>
            <w:noWrap/>
            <w:vAlign w:val="center"/>
            <w:hideMark/>
          </w:tcPr>
          <w:p w14:paraId="25E3535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53%</w:t>
            </w:r>
          </w:p>
        </w:tc>
        <w:tc>
          <w:tcPr>
            <w:tcW w:w="248" w:type="pct"/>
            <w:shd w:val="clear" w:color="000000" w:fill="FFFFFF"/>
            <w:vAlign w:val="center"/>
            <w:hideMark/>
          </w:tcPr>
          <w:p w14:paraId="1D0219B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Cadena 23 - Protección Social, 20 - Salud, 22 - Educación</w:t>
            </w:r>
          </w:p>
        </w:tc>
        <w:tc>
          <w:tcPr>
            <w:tcW w:w="856" w:type="pct"/>
            <w:shd w:val="clear" w:color="000000" w:fill="FFFFFF"/>
            <w:vAlign w:val="center"/>
            <w:hideMark/>
          </w:tcPr>
          <w:p w14:paraId="74A034E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Programa Presupuestal: 0106 Inclusión de niños, niñas y jóvenes con discapacidad en la educación básica y técnico productiva</w:t>
            </w:r>
          </w:p>
        </w:tc>
      </w:tr>
      <w:tr w:rsidR="005C4643" w:rsidRPr="0044066E" w14:paraId="068DC486" w14:textId="77777777" w:rsidTr="003301A8">
        <w:trPr>
          <w:trHeight w:val="517"/>
        </w:trPr>
        <w:tc>
          <w:tcPr>
            <w:tcW w:w="191" w:type="pct"/>
            <w:shd w:val="clear" w:color="000000" w:fill="FFFFFF"/>
            <w:noWrap/>
            <w:vAlign w:val="center"/>
          </w:tcPr>
          <w:p w14:paraId="4E6F9DE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2</w:t>
            </w:r>
          </w:p>
        </w:tc>
        <w:tc>
          <w:tcPr>
            <w:tcW w:w="438" w:type="pct"/>
            <w:shd w:val="clear" w:color="000000" w:fill="FFFFFF"/>
            <w:vAlign w:val="center"/>
            <w:hideMark/>
          </w:tcPr>
          <w:p w14:paraId="2B0A076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Gobierno </w:t>
            </w:r>
            <w:r w:rsidRPr="0044066E">
              <w:rPr>
                <w:rFonts w:ascii="Calibri" w:hAnsi="Calibri"/>
                <w:color w:val="000000"/>
                <w:sz w:val="18"/>
                <w:szCs w:val="18"/>
              </w:rPr>
              <w:br/>
              <w:t>Regional</w:t>
            </w:r>
          </w:p>
        </w:tc>
        <w:tc>
          <w:tcPr>
            <w:tcW w:w="435" w:type="pct"/>
            <w:shd w:val="clear" w:color="000000" w:fill="FFFFFF"/>
            <w:vAlign w:val="center"/>
            <w:hideMark/>
          </w:tcPr>
          <w:p w14:paraId="3ACADBC0"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Regional de Ayacucho</w:t>
            </w:r>
          </w:p>
        </w:tc>
        <w:tc>
          <w:tcPr>
            <w:tcW w:w="334" w:type="pct"/>
            <w:shd w:val="clear" w:color="000000" w:fill="FFFFFF"/>
            <w:noWrap/>
            <w:vAlign w:val="center"/>
            <w:hideMark/>
          </w:tcPr>
          <w:p w14:paraId="135D2CB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Ayacucho</w:t>
            </w:r>
          </w:p>
        </w:tc>
        <w:tc>
          <w:tcPr>
            <w:tcW w:w="421" w:type="pct"/>
            <w:shd w:val="clear" w:color="000000" w:fill="FFFFFF"/>
            <w:vAlign w:val="center"/>
            <w:hideMark/>
          </w:tcPr>
          <w:p w14:paraId="78894BC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1,864,040,913 </w:t>
            </w:r>
          </w:p>
        </w:tc>
        <w:tc>
          <w:tcPr>
            <w:tcW w:w="339" w:type="pct"/>
            <w:shd w:val="clear" w:color="000000" w:fill="FFFFFF"/>
            <w:vAlign w:val="center"/>
            <w:hideMark/>
          </w:tcPr>
          <w:p w14:paraId="462C452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9,320,205 </w:t>
            </w:r>
          </w:p>
        </w:tc>
        <w:tc>
          <w:tcPr>
            <w:tcW w:w="459" w:type="pct"/>
            <w:shd w:val="clear" w:color="000000" w:fill="FFFFFF"/>
            <w:noWrap/>
            <w:vAlign w:val="center"/>
            <w:hideMark/>
          </w:tcPr>
          <w:p w14:paraId="2B66477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99,413 </w:t>
            </w:r>
          </w:p>
        </w:tc>
        <w:tc>
          <w:tcPr>
            <w:tcW w:w="392" w:type="pct"/>
            <w:shd w:val="clear" w:color="000000" w:fill="FFFFFF"/>
            <w:vAlign w:val="center"/>
            <w:hideMark/>
          </w:tcPr>
          <w:p w14:paraId="0DD110C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w:t>
            </w:r>
          </w:p>
        </w:tc>
        <w:tc>
          <w:tcPr>
            <w:tcW w:w="492" w:type="pct"/>
            <w:shd w:val="clear" w:color="000000" w:fill="FFFFFF"/>
            <w:noWrap/>
            <w:vAlign w:val="center"/>
            <w:hideMark/>
          </w:tcPr>
          <w:p w14:paraId="287C722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5,695,061 </w:t>
            </w:r>
          </w:p>
        </w:tc>
        <w:tc>
          <w:tcPr>
            <w:tcW w:w="392" w:type="pct"/>
            <w:shd w:val="clear" w:color="000000" w:fill="FFFFFF"/>
            <w:noWrap/>
            <w:vAlign w:val="center"/>
            <w:hideMark/>
          </w:tcPr>
          <w:p w14:paraId="4933812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61%</w:t>
            </w:r>
          </w:p>
        </w:tc>
        <w:tc>
          <w:tcPr>
            <w:tcW w:w="248" w:type="pct"/>
            <w:shd w:val="clear" w:color="000000" w:fill="FFFFFF"/>
            <w:vAlign w:val="center"/>
            <w:hideMark/>
          </w:tcPr>
          <w:p w14:paraId="57EDB5B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Meta 123: Apoyo</w:t>
            </w:r>
            <w:r w:rsidRPr="0044066E">
              <w:rPr>
                <w:rFonts w:ascii="Calibri" w:hAnsi="Calibri"/>
                <w:color w:val="000000"/>
                <w:sz w:val="18"/>
                <w:szCs w:val="18"/>
              </w:rPr>
              <w:br/>
              <w:t xml:space="preserve"> al Ciudadano, Familia y Personas con Discapacidad </w:t>
            </w:r>
          </w:p>
        </w:tc>
        <w:tc>
          <w:tcPr>
            <w:tcW w:w="856" w:type="pct"/>
            <w:shd w:val="clear" w:color="000000" w:fill="FFFFFF"/>
            <w:vAlign w:val="center"/>
            <w:hideMark/>
          </w:tcPr>
          <w:p w14:paraId="5561087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16 Proyectos de Inversión con rampas y ascensores (Año Fiscal 2021)</w:t>
            </w:r>
          </w:p>
        </w:tc>
      </w:tr>
      <w:tr w:rsidR="005C4643" w:rsidRPr="0044066E" w14:paraId="10529C9B" w14:textId="77777777" w:rsidTr="003301A8">
        <w:trPr>
          <w:trHeight w:val="1020"/>
        </w:trPr>
        <w:tc>
          <w:tcPr>
            <w:tcW w:w="191" w:type="pct"/>
            <w:shd w:val="clear" w:color="000000" w:fill="FFFFFF"/>
            <w:noWrap/>
            <w:vAlign w:val="center"/>
          </w:tcPr>
          <w:p w14:paraId="07B90A9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3</w:t>
            </w:r>
          </w:p>
        </w:tc>
        <w:tc>
          <w:tcPr>
            <w:tcW w:w="438" w:type="pct"/>
            <w:shd w:val="clear" w:color="000000" w:fill="FFFFFF"/>
            <w:vAlign w:val="center"/>
            <w:hideMark/>
          </w:tcPr>
          <w:p w14:paraId="60D9233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Gobierno </w:t>
            </w:r>
            <w:r w:rsidRPr="0044066E">
              <w:rPr>
                <w:rFonts w:ascii="Calibri" w:hAnsi="Calibri"/>
                <w:color w:val="000000"/>
                <w:sz w:val="18"/>
                <w:szCs w:val="18"/>
              </w:rPr>
              <w:br/>
              <w:t>Regional</w:t>
            </w:r>
          </w:p>
        </w:tc>
        <w:tc>
          <w:tcPr>
            <w:tcW w:w="435" w:type="pct"/>
            <w:shd w:val="clear" w:color="000000" w:fill="FFFFFF"/>
            <w:vAlign w:val="center"/>
            <w:hideMark/>
          </w:tcPr>
          <w:p w14:paraId="0529E52F"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Regional de Cajamarca</w:t>
            </w:r>
          </w:p>
        </w:tc>
        <w:tc>
          <w:tcPr>
            <w:tcW w:w="334" w:type="pct"/>
            <w:shd w:val="clear" w:color="000000" w:fill="FFFFFF"/>
            <w:noWrap/>
            <w:vAlign w:val="center"/>
            <w:hideMark/>
          </w:tcPr>
          <w:p w14:paraId="3349DF8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Cajamarca</w:t>
            </w:r>
          </w:p>
        </w:tc>
        <w:tc>
          <w:tcPr>
            <w:tcW w:w="421" w:type="pct"/>
            <w:shd w:val="clear" w:color="000000" w:fill="FFFFFF"/>
            <w:vAlign w:val="center"/>
            <w:hideMark/>
          </w:tcPr>
          <w:p w14:paraId="3410A19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2,636,701,596 </w:t>
            </w:r>
          </w:p>
        </w:tc>
        <w:tc>
          <w:tcPr>
            <w:tcW w:w="339" w:type="pct"/>
            <w:shd w:val="clear" w:color="000000" w:fill="FFFFFF"/>
            <w:vAlign w:val="center"/>
            <w:hideMark/>
          </w:tcPr>
          <w:p w14:paraId="7D1336F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13,183,508 </w:t>
            </w:r>
          </w:p>
        </w:tc>
        <w:tc>
          <w:tcPr>
            <w:tcW w:w="459" w:type="pct"/>
            <w:shd w:val="clear" w:color="000000" w:fill="FFFFFF"/>
            <w:noWrap/>
            <w:vAlign w:val="center"/>
            <w:hideMark/>
          </w:tcPr>
          <w:p w14:paraId="653105F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124,777 </w:t>
            </w:r>
          </w:p>
        </w:tc>
        <w:tc>
          <w:tcPr>
            <w:tcW w:w="392" w:type="pct"/>
            <w:shd w:val="clear" w:color="000000" w:fill="FFFFFF"/>
            <w:vAlign w:val="center"/>
            <w:hideMark/>
          </w:tcPr>
          <w:p w14:paraId="24BE92F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w:t>
            </w:r>
          </w:p>
        </w:tc>
        <w:tc>
          <w:tcPr>
            <w:tcW w:w="492" w:type="pct"/>
            <w:shd w:val="clear" w:color="000000" w:fill="FFFFFF"/>
            <w:noWrap/>
            <w:vAlign w:val="center"/>
            <w:hideMark/>
          </w:tcPr>
          <w:p w14:paraId="3E1A184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NR </w:t>
            </w:r>
          </w:p>
        </w:tc>
        <w:tc>
          <w:tcPr>
            <w:tcW w:w="392" w:type="pct"/>
            <w:shd w:val="clear" w:color="000000" w:fill="FFFFFF"/>
            <w:vAlign w:val="center"/>
            <w:hideMark/>
          </w:tcPr>
          <w:p w14:paraId="0A232FB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248" w:type="pct"/>
            <w:shd w:val="clear" w:color="000000" w:fill="FFFFFF"/>
            <w:vAlign w:val="center"/>
            <w:hideMark/>
          </w:tcPr>
          <w:p w14:paraId="02EB69D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Meta 00004-75: Acciones de Oficina Regional de Atención a la Persona con Discapacidad - OREDIS.</w:t>
            </w:r>
          </w:p>
        </w:tc>
        <w:tc>
          <w:tcPr>
            <w:tcW w:w="856" w:type="pct"/>
            <w:shd w:val="clear" w:color="000000" w:fill="FFFFFF"/>
            <w:noWrap/>
            <w:vAlign w:val="center"/>
            <w:hideMark/>
          </w:tcPr>
          <w:p w14:paraId="1C47FA1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r w:rsidR="005C4643" w:rsidRPr="0044066E" w14:paraId="339624B6" w14:textId="77777777" w:rsidTr="003301A8">
        <w:trPr>
          <w:trHeight w:val="1530"/>
        </w:trPr>
        <w:tc>
          <w:tcPr>
            <w:tcW w:w="191" w:type="pct"/>
            <w:shd w:val="clear" w:color="000000" w:fill="FFFFFF"/>
            <w:noWrap/>
            <w:vAlign w:val="center"/>
          </w:tcPr>
          <w:p w14:paraId="4C4E92A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lastRenderedPageBreak/>
              <w:t>4</w:t>
            </w:r>
          </w:p>
        </w:tc>
        <w:tc>
          <w:tcPr>
            <w:tcW w:w="438" w:type="pct"/>
            <w:shd w:val="clear" w:color="000000" w:fill="FFFFFF"/>
            <w:vAlign w:val="center"/>
            <w:hideMark/>
          </w:tcPr>
          <w:p w14:paraId="7D5D71F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Gobierno </w:t>
            </w:r>
            <w:r w:rsidRPr="0044066E">
              <w:rPr>
                <w:rFonts w:ascii="Calibri" w:hAnsi="Calibri"/>
                <w:color w:val="000000"/>
                <w:sz w:val="18"/>
                <w:szCs w:val="18"/>
              </w:rPr>
              <w:br/>
              <w:t>Regional</w:t>
            </w:r>
          </w:p>
        </w:tc>
        <w:tc>
          <w:tcPr>
            <w:tcW w:w="435" w:type="pct"/>
            <w:shd w:val="clear" w:color="000000" w:fill="FFFFFF"/>
            <w:vAlign w:val="center"/>
            <w:hideMark/>
          </w:tcPr>
          <w:p w14:paraId="04EA6515"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Regional del Callao</w:t>
            </w:r>
          </w:p>
        </w:tc>
        <w:tc>
          <w:tcPr>
            <w:tcW w:w="334" w:type="pct"/>
            <w:shd w:val="clear" w:color="000000" w:fill="FFFFFF"/>
            <w:noWrap/>
            <w:vAlign w:val="center"/>
            <w:hideMark/>
          </w:tcPr>
          <w:p w14:paraId="2F34816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Callao</w:t>
            </w:r>
          </w:p>
        </w:tc>
        <w:tc>
          <w:tcPr>
            <w:tcW w:w="421" w:type="pct"/>
            <w:shd w:val="clear" w:color="000000" w:fill="FFFFFF"/>
            <w:vAlign w:val="center"/>
            <w:hideMark/>
          </w:tcPr>
          <w:p w14:paraId="0C558E7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1,326,745,574 </w:t>
            </w:r>
          </w:p>
        </w:tc>
        <w:tc>
          <w:tcPr>
            <w:tcW w:w="339" w:type="pct"/>
            <w:shd w:val="clear" w:color="000000" w:fill="FFFFFF"/>
            <w:vAlign w:val="center"/>
            <w:hideMark/>
          </w:tcPr>
          <w:p w14:paraId="4947EFC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6,633,728 </w:t>
            </w:r>
          </w:p>
        </w:tc>
        <w:tc>
          <w:tcPr>
            <w:tcW w:w="459" w:type="pct"/>
            <w:shd w:val="clear" w:color="000000" w:fill="FFFFFF"/>
            <w:noWrap/>
            <w:vAlign w:val="center"/>
            <w:hideMark/>
          </w:tcPr>
          <w:p w14:paraId="67C5AE9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1,188,242 </w:t>
            </w:r>
          </w:p>
        </w:tc>
        <w:tc>
          <w:tcPr>
            <w:tcW w:w="392" w:type="pct"/>
            <w:shd w:val="clear" w:color="000000" w:fill="FFFFFF"/>
            <w:vAlign w:val="center"/>
            <w:hideMark/>
          </w:tcPr>
          <w:p w14:paraId="25C854F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18%</w:t>
            </w:r>
          </w:p>
        </w:tc>
        <w:tc>
          <w:tcPr>
            <w:tcW w:w="492" w:type="pct"/>
            <w:shd w:val="clear" w:color="000000" w:fill="FFFFFF"/>
            <w:noWrap/>
            <w:vAlign w:val="center"/>
            <w:hideMark/>
          </w:tcPr>
          <w:p w14:paraId="116F52D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11,239,233 </w:t>
            </w:r>
          </w:p>
        </w:tc>
        <w:tc>
          <w:tcPr>
            <w:tcW w:w="392" w:type="pct"/>
            <w:shd w:val="clear" w:color="000000" w:fill="FFFFFF"/>
            <w:noWrap/>
            <w:vAlign w:val="center"/>
            <w:hideMark/>
          </w:tcPr>
          <w:p w14:paraId="76CA62F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169%</w:t>
            </w:r>
          </w:p>
        </w:tc>
        <w:tc>
          <w:tcPr>
            <w:tcW w:w="248" w:type="pct"/>
            <w:shd w:val="clear" w:color="000000" w:fill="FFFFFF"/>
            <w:noWrap/>
            <w:vAlign w:val="center"/>
            <w:hideMark/>
          </w:tcPr>
          <w:p w14:paraId="4D437B8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856" w:type="pct"/>
            <w:shd w:val="clear" w:color="000000" w:fill="FFFFFF"/>
            <w:vAlign w:val="center"/>
            <w:hideMark/>
          </w:tcPr>
          <w:p w14:paraId="30E746D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Programas Presupuestales: 0106 Inclusión de niños, niñas y jóvenes con discapacidad en la educación básica y técnico productiva; 0129 Prevención y manejo de condiciones secundarias de salud en personas con discapacidad</w:t>
            </w:r>
          </w:p>
        </w:tc>
      </w:tr>
      <w:tr w:rsidR="005C4643" w:rsidRPr="0044066E" w14:paraId="5522126A" w14:textId="77777777" w:rsidTr="003301A8">
        <w:trPr>
          <w:trHeight w:val="1134"/>
        </w:trPr>
        <w:tc>
          <w:tcPr>
            <w:tcW w:w="191" w:type="pct"/>
            <w:shd w:val="clear" w:color="000000" w:fill="FFFFFF"/>
            <w:noWrap/>
            <w:vAlign w:val="center"/>
          </w:tcPr>
          <w:p w14:paraId="220B3C3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w:t>
            </w:r>
          </w:p>
        </w:tc>
        <w:tc>
          <w:tcPr>
            <w:tcW w:w="438" w:type="pct"/>
            <w:shd w:val="clear" w:color="000000" w:fill="FFFFFF"/>
            <w:vAlign w:val="center"/>
            <w:hideMark/>
          </w:tcPr>
          <w:p w14:paraId="2411417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Gobierno </w:t>
            </w:r>
            <w:r w:rsidRPr="0044066E">
              <w:rPr>
                <w:rFonts w:ascii="Calibri" w:hAnsi="Calibri"/>
                <w:color w:val="000000"/>
                <w:sz w:val="18"/>
                <w:szCs w:val="18"/>
              </w:rPr>
              <w:br/>
              <w:t>Regional</w:t>
            </w:r>
          </w:p>
        </w:tc>
        <w:tc>
          <w:tcPr>
            <w:tcW w:w="435" w:type="pct"/>
            <w:shd w:val="clear" w:color="000000" w:fill="FFFFFF"/>
            <w:vAlign w:val="center"/>
            <w:hideMark/>
          </w:tcPr>
          <w:p w14:paraId="4508B936"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Regional de Junín</w:t>
            </w:r>
          </w:p>
        </w:tc>
        <w:tc>
          <w:tcPr>
            <w:tcW w:w="334" w:type="pct"/>
            <w:shd w:val="clear" w:color="000000" w:fill="FFFFFF"/>
            <w:noWrap/>
            <w:vAlign w:val="center"/>
            <w:hideMark/>
          </w:tcPr>
          <w:p w14:paraId="7AB61DB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Junín</w:t>
            </w:r>
          </w:p>
        </w:tc>
        <w:tc>
          <w:tcPr>
            <w:tcW w:w="421" w:type="pct"/>
            <w:shd w:val="clear" w:color="000000" w:fill="FFFFFF"/>
            <w:vAlign w:val="center"/>
            <w:hideMark/>
          </w:tcPr>
          <w:p w14:paraId="379DD74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2,190,625,585 </w:t>
            </w:r>
          </w:p>
        </w:tc>
        <w:tc>
          <w:tcPr>
            <w:tcW w:w="339" w:type="pct"/>
            <w:shd w:val="clear" w:color="000000" w:fill="FFFFFF"/>
            <w:vAlign w:val="center"/>
            <w:hideMark/>
          </w:tcPr>
          <w:p w14:paraId="3D59BA9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10,953,128 </w:t>
            </w:r>
          </w:p>
        </w:tc>
        <w:tc>
          <w:tcPr>
            <w:tcW w:w="459" w:type="pct"/>
            <w:shd w:val="clear" w:color="000000" w:fill="FFFFFF"/>
            <w:noWrap/>
            <w:vAlign w:val="center"/>
            <w:hideMark/>
          </w:tcPr>
          <w:p w14:paraId="36589C0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42,222 </w:t>
            </w:r>
          </w:p>
        </w:tc>
        <w:tc>
          <w:tcPr>
            <w:tcW w:w="392" w:type="pct"/>
            <w:shd w:val="clear" w:color="000000" w:fill="FFFFFF"/>
            <w:vAlign w:val="center"/>
            <w:hideMark/>
          </w:tcPr>
          <w:p w14:paraId="0066C2F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0%</w:t>
            </w:r>
          </w:p>
        </w:tc>
        <w:tc>
          <w:tcPr>
            <w:tcW w:w="492" w:type="pct"/>
            <w:shd w:val="clear" w:color="000000" w:fill="FFFFFF"/>
            <w:noWrap/>
            <w:vAlign w:val="center"/>
            <w:hideMark/>
          </w:tcPr>
          <w:p w14:paraId="0151377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70,079 </w:t>
            </w:r>
          </w:p>
        </w:tc>
        <w:tc>
          <w:tcPr>
            <w:tcW w:w="392" w:type="pct"/>
            <w:shd w:val="clear" w:color="000000" w:fill="FFFFFF"/>
            <w:noWrap/>
            <w:vAlign w:val="center"/>
            <w:hideMark/>
          </w:tcPr>
          <w:p w14:paraId="23C9DEF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w:t>
            </w:r>
          </w:p>
        </w:tc>
        <w:tc>
          <w:tcPr>
            <w:tcW w:w="248" w:type="pct"/>
            <w:shd w:val="clear" w:color="000000" w:fill="FFFFFF"/>
            <w:vAlign w:val="center"/>
            <w:hideMark/>
          </w:tcPr>
          <w:p w14:paraId="127BB94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5000453 - Apoyo al ciudadano con discapacidad</w:t>
            </w:r>
          </w:p>
        </w:tc>
        <w:tc>
          <w:tcPr>
            <w:tcW w:w="856" w:type="pct"/>
            <w:shd w:val="clear" w:color="000000" w:fill="FFFFFF"/>
            <w:noWrap/>
            <w:vAlign w:val="center"/>
            <w:hideMark/>
          </w:tcPr>
          <w:p w14:paraId="2F7FCE8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r w:rsidR="005C4643" w:rsidRPr="0044066E" w14:paraId="61DD7388" w14:textId="77777777" w:rsidTr="003301A8">
        <w:trPr>
          <w:trHeight w:val="765"/>
        </w:trPr>
        <w:tc>
          <w:tcPr>
            <w:tcW w:w="191" w:type="pct"/>
            <w:shd w:val="clear" w:color="000000" w:fill="FFFFFF"/>
            <w:noWrap/>
            <w:vAlign w:val="center"/>
          </w:tcPr>
          <w:p w14:paraId="1729476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6</w:t>
            </w:r>
          </w:p>
        </w:tc>
        <w:tc>
          <w:tcPr>
            <w:tcW w:w="438" w:type="pct"/>
            <w:shd w:val="clear" w:color="000000" w:fill="FFFFFF"/>
            <w:vAlign w:val="center"/>
            <w:hideMark/>
          </w:tcPr>
          <w:p w14:paraId="25A4D43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Gobierno </w:t>
            </w:r>
            <w:r w:rsidRPr="0044066E">
              <w:rPr>
                <w:rFonts w:ascii="Calibri" w:hAnsi="Calibri"/>
                <w:color w:val="000000"/>
                <w:sz w:val="18"/>
                <w:szCs w:val="18"/>
              </w:rPr>
              <w:br/>
              <w:t>Regional</w:t>
            </w:r>
          </w:p>
        </w:tc>
        <w:tc>
          <w:tcPr>
            <w:tcW w:w="435" w:type="pct"/>
            <w:shd w:val="clear" w:color="000000" w:fill="FFFFFF"/>
            <w:vAlign w:val="center"/>
            <w:hideMark/>
          </w:tcPr>
          <w:p w14:paraId="3F6D4839"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Regional La Libertad</w:t>
            </w:r>
          </w:p>
        </w:tc>
        <w:tc>
          <w:tcPr>
            <w:tcW w:w="334" w:type="pct"/>
            <w:shd w:val="clear" w:color="000000" w:fill="FFFFFF"/>
            <w:noWrap/>
            <w:vAlign w:val="center"/>
            <w:hideMark/>
          </w:tcPr>
          <w:p w14:paraId="5E78862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La Libertad</w:t>
            </w:r>
          </w:p>
        </w:tc>
        <w:tc>
          <w:tcPr>
            <w:tcW w:w="421" w:type="pct"/>
            <w:shd w:val="clear" w:color="000000" w:fill="FFFFFF"/>
            <w:vAlign w:val="center"/>
            <w:hideMark/>
          </w:tcPr>
          <w:p w14:paraId="50C0538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2,401,158,503 </w:t>
            </w:r>
          </w:p>
        </w:tc>
        <w:tc>
          <w:tcPr>
            <w:tcW w:w="339" w:type="pct"/>
            <w:shd w:val="clear" w:color="000000" w:fill="FFFFFF"/>
            <w:vAlign w:val="center"/>
            <w:hideMark/>
          </w:tcPr>
          <w:p w14:paraId="7D511A1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12,005,793 </w:t>
            </w:r>
          </w:p>
        </w:tc>
        <w:tc>
          <w:tcPr>
            <w:tcW w:w="459" w:type="pct"/>
            <w:shd w:val="clear" w:color="000000" w:fill="FFFFFF"/>
            <w:noWrap/>
            <w:vAlign w:val="center"/>
            <w:hideMark/>
          </w:tcPr>
          <w:p w14:paraId="2B62B91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10,029,333 </w:t>
            </w:r>
          </w:p>
        </w:tc>
        <w:tc>
          <w:tcPr>
            <w:tcW w:w="392" w:type="pct"/>
            <w:shd w:val="clear" w:color="000000" w:fill="FFFFFF"/>
            <w:vAlign w:val="center"/>
            <w:hideMark/>
          </w:tcPr>
          <w:p w14:paraId="0563DEB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84%</w:t>
            </w:r>
          </w:p>
        </w:tc>
        <w:tc>
          <w:tcPr>
            <w:tcW w:w="492" w:type="pct"/>
            <w:shd w:val="clear" w:color="000000" w:fill="FFFFFF"/>
            <w:noWrap/>
            <w:vAlign w:val="center"/>
            <w:hideMark/>
          </w:tcPr>
          <w:p w14:paraId="63638B6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99,006 </w:t>
            </w:r>
          </w:p>
        </w:tc>
        <w:tc>
          <w:tcPr>
            <w:tcW w:w="392" w:type="pct"/>
            <w:shd w:val="clear" w:color="000000" w:fill="FFFFFF"/>
            <w:noWrap/>
            <w:vAlign w:val="center"/>
            <w:hideMark/>
          </w:tcPr>
          <w:p w14:paraId="7CE91EA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w:t>
            </w:r>
          </w:p>
        </w:tc>
        <w:tc>
          <w:tcPr>
            <w:tcW w:w="248" w:type="pct"/>
            <w:shd w:val="clear" w:color="000000" w:fill="FFFFFF"/>
            <w:vAlign w:val="center"/>
            <w:hideMark/>
          </w:tcPr>
          <w:p w14:paraId="164ACEA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5001122 - Protección Social</w:t>
            </w:r>
          </w:p>
        </w:tc>
        <w:tc>
          <w:tcPr>
            <w:tcW w:w="856" w:type="pct"/>
            <w:shd w:val="clear" w:color="000000" w:fill="FFFFFF"/>
            <w:vAlign w:val="center"/>
            <w:hideMark/>
          </w:tcPr>
          <w:p w14:paraId="4EE5D30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05 proyectos en total, y 04 proyectos de inversión corresponden a infraestructuras educativas</w:t>
            </w:r>
          </w:p>
        </w:tc>
      </w:tr>
      <w:tr w:rsidR="005C4643" w:rsidRPr="0044066E" w14:paraId="3636E69B" w14:textId="77777777" w:rsidTr="003301A8">
        <w:trPr>
          <w:trHeight w:val="1530"/>
        </w:trPr>
        <w:tc>
          <w:tcPr>
            <w:tcW w:w="191" w:type="pct"/>
            <w:shd w:val="clear" w:color="000000" w:fill="FFFFFF"/>
            <w:noWrap/>
            <w:vAlign w:val="center"/>
          </w:tcPr>
          <w:p w14:paraId="07A606E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lastRenderedPageBreak/>
              <w:t>7</w:t>
            </w:r>
          </w:p>
        </w:tc>
        <w:tc>
          <w:tcPr>
            <w:tcW w:w="438" w:type="pct"/>
            <w:shd w:val="clear" w:color="000000" w:fill="FFFFFF"/>
            <w:vAlign w:val="center"/>
            <w:hideMark/>
          </w:tcPr>
          <w:p w14:paraId="0763348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Gobierno </w:t>
            </w:r>
            <w:r w:rsidRPr="0044066E">
              <w:rPr>
                <w:rFonts w:ascii="Calibri" w:hAnsi="Calibri"/>
                <w:color w:val="000000"/>
                <w:sz w:val="18"/>
                <w:szCs w:val="18"/>
              </w:rPr>
              <w:br/>
              <w:t>Regional</w:t>
            </w:r>
          </w:p>
        </w:tc>
        <w:tc>
          <w:tcPr>
            <w:tcW w:w="435" w:type="pct"/>
            <w:shd w:val="clear" w:color="000000" w:fill="FFFFFF"/>
            <w:vAlign w:val="center"/>
            <w:hideMark/>
          </w:tcPr>
          <w:p w14:paraId="03E37890"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Regional de Pasco</w:t>
            </w:r>
          </w:p>
        </w:tc>
        <w:tc>
          <w:tcPr>
            <w:tcW w:w="334" w:type="pct"/>
            <w:shd w:val="clear" w:color="000000" w:fill="FFFFFF"/>
            <w:noWrap/>
            <w:vAlign w:val="center"/>
            <w:hideMark/>
          </w:tcPr>
          <w:p w14:paraId="4894EB6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Pasco</w:t>
            </w:r>
          </w:p>
        </w:tc>
        <w:tc>
          <w:tcPr>
            <w:tcW w:w="421" w:type="pct"/>
            <w:shd w:val="clear" w:color="000000" w:fill="FFFFFF"/>
            <w:vAlign w:val="center"/>
            <w:hideMark/>
          </w:tcPr>
          <w:p w14:paraId="1417A60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697,971,409 </w:t>
            </w:r>
          </w:p>
        </w:tc>
        <w:tc>
          <w:tcPr>
            <w:tcW w:w="339" w:type="pct"/>
            <w:shd w:val="clear" w:color="000000" w:fill="FFFFFF"/>
            <w:vAlign w:val="center"/>
            <w:hideMark/>
          </w:tcPr>
          <w:p w14:paraId="6A48818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3,489,857 </w:t>
            </w:r>
          </w:p>
        </w:tc>
        <w:tc>
          <w:tcPr>
            <w:tcW w:w="459" w:type="pct"/>
            <w:shd w:val="clear" w:color="000000" w:fill="FFFFFF"/>
            <w:noWrap/>
            <w:vAlign w:val="center"/>
            <w:hideMark/>
          </w:tcPr>
          <w:p w14:paraId="7A9DF9F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199,395 </w:t>
            </w:r>
          </w:p>
        </w:tc>
        <w:tc>
          <w:tcPr>
            <w:tcW w:w="392" w:type="pct"/>
            <w:shd w:val="clear" w:color="000000" w:fill="FFFFFF"/>
            <w:vAlign w:val="center"/>
            <w:hideMark/>
          </w:tcPr>
          <w:p w14:paraId="198BAEC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6%</w:t>
            </w:r>
          </w:p>
        </w:tc>
        <w:tc>
          <w:tcPr>
            <w:tcW w:w="492" w:type="pct"/>
            <w:shd w:val="clear" w:color="000000" w:fill="FFFFFF"/>
            <w:noWrap/>
            <w:vAlign w:val="center"/>
            <w:hideMark/>
          </w:tcPr>
          <w:p w14:paraId="1EBDFDA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16,000 </w:t>
            </w:r>
          </w:p>
        </w:tc>
        <w:tc>
          <w:tcPr>
            <w:tcW w:w="392" w:type="pct"/>
            <w:shd w:val="clear" w:color="000000" w:fill="FFFFFF"/>
            <w:noWrap/>
            <w:vAlign w:val="center"/>
            <w:hideMark/>
          </w:tcPr>
          <w:p w14:paraId="79B91AA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0%</w:t>
            </w:r>
          </w:p>
        </w:tc>
        <w:tc>
          <w:tcPr>
            <w:tcW w:w="248" w:type="pct"/>
            <w:shd w:val="clear" w:color="000000" w:fill="FFFFFF"/>
            <w:noWrap/>
            <w:vAlign w:val="center"/>
            <w:hideMark/>
          </w:tcPr>
          <w:p w14:paraId="4D4065D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856" w:type="pct"/>
            <w:shd w:val="clear" w:color="000000" w:fill="FFFFFF"/>
            <w:vAlign w:val="bottom"/>
            <w:hideMark/>
          </w:tcPr>
          <w:p w14:paraId="3A8FB59C"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17 IOARR que se  encuentran aprobados en el Banco de Inversiones INVIERTE.PE, cada uno con su correspondiente código único de inversiones, el monto total de la inversión asciende a S/ 1’842,325.47</w:t>
            </w:r>
          </w:p>
        </w:tc>
      </w:tr>
      <w:tr w:rsidR="005C4643" w:rsidRPr="0044066E" w14:paraId="1801B79F" w14:textId="77777777" w:rsidTr="003301A8">
        <w:trPr>
          <w:trHeight w:val="2028"/>
        </w:trPr>
        <w:tc>
          <w:tcPr>
            <w:tcW w:w="191" w:type="pct"/>
            <w:shd w:val="clear" w:color="000000" w:fill="FFFFFF"/>
            <w:noWrap/>
            <w:vAlign w:val="center"/>
          </w:tcPr>
          <w:p w14:paraId="7339A65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8</w:t>
            </w:r>
          </w:p>
        </w:tc>
        <w:tc>
          <w:tcPr>
            <w:tcW w:w="438" w:type="pct"/>
            <w:shd w:val="clear" w:color="000000" w:fill="FFFFFF"/>
            <w:noWrap/>
            <w:vAlign w:val="center"/>
            <w:hideMark/>
          </w:tcPr>
          <w:p w14:paraId="05AF563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328C14BD"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Chavín de Huántar</w:t>
            </w:r>
          </w:p>
        </w:tc>
        <w:tc>
          <w:tcPr>
            <w:tcW w:w="334" w:type="pct"/>
            <w:shd w:val="clear" w:color="000000" w:fill="FFFFFF"/>
            <w:noWrap/>
            <w:vAlign w:val="center"/>
            <w:hideMark/>
          </w:tcPr>
          <w:p w14:paraId="4304617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Ancash</w:t>
            </w:r>
          </w:p>
        </w:tc>
        <w:tc>
          <w:tcPr>
            <w:tcW w:w="421" w:type="pct"/>
            <w:shd w:val="clear" w:color="000000" w:fill="FFFFFF"/>
            <w:vAlign w:val="center"/>
            <w:hideMark/>
          </w:tcPr>
          <w:p w14:paraId="1A1AEA2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108,908,932 </w:t>
            </w:r>
          </w:p>
        </w:tc>
        <w:tc>
          <w:tcPr>
            <w:tcW w:w="339" w:type="pct"/>
            <w:shd w:val="clear" w:color="000000" w:fill="FFFFFF"/>
            <w:vAlign w:val="center"/>
            <w:hideMark/>
          </w:tcPr>
          <w:p w14:paraId="15963D5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544,545 </w:t>
            </w:r>
          </w:p>
        </w:tc>
        <w:tc>
          <w:tcPr>
            <w:tcW w:w="459" w:type="pct"/>
            <w:shd w:val="clear" w:color="000000" w:fill="FFFFFF"/>
            <w:vAlign w:val="center"/>
            <w:hideMark/>
          </w:tcPr>
          <w:p w14:paraId="3FBC755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185,818 </w:t>
            </w:r>
          </w:p>
        </w:tc>
        <w:tc>
          <w:tcPr>
            <w:tcW w:w="392" w:type="pct"/>
            <w:shd w:val="clear" w:color="000000" w:fill="FFFFFF"/>
            <w:vAlign w:val="center"/>
            <w:hideMark/>
          </w:tcPr>
          <w:p w14:paraId="3BEE8E0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34%</w:t>
            </w:r>
          </w:p>
        </w:tc>
        <w:tc>
          <w:tcPr>
            <w:tcW w:w="492" w:type="pct"/>
            <w:shd w:val="clear" w:color="000000" w:fill="FFFFFF"/>
            <w:vAlign w:val="center"/>
            <w:hideMark/>
          </w:tcPr>
          <w:p w14:paraId="49CB934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NR </w:t>
            </w:r>
          </w:p>
        </w:tc>
        <w:tc>
          <w:tcPr>
            <w:tcW w:w="392" w:type="pct"/>
            <w:shd w:val="clear" w:color="000000" w:fill="FFFFFF"/>
            <w:vAlign w:val="center"/>
            <w:hideMark/>
          </w:tcPr>
          <w:p w14:paraId="21DF25B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248" w:type="pct"/>
            <w:shd w:val="clear" w:color="000000" w:fill="FFFFFF"/>
            <w:vAlign w:val="center"/>
            <w:hideMark/>
          </w:tcPr>
          <w:p w14:paraId="08B6225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5005388 - Oficina Municipal</w:t>
            </w:r>
            <w:r w:rsidRPr="0044066E">
              <w:rPr>
                <w:rFonts w:ascii="Calibri" w:hAnsi="Calibri"/>
                <w:color w:val="000000"/>
                <w:sz w:val="18"/>
                <w:szCs w:val="18"/>
              </w:rPr>
              <w:br/>
              <w:t xml:space="preserve"> de Atención a la Persona con Discapacidad OMAPED</w:t>
            </w:r>
          </w:p>
        </w:tc>
        <w:tc>
          <w:tcPr>
            <w:tcW w:w="856" w:type="pct"/>
            <w:shd w:val="clear" w:color="000000" w:fill="FFFFFF"/>
            <w:vAlign w:val="center"/>
            <w:hideMark/>
          </w:tcPr>
          <w:p w14:paraId="4E51178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r w:rsidR="005C4643" w:rsidRPr="0044066E" w14:paraId="04986537" w14:textId="77777777" w:rsidTr="003301A8">
        <w:trPr>
          <w:trHeight w:val="765"/>
        </w:trPr>
        <w:tc>
          <w:tcPr>
            <w:tcW w:w="191" w:type="pct"/>
            <w:shd w:val="clear" w:color="000000" w:fill="FFFFFF"/>
            <w:noWrap/>
            <w:vAlign w:val="center"/>
          </w:tcPr>
          <w:p w14:paraId="14EE0D1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9</w:t>
            </w:r>
          </w:p>
        </w:tc>
        <w:tc>
          <w:tcPr>
            <w:tcW w:w="438" w:type="pct"/>
            <w:shd w:val="clear" w:color="000000" w:fill="FFFFFF"/>
            <w:noWrap/>
            <w:vAlign w:val="center"/>
            <w:hideMark/>
          </w:tcPr>
          <w:p w14:paraId="0B797D1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4EC051EA"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Carmen de La Legua - Reynoso</w:t>
            </w:r>
          </w:p>
        </w:tc>
        <w:tc>
          <w:tcPr>
            <w:tcW w:w="334" w:type="pct"/>
            <w:shd w:val="clear" w:color="000000" w:fill="FFFFFF"/>
            <w:vAlign w:val="center"/>
            <w:hideMark/>
          </w:tcPr>
          <w:p w14:paraId="43135C3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Callao</w:t>
            </w:r>
          </w:p>
        </w:tc>
        <w:tc>
          <w:tcPr>
            <w:tcW w:w="421" w:type="pct"/>
            <w:shd w:val="clear" w:color="000000" w:fill="FFFFFF"/>
            <w:vAlign w:val="center"/>
            <w:hideMark/>
          </w:tcPr>
          <w:p w14:paraId="58C4AA0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39,239,599 </w:t>
            </w:r>
          </w:p>
        </w:tc>
        <w:tc>
          <w:tcPr>
            <w:tcW w:w="339" w:type="pct"/>
            <w:shd w:val="clear" w:color="000000" w:fill="FFFFFF"/>
            <w:vAlign w:val="center"/>
            <w:hideMark/>
          </w:tcPr>
          <w:p w14:paraId="0BBAB8E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196,198 </w:t>
            </w:r>
          </w:p>
        </w:tc>
        <w:tc>
          <w:tcPr>
            <w:tcW w:w="459" w:type="pct"/>
            <w:shd w:val="clear" w:color="000000" w:fill="FFFFFF"/>
            <w:vAlign w:val="center"/>
            <w:hideMark/>
          </w:tcPr>
          <w:p w14:paraId="1554A69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205,191 </w:t>
            </w:r>
          </w:p>
        </w:tc>
        <w:tc>
          <w:tcPr>
            <w:tcW w:w="392" w:type="pct"/>
            <w:shd w:val="clear" w:color="000000" w:fill="FFFFFF"/>
            <w:vAlign w:val="center"/>
            <w:hideMark/>
          </w:tcPr>
          <w:p w14:paraId="6B88214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105%</w:t>
            </w:r>
          </w:p>
        </w:tc>
        <w:tc>
          <w:tcPr>
            <w:tcW w:w="492" w:type="pct"/>
            <w:shd w:val="clear" w:color="000000" w:fill="FFFFFF"/>
            <w:vAlign w:val="center"/>
            <w:hideMark/>
          </w:tcPr>
          <w:p w14:paraId="6070CD7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218,316 </w:t>
            </w:r>
          </w:p>
        </w:tc>
        <w:tc>
          <w:tcPr>
            <w:tcW w:w="392" w:type="pct"/>
            <w:shd w:val="clear" w:color="000000" w:fill="FFFFFF"/>
            <w:noWrap/>
            <w:vAlign w:val="center"/>
            <w:hideMark/>
          </w:tcPr>
          <w:p w14:paraId="6287756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111%</w:t>
            </w:r>
          </w:p>
        </w:tc>
        <w:tc>
          <w:tcPr>
            <w:tcW w:w="248" w:type="pct"/>
            <w:shd w:val="clear" w:color="000000" w:fill="FFFFFF"/>
            <w:vAlign w:val="center"/>
            <w:hideMark/>
          </w:tcPr>
          <w:p w14:paraId="01AF86C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5000470 Apoyo Comunal - Meta: 00001 - 0095445 </w:t>
            </w:r>
            <w:r w:rsidRPr="0044066E">
              <w:rPr>
                <w:rFonts w:ascii="Calibri" w:hAnsi="Calibri"/>
                <w:color w:val="000000"/>
                <w:sz w:val="18"/>
                <w:szCs w:val="18"/>
              </w:rPr>
              <w:lastRenderedPageBreak/>
              <w:t>OMAPED</w:t>
            </w:r>
          </w:p>
        </w:tc>
        <w:tc>
          <w:tcPr>
            <w:tcW w:w="856" w:type="pct"/>
            <w:shd w:val="clear" w:color="000000" w:fill="FFFFFF"/>
            <w:noWrap/>
            <w:vAlign w:val="center"/>
            <w:hideMark/>
          </w:tcPr>
          <w:p w14:paraId="45D12C2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lastRenderedPageBreak/>
              <w:t>5 IOARR</w:t>
            </w:r>
          </w:p>
        </w:tc>
      </w:tr>
      <w:tr w:rsidR="005C4643" w:rsidRPr="0044066E" w14:paraId="6BC0F711" w14:textId="77777777" w:rsidTr="003301A8">
        <w:trPr>
          <w:trHeight w:val="765"/>
        </w:trPr>
        <w:tc>
          <w:tcPr>
            <w:tcW w:w="191" w:type="pct"/>
            <w:shd w:val="clear" w:color="000000" w:fill="FFFFFF"/>
            <w:noWrap/>
            <w:vAlign w:val="center"/>
          </w:tcPr>
          <w:p w14:paraId="656F8F3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10</w:t>
            </w:r>
          </w:p>
        </w:tc>
        <w:tc>
          <w:tcPr>
            <w:tcW w:w="438" w:type="pct"/>
            <w:shd w:val="clear" w:color="000000" w:fill="FFFFFF"/>
            <w:noWrap/>
            <w:vAlign w:val="center"/>
            <w:hideMark/>
          </w:tcPr>
          <w:p w14:paraId="03D5756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2F062DD7"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Provincial del Callao</w:t>
            </w:r>
          </w:p>
        </w:tc>
        <w:tc>
          <w:tcPr>
            <w:tcW w:w="334" w:type="pct"/>
            <w:shd w:val="clear" w:color="000000" w:fill="FFFFFF"/>
            <w:noWrap/>
            <w:vAlign w:val="center"/>
            <w:hideMark/>
          </w:tcPr>
          <w:p w14:paraId="1B194BC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Callao</w:t>
            </w:r>
          </w:p>
        </w:tc>
        <w:tc>
          <w:tcPr>
            <w:tcW w:w="421" w:type="pct"/>
            <w:shd w:val="clear" w:color="000000" w:fill="FFFFFF"/>
            <w:vAlign w:val="center"/>
            <w:hideMark/>
          </w:tcPr>
          <w:p w14:paraId="347CCD6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489,889,040 </w:t>
            </w:r>
          </w:p>
        </w:tc>
        <w:tc>
          <w:tcPr>
            <w:tcW w:w="339" w:type="pct"/>
            <w:shd w:val="clear" w:color="000000" w:fill="FFFFFF"/>
            <w:vAlign w:val="center"/>
            <w:hideMark/>
          </w:tcPr>
          <w:p w14:paraId="32E01C5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2,449,445 </w:t>
            </w:r>
          </w:p>
        </w:tc>
        <w:tc>
          <w:tcPr>
            <w:tcW w:w="459" w:type="pct"/>
            <w:shd w:val="clear" w:color="000000" w:fill="FFFFFF"/>
            <w:noWrap/>
            <w:vAlign w:val="center"/>
            <w:hideMark/>
          </w:tcPr>
          <w:p w14:paraId="5AAD0DF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428,524 </w:t>
            </w:r>
          </w:p>
        </w:tc>
        <w:tc>
          <w:tcPr>
            <w:tcW w:w="392" w:type="pct"/>
            <w:shd w:val="clear" w:color="000000" w:fill="FFFFFF"/>
            <w:vAlign w:val="center"/>
            <w:hideMark/>
          </w:tcPr>
          <w:p w14:paraId="3BFE02C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17%</w:t>
            </w:r>
          </w:p>
        </w:tc>
        <w:tc>
          <w:tcPr>
            <w:tcW w:w="492" w:type="pct"/>
            <w:shd w:val="clear" w:color="000000" w:fill="FFFFFF"/>
            <w:noWrap/>
            <w:vAlign w:val="center"/>
            <w:hideMark/>
          </w:tcPr>
          <w:p w14:paraId="1ABCF5F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NR </w:t>
            </w:r>
          </w:p>
        </w:tc>
        <w:tc>
          <w:tcPr>
            <w:tcW w:w="392" w:type="pct"/>
            <w:shd w:val="clear" w:color="000000" w:fill="FFFFFF"/>
            <w:vAlign w:val="center"/>
            <w:hideMark/>
          </w:tcPr>
          <w:p w14:paraId="5E34D99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248" w:type="pct"/>
            <w:shd w:val="clear" w:color="000000" w:fill="FFFFFF"/>
            <w:vAlign w:val="center"/>
            <w:hideMark/>
          </w:tcPr>
          <w:p w14:paraId="2C8DA13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5000453 - Apoyo al </w:t>
            </w:r>
            <w:r w:rsidRPr="0044066E">
              <w:rPr>
                <w:rFonts w:ascii="Calibri" w:hAnsi="Calibri"/>
                <w:color w:val="000000"/>
                <w:sz w:val="18"/>
                <w:szCs w:val="18"/>
              </w:rPr>
              <w:br/>
              <w:t>Ciudadano con Discapacidad</w:t>
            </w:r>
          </w:p>
        </w:tc>
        <w:tc>
          <w:tcPr>
            <w:tcW w:w="856" w:type="pct"/>
            <w:shd w:val="clear" w:color="000000" w:fill="FFFFFF"/>
            <w:vAlign w:val="center"/>
            <w:hideMark/>
          </w:tcPr>
          <w:p w14:paraId="506FCAB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r w:rsidR="005C4643" w:rsidRPr="0044066E" w14:paraId="31B6F6D3" w14:textId="77777777" w:rsidTr="003301A8">
        <w:trPr>
          <w:trHeight w:val="765"/>
        </w:trPr>
        <w:tc>
          <w:tcPr>
            <w:tcW w:w="191" w:type="pct"/>
            <w:shd w:val="clear" w:color="000000" w:fill="FFFFFF"/>
            <w:noWrap/>
            <w:vAlign w:val="center"/>
          </w:tcPr>
          <w:p w14:paraId="64D33B8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11</w:t>
            </w:r>
          </w:p>
        </w:tc>
        <w:tc>
          <w:tcPr>
            <w:tcW w:w="438" w:type="pct"/>
            <w:shd w:val="clear" w:color="000000" w:fill="FFFFFF"/>
            <w:noWrap/>
            <w:vAlign w:val="center"/>
            <w:hideMark/>
          </w:tcPr>
          <w:p w14:paraId="169FFA6C"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1256BA2F"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 xml:space="preserve">Municipalidad Provincial </w:t>
            </w:r>
            <w:r w:rsidRPr="0044066E">
              <w:rPr>
                <w:rFonts w:ascii="Calibri" w:hAnsi="Calibri"/>
                <w:color w:val="000000"/>
                <w:sz w:val="18"/>
                <w:szCs w:val="18"/>
              </w:rPr>
              <w:br/>
              <w:t>de Ica</w:t>
            </w:r>
          </w:p>
        </w:tc>
        <w:tc>
          <w:tcPr>
            <w:tcW w:w="334" w:type="pct"/>
            <w:shd w:val="clear" w:color="000000" w:fill="FFFFFF"/>
            <w:noWrap/>
            <w:vAlign w:val="center"/>
            <w:hideMark/>
          </w:tcPr>
          <w:p w14:paraId="2431525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Ica</w:t>
            </w:r>
          </w:p>
        </w:tc>
        <w:tc>
          <w:tcPr>
            <w:tcW w:w="421" w:type="pct"/>
            <w:shd w:val="clear" w:color="000000" w:fill="FFFFFF"/>
            <w:vAlign w:val="center"/>
            <w:hideMark/>
          </w:tcPr>
          <w:p w14:paraId="1330FFC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159,705,702 </w:t>
            </w:r>
          </w:p>
        </w:tc>
        <w:tc>
          <w:tcPr>
            <w:tcW w:w="339" w:type="pct"/>
            <w:shd w:val="clear" w:color="000000" w:fill="FFFFFF"/>
            <w:vAlign w:val="center"/>
            <w:hideMark/>
          </w:tcPr>
          <w:p w14:paraId="59D1D1F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798,529 </w:t>
            </w:r>
          </w:p>
        </w:tc>
        <w:tc>
          <w:tcPr>
            <w:tcW w:w="459" w:type="pct"/>
            <w:shd w:val="clear" w:color="000000" w:fill="FFFFFF"/>
            <w:vAlign w:val="center"/>
            <w:hideMark/>
          </w:tcPr>
          <w:p w14:paraId="61707B3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NR </w:t>
            </w:r>
          </w:p>
        </w:tc>
        <w:tc>
          <w:tcPr>
            <w:tcW w:w="392" w:type="pct"/>
            <w:shd w:val="clear" w:color="000000" w:fill="FFFFFF"/>
            <w:vAlign w:val="center"/>
            <w:hideMark/>
          </w:tcPr>
          <w:p w14:paraId="3333FDA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492" w:type="pct"/>
            <w:shd w:val="clear" w:color="000000" w:fill="FFFFFF"/>
            <w:vAlign w:val="center"/>
            <w:hideMark/>
          </w:tcPr>
          <w:p w14:paraId="6C97594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NR </w:t>
            </w:r>
          </w:p>
        </w:tc>
        <w:tc>
          <w:tcPr>
            <w:tcW w:w="392" w:type="pct"/>
            <w:shd w:val="clear" w:color="000000" w:fill="FFFFFF"/>
            <w:vAlign w:val="center"/>
            <w:hideMark/>
          </w:tcPr>
          <w:p w14:paraId="054979B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248" w:type="pct"/>
            <w:shd w:val="clear" w:color="000000" w:fill="FFFFFF"/>
            <w:vAlign w:val="center"/>
            <w:hideMark/>
          </w:tcPr>
          <w:p w14:paraId="6ECF823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856" w:type="pct"/>
            <w:shd w:val="clear" w:color="000000" w:fill="FFFFFF"/>
            <w:vAlign w:val="center"/>
            <w:hideMark/>
          </w:tcPr>
          <w:p w14:paraId="29C2D01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r w:rsidR="005C4643" w:rsidRPr="0044066E" w14:paraId="750D6900" w14:textId="77777777" w:rsidTr="003301A8">
        <w:trPr>
          <w:trHeight w:val="765"/>
        </w:trPr>
        <w:tc>
          <w:tcPr>
            <w:tcW w:w="191" w:type="pct"/>
            <w:shd w:val="clear" w:color="000000" w:fill="FFFFFF"/>
            <w:noWrap/>
            <w:vAlign w:val="center"/>
          </w:tcPr>
          <w:p w14:paraId="5327D40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12</w:t>
            </w:r>
          </w:p>
        </w:tc>
        <w:tc>
          <w:tcPr>
            <w:tcW w:w="438" w:type="pct"/>
            <w:shd w:val="clear" w:color="000000" w:fill="FFFFFF"/>
            <w:noWrap/>
            <w:vAlign w:val="center"/>
            <w:hideMark/>
          </w:tcPr>
          <w:p w14:paraId="39FD95B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50655569"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Ancón</w:t>
            </w:r>
          </w:p>
        </w:tc>
        <w:tc>
          <w:tcPr>
            <w:tcW w:w="334" w:type="pct"/>
            <w:shd w:val="clear" w:color="000000" w:fill="FFFFFF"/>
            <w:noWrap/>
            <w:vAlign w:val="center"/>
            <w:hideMark/>
          </w:tcPr>
          <w:p w14:paraId="5A8A855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0F2B5A6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40,478,234 </w:t>
            </w:r>
          </w:p>
        </w:tc>
        <w:tc>
          <w:tcPr>
            <w:tcW w:w="339" w:type="pct"/>
            <w:shd w:val="clear" w:color="000000" w:fill="FFFFFF"/>
            <w:vAlign w:val="center"/>
            <w:hideMark/>
          </w:tcPr>
          <w:p w14:paraId="0D376FB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202,391 </w:t>
            </w:r>
          </w:p>
        </w:tc>
        <w:tc>
          <w:tcPr>
            <w:tcW w:w="459" w:type="pct"/>
            <w:shd w:val="clear" w:color="000000" w:fill="FFFFFF"/>
            <w:noWrap/>
            <w:vAlign w:val="center"/>
            <w:hideMark/>
          </w:tcPr>
          <w:p w14:paraId="22C6957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188,014 </w:t>
            </w:r>
          </w:p>
        </w:tc>
        <w:tc>
          <w:tcPr>
            <w:tcW w:w="392" w:type="pct"/>
            <w:shd w:val="clear" w:color="000000" w:fill="FFFFFF"/>
            <w:vAlign w:val="center"/>
            <w:hideMark/>
          </w:tcPr>
          <w:p w14:paraId="37605D4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93%</w:t>
            </w:r>
          </w:p>
        </w:tc>
        <w:tc>
          <w:tcPr>
            <w:tcW w:w="492" w:type="pct"/>
            <w:shd w:val="clear" w:color="000000" w:fill="FFFFFF"/>
            <w:noWrap/>
            <w:vAlign w:val="center"/>
            <w:hideMark/>
          </w:tcPr>
          <w:p w14:paraId="06E75A5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122,376 </w:t>
            </w:r>
          </w:p>
        </w:tc>
        <w:tc>
          <w:tcPr>
            <w:tcW w:w="392" w:type="pct"/>
            <w:shd w:val="clear" w:color="000000" w:fill="FFFFFF"/>
            <w:noWrap/>
            <w:vAlign w:val="center"/>
            <w:hideMark/>
          </w:tcPr>
          <w:p w14:paraId="7481848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60%</w:t>
            </w:r>
          </w:p>
        </w:tc>
        <w:tc>
          <w:tcPr>
            <w:tcW w:w="248" w:type="pct"/>
            <w:shd w:val="clear" w:color="000000" w:fill="FFFFFF"/>
            <w:vAlign w:val="center"/>
            <w:hideMark/>
          </w:tcPr>
          <w:p w14:paraId="27C5655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5005387 - Mejoramiento</w:t>
            </w:r>
            <w:r w:rsidRPr="0044066E">
              <w:rPr>
                <w:rFonts w:ascii="Calibri" w:hAnsi="Calibri"/>
                <w:color w:val="000000"/>
                <w:sz w:val="18"/>
                <w:szCs w:val="18"/>
              </w:rPr>
              <w:br/>
              <w:t xml:space="preserve"> y Atención a las Personas con Discapacidad</w:t>
            </w:r>
          </w:p>
        </w:tc>
        <w:tc>
          <w:tcPr>
            <w:tcW w:w="856" w:type="pct"/>
            <w:shd w:val="clear" w:color="000000" w:fill="FFFFFF"/>
            <w:noWrap/>
            <w:vAlign w:val="center"/>
            <w:hideMark/>
          </w:tcPr>
          <w:p w14:paraId="5ACC921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r w:rsidR="005C4643" w:rsidRPr="0044066E" w14:paraId="6F1E6E3D" w14:textId="77777777" w:rsidTr="003301A8">
        <w:trPr>
          <w:trHeight w:val="765"/>
        </w:trPr>
        <w:tc>
          <w:tcPr>
            <w:tcW w:w="191" w:type="pct"/>
            <w:shd w:val="clear" w:color="000000" w:fill="FFFFFF"/>
            <w:noWrap/>
            <w:vAlign w:val="center"/>
          </w:tcPr>
          <w:p w14:paraId="1E820D6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13</w:t>
            </w:r>
          </w:p>
        </w:tc>
        <w:tc>
          <w:tcPr>
            <w:tcW w:w="438" w:type="pct"/>
            <w:shd w:val="clear" w:color="000000" w:fill="FFFFFF"/>
            <w:noWrap/>
            <w:vAlign w:val="center"/>
            <w:hideMark/>
          </w:tcPr>
          <w:p w14:paraId="7E47F6C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29D27D58"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Cieneguilla</w:t>
            </w:r>
          </w:p>
        </w:tc>
        <w:tc>
          <w:tcPr>
            <w:tcW w:w="334" w:type="pct"/>
            <w:shd w:val="clear" w:color="000000" w:fill="FFFFFF"/>
            <w:vAlign w:val="center"/>
            <w:hideMark/>
          </w:tcPr>
          <w:p w14:paraId="0B1F5F0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4D8D630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40,028,987 </w:t>
            </w:r>
          </w:p>
        </w:tc>
        <w:tc>
          <w:tcPr>
            <w:tcW w:w="339" w:type="pct"/>
            <w:shd w:val="clear" w:color="000000" w:fill="FFFFFF"/>
            <w:vAlign w:val="center"/>
            <w:hideMark/>
          </w:tcPr>
          <w:p w14:paraId="441C514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200,145 </w:t>
            </w:r>
          </w:p>
        </w:tc>
        <w:tc>
          <w:tcPr>
            <w:tcW w:w="459" w:type="pct"/>
            <w:shd w:val="clear" w:color="000000" w:fill="FFFFFF"/>
            <w:noWrap/>
            <w:vAlign w:val="center"/>
            <w:hideMark/>
          </w:tcPr>
          <w:p w14:paraId="0D667C1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83,000 </w:t>
            </w:r>
          </w:p>
        </w:tc>
        <w:tc>
          <w:tcPr>
            <w:tcW w:w="392" w:type="pct"/>
            <w:shd w:val="clear" w:color="000000" w:fill="FFFFFF"/>
            <w:vAlign w:val="center"/>
            <w:hideMark/>
          </w:tcPr>
          <w:p w14:paraId="2FB4394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41%</w:t>
            </w:r>
          </w:p>
        </w:tc>
        <w:tc>
          <w:tcPr>
            <w:tcW w:w="492" w:type="pct"/>
            <w:shd w:val="clear" w:color="000000" w:fill="FFFFFF"/>
            <w:noWrap/>
            <w:vAlign w:val="center"/>
            <w:hideMark/>
          </w:tcPr>
          <w:p w14:paraId="3006435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16,632 </w:t>
            </w:r>
          </w:p>
        </w:tc>
        <w:tc>
          <w:tcPr>
            <w:tcW w:w="392" w:type="pct"/>
            <w:shd w:val="clear" w:color="000000" w:fill="FFFFFF"/>
            <w:noWrap/>
            <w:vAlign w:val="center"/>
            <w:hideMark/>
          </w:tcPr>
          <w:p w14:paraId="7B5245A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8%</w:t>
            </w:r>
          </w:p>
        </w:tc>
        <w:tc>
          <w:tcPr>
            <w:tcW w:w="248" w:type="pct"/>
            <w:shd w:val="clear" w:color="000000" w:fill="FFFFFF"/>
            <w:vAlign w:val="center"/>
            <w:hideMark/>
          </w:tcPr>
          <w:p w14:paraId="1E4825B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Meta 093 - Asistencia al ciudadano, familia y al discapacitado</w:t>
            </w:r>
          </w:p>
        </w:tc>
        <w:tc>
          <w:tcPr>
            <w:tcW w:w="856" w:type="pct"/>
            <w:shd w:val="clear" w:color="000000" w:fill="FFFFFF"/>
            <w:vAlign w:val="center"/>
            <w:hideMark/>
          </w:tcPr>
          <w:p w14:paraId="50DAA5F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03 proyectos de inversión pública que se encuentran TERMINADAS   </w:t>
            </w:r>
          </w:p>
        </w:tc>
      </w:tr>
      <w:tr w:rsidR="005C4643" w:rsidRPr="0044066E" w14:paraId="65693825" w14:textId="77777777" w:rsidTr="003301A8">
        <w:trPr>
          <w:trHeight w:val="2295"/>
        </w:trPr>
        <w:tc>
          <w:tcPr>
            <w:tcW w:w="191" w:type="pct"/>
            <w:shd w:val="clear" w:color="000000" w:fill="FFFFFF"/>
            <w:noWrap/>
            <w:vAlign w:val="center"/>
          </w:tcPr>
          <w:p w14:paraId="7D78151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lastRenderedPageBreak/>
              <w:t>14</w:t>
            </w:r>
          </w:p>
        </w:tc>
        <w:tc>
          <w:tcPr>
            <w:tcW w:w="438" w:type="pct"/>
            <w:shd w:val="clear" w:color="000000" w:fill="FFFFFF"/>
            <w:noWrap/>
            <w:vAlign w:val="center"/>
            <w:hideMark/>
          </w:tcPr>
          <w:p w14:paraId="02CEFC9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59BCD47E"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Independencia</w:t>
            </w:r>
          </w:p>
        </w:tc>
        <w:tc>
          <w:tcPr>
            <w:tcW w:w="334" w:type="pct"/>
            <w:shd w:val="clear" w:color="000000" w:fill="FFFFFF"/>
            <w:noWrap/>
            <w:vAlign w:val="center"/>
            <w:hideMark/>
          </w:tcPr>
          <w:p w14:paraId="3C30C2F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35B52CE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98,783,218 </w:t>
            </w:r>
          </w:p>
        </w:tc>
        <w:tc>
          <w:tcPr>
            <w:tcW w:w="339" w:type="pct"/>
            <w:shd w:val="clear" w:color="000000" w:fill="FFFFFF"/>
            <w:vAlign w:val="center"/>
            <w:hideMark/>
          </w:tcPr>
          <w:p w14:paraId="0287FD8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493,916 </w:t>
            </w:r>
          </w:p>
        </w:tc>
        <w:tc>
          <w:tcPr>
            <w:tcW w:w="459" w:type="pct"/>
            <w:shd w:val="clear" w:color="000000" w:fill="FFFFFF"/>
            <w:vAlign w:val="center"/>
            <w:hideMark/>
          </w:tcPr>
          <w:p w14:paraId="3615B73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296,225 </w:t>
            </w:r>
          </w:p>
        </w:tc>
        <w:tc>
          <w:tcPr>
            <w:tcW w:w="392" w:type="pct"/>
            <w:shd w:val="clear" w:color="000000" w:fill="FFFFFF"/>
            <w:vAlign w:val="center"/>
            <w:hideMark/>
          </w:tcPr>
          <w:p w14:paraId="7A22F2B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60%</w:t>
            </w:r>
          </w:p>
        </w:tc>
        <w:tc>
          <w:tcPr>
            <w:tcW w:w="492" w:type="pct"/>
            <w:shd w:val="clear" w:color="000000" w:fill="FFFFFF"/>
            <w:noWrap/>
            <w:vAlign w:val="center"/>
            <w:hideMark/>
          </w:tcPr>
          <w:p w14:paraId="29C6C56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6,136,181 </w:t>
            </w:r>
          </w:p>
        </w:tc>
        <w:tc>
          <w:tcPr>
            <w:tcW w:w="392" w:type="pct"/>
            <w:shd w:val="clear" w:color="000000" w:fill="FFFFFF"/>
            <w:noWrap/>
            <w:vAlign w:val="center"/>
            <w:hideMark/>
          </w:tcPr>
          <w:p w14:paraId="4990CA2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1242%</w:t>
            </w:r>
          </w:p>
        </w:tc>
        <w:tc>
          <w:tcPr>
            <w:tcW w:w="248" w:type="pct"/>
            <w:shd w:val="clear" w:color="000000" w:fill="FFFFFF"/>
            <w:vAlign w:val="center"/>
            <w:hideMark/>
          </w:tcPr>
          <w:p w14:paraId="52A9098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5000455 -  Apoyo al</w:t>
            </w:r>
            <w:r w:rsidRPr="0044066E">
              <w:rPr>
                <w:rFonts w:ascii="Calibri" w:hAnsi="Calibri"/>
                <w:color w:val="000000"/>
                <w:sz w:val="18"/>
                <w:szCs w:val="18"/>
              </w:rPr>
              <w:br/>
              <w:t xml:space="preserve"> ciudadano y a la familia </w:t>
            </w:r>
          </w:p>
        </w:tc>
        <w:tc>
          <w:tcPr>
            <w:tcW w:w="856" w:type="pct"/>
            <w:shd w:val="clear" w:color="000000" w:fill="FFFFFF"/>
            <w:vAlign w:val="center"/>
            <w:hideMark/>
          </w:tcPr>
          <w:p w14:paraId="39E01A9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3 inversiones, Códigos: 2095234, 2414614 y 2492212</w:t>
            </w:r>
          </w:p>
        </w:tc>
      </w:tr>
      <w:tr w:rsidR="005C4643" w:rsidRPr="0044066E" w14:paraId="1A4A6134" w14:textId="77777777" w:rsidTr="003301A8">
        <w:trPr>
          <w:trHeight w:val="765"/>
        </w:trPr>
        <w:tc>
          <w:tcPr>
            <w:tcW w:w="191" w:type="pct"/>
            <w:shd w:val="clear" w:color="000000" w:fill="FFFFFF"/>
            <w:noWrap/>
            <w:vAlign w:val="center"/>
          </w:tcPr>
          <w:p w14:paraId="109BD81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15</w:t>
            </w:r>
          </w:p>
        </w:tc>
        <w:tc>
          <w:tcPr>
            <w:tcW w:w="438" w:type="pct"/>
            <w:shd w:val="clear" w:color="000000" w:fill="FFFFFF"/>
            <w:noWrap/>
            <w:vAlign w:val="center"/>
            <w:hideMark/>
          </w:tcPr>
          <w:p w14:paraId="45BE568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320A6743"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La Molina</w:t>
            </w:r>
          </w:p>
        </w:tc>
        <w:tc>
          <w:tcPr>
            <w:tcW w:w="334" w:type="pct"/>
            <w:shd w:val="clear" w:color="000000" w:fill="FFFFFF"/>
            <w:noWrap/>
            <w:vAlign w:val="center"/>
            <w:hideMark/>
          </w:tcPr>
          <w:p w14:paraId="5428569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2A8EFC9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196,123,899 </w:t>
            </w:r>
          </w:p>
        </w:tc>
        <w:tc>
          <w:tcPr>
            <w:tcW w:w="339" w:type="pct"/>
            <w:shd w:val="clear" w:color="000000" w:fill="FFFFFF"/>
            <w:vAlign w:val="center"/>
            <w:hideMark/>
          </w:tcPr>
          <w:p w14:paraId="4A7CA12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980,619 </w:t>
            </w:r>
          </w:p>
        </w:tc>
        <w:tc>
          <w:tcPr>
            <w:tcW w:w="459" w:type="pct"/>
            <w:shd w:val="clear" w:color="000000" w:fill="FFFFFF"/>
            <w:noWrap/>
            <w:vAlign w:val="center"/>
            <w:hideMark/>
          </w:tcPr>
          <w:p w14:paraId="2A3FBB9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33,455 </w:t>
            </w:r>
          </w:p>
        </w:tc>
        <w:tc>
          <w:tcPr>
            <w:tcW w:w="392" w:type="pct"/>
            <w:shd w:val="clear" w:color="000000" w:fill="FFFFFF"/>
            <w:vAlign w:val="center"/>
            <w:hideMark/>
          </w:tcPr>
          <w:p w14:paraId="6A0BBEC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3%</w:t>
            </w:r>
          </w:p>
        </w:tc>
        <w:tc>
          <w:tcPr>
            <w:tcW w:w="492" w:type="pct"/>
            <w:shd w:val="clear" w:color="000000" w:fill="FFFFFF"/>
            <w:noWrap/>
            <w:vAlign w:val="center"/>
            <w:hideMark/>
          </w:tcPr>
          <w:p w14:paraId="5FA2EA5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21,736 </w:t>
            </w:r>
          </w:p>
        </w:tc>
        <w:tc>
          <w:tcPr>
            <w:tcW w:w="392" w:type="pct"/>
            <w:shd w:val="clear" w:color="000000" w:fill="FFFFFF"/>
            <w:noWrap/>
            <w:vAlign w:val="center"/>
            <w:hideMark/>
          </w:tcPr>
          <w:p w14:paraId="0804730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2%</w:t>
            </w:r>
          </w:p>
        </w:tc>
        <w:tc>
          <w:tcPr>
            <w:tcW w:w="248" w:type="pct"/>
            <w:shd w:val="clear" w:color="000000" w:fill="FFFFFF"/>
            <w:noWrap/>
            <w:vAlign w:val="center"/>
            <w:hideMark/>
          </w:tcPr>
          <w:p w14:paraId="2DBDBD9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856" w:type="pct"/>
            <w:shd w:val="clear" w:color="000000" w:fill="FFFFFF"/>
            <w:vAlign w:val="center"/>
            <w:hideMark/>
          </w:tcPr>
          <w:p w14:paraId="631E3E5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Ejecución de 09 inversiones (Rampas de concreto para personas con discapacidad)</w:t>
            </w:r>
          </w:p>
        </w:tc>
      </w:tr>
      <w:tr w:rsidR="005C4643" w:rsidRPr="0044066E" w14:paraId="52C2A6F6" w14:textId="77777777" w:rsidTr="003301A8">
        <w:trPr>
          <w:trHeight w:val="1020"/>
        </w:trPr>
        <w:tc>
          <w:tcPr>
            <w:tcW w:w="191" w:type="pct"/>
            <w:shd w:val="clear" w:color="000000" w:fill="FFFFFF"/>
            <w:noWrap/>
            <w:vAlign w:val="center"/>
          </w:tcPr>
          <w:p w14:paraId="327FDA5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16</w:t>
            </w:r>
          </w:p>
        </w:tc>
        <w:tc>
          <w:tcPr>
            <w:tcW w:w="438" w:type="pct"/>
            <w:shd w:val="clear" w:color="000000" w:fill="FFFFFF"/>
            <w:noWrap/>
            <w:vAlign w:val="center"/>
            <w:hideMark/>
          </w:tcPr>
          <w:p w14:paraId="6DE7016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522DE486"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Puente Piedra</w:t>
            </w:r>
          </w:p>
        </w:tc>
        <w:tc>
          <w:tcPr>
            <w:tcW w:w="334" w:type="pct"/>
            <w:shd w:val="clear" w:color="000000" w:fill="FFFFFF"/>
            <w:noWrap/>
            <w:vAlign w:val="center"/>
            <w:hideMark/>
          </w:tcPr>
          <w:p w14:paraId="45A4B85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5B404B9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145,843,064 </w:t>
            </w:r>
          </w:p>
        </w:tc>
        <w:tc>
          <w:tcPr>
            <w:tcW w:w="339" w:type="pct"/>
            <w:shd w:val="clear" w:color="000000" w:fill="FFFFFF"/>
            <w:vAlign w:val="center"/>
            <w:hideMark/>
          </w:tcPr>
          <w:p w14:paraId="4CA0372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729,215 </w:t>
            </w:r>
          </w:p>
        </w:tc>
        <w:tc>
          <w:tcPr>
            <w:tcW w:w="459" w:type="pct"/>
            <w:shd w:val="clear" w:color="000000" w:fill="FFFFFF"/>
            <w:noWrap/>
            <w:vAlign w:val="center"/>
            <w:hideMark/>
          </w:tcPr>
          <w:p w14:paraId="3971549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680,959 </w:t>
            </w:r>
          </w:p>
        </w:tc>
        <w:tc>
          <w:tcPr>
            <w:tcW w:w="392" w:type="pct"/>
            <w:shd w:val="clear" w:color="000000" w:fill="FFFFFF"/>
            <w:vAlign w:val="center"/>
            <w:hideMark/>
          </w:tcPr>
          <w:p w14:paraId="4BC8361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93%</w:t>
            </w:r>
          </w:p>
        </w:tc>
        <w:tc>
          <w:tcPr>
            <w:tcW w:w="492" w:type="pct"/>
            <w:shd w:val="clear" w:color="000000" w:fill="FFFFFF"/>
            <w:noWrap/>
            <w:vAlign w:val="center"/>
            <w:hideMark/>
          </w:tcPr>
          <w:p w14:paraId="5AD02AD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27,196,940 </w:t>
            </w:r>
          </w:p>
        </w:tc>
        <w:tc>
          <w:tcPr>
            <w:tcW w:w="392" w:type="pct"/>
            <w:shd w:val="clear" w:color="000000" w:fill="FFFFFF"/>
            <w:noWrap/>
            <w:vAlign w:val="center"/>
            <w:hideMark/>
          </w:tcPr>
          <w:p w14:paraId="7F09023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3730%</w:t>
            </w:r>
          </w:p>
        </w:tc>
        <w:tc>
          <w:tcPr>
            <w:tcW w:w="248" w:type="pct"/>
            <w:shd w:val="clear" w:color="000000" w:fill="FFFFFF"/>
            <w:noWrap/>
            <w:vAlign w:val="center"/>
            <w:hideMark/>
          </w:tcPr>
          <w:p w14:paraId="17A74FC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Meta 0103</w:t>
            </w:r>
          </w:p>
        </w:tc>
        <w:tc>
          <w:tcPr>
            <w:tcW w:w="856" w:type="pct"/>
            <w:shd w:val="clear" w:color="000000" w:fill="FFFFFF"/>
            <w:vAlign w:val="center"/>
            <w:hideMark/>
          </w:tcPr>
          <w:p w14:paraId="08AC3D9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17 Proyectos de Inversión, donde 6 corresponden a obras nuevas</w:t>
            </w:r>
          </w:p>
        </w:tc>
      </w:tr>
      <w:tr w:rsidR="005C4643" w:rsidRPr="0044066E" w14:paraId="3AC8CEF5" w14:textId="77777777" w:rsidTr="003301A8">
        <w:trPr>
          <w:trHeight w:val="1020"/>
        </w:trPr>
        <w:tc>
          <w:tcPr>
            <w:tcW w:w="191" w:type="pct"/>
            <w:shd w:val="clear" w:color="000000" w:fill="FFFFFF"/>
            <w:noWrap/>
            <w:vAlign w:val="center"/>
          </w:tcPr>
          <w:p w14:paraId="108C098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17</w:t>
            </w:r>
          </w:p>
        </w:tc>
        <w:tc>
          <w:tcPr>
            <w:tcW w:w="438" w:type="pct"/>
            <w:shd w:val="clear" w:color="000000" w:fill="FFFFFF"/>
            <w:noWrap/>
            <w:vAlign w:val="center"/>
            <w:hideMark/>
          </w:tcPr>
          <w:p w14:paraId="67574C6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1B1BC226"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Punta Hermosa</w:t>
            </w:r>
          </w:p>
        </w:tc>
        <w:tc>
          <w:tcPr>
            <w:tcW w:w="334" w:type="pct"/>
            <w:shd w:val="clear" w:color="000000" w:fill="FFFFFF"/>
            <w:noWrap/>
            <w:vAlign w:val="center"/>
            <w:hideMark/>
          </w:tcPr>
          <w:p w14:paraId="12F3E96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324DAD5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23,213,905 </w:t>
            </w:r>
          </w:p>
        </w:tc>
        <w:tc>
          <w:tcPr>
            <w:tcW w:w="339" w:type="pct"/>
            <w:shd w:val="clear" w:color="000000" w:fill="FFFFFF"/>
            <w:vAlign w:val="center"/>
            <w:hideMark/>
          </w:tcPr>
          <w:p w14:paraId="6900DBA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116,070 </w:t>
            </w:r>
          </w:p>
        </w:tc>
        <w:tc>
          <w:tcPr>
            <w:tcW w:w="459" w:type="pct"/>
            <w:shd w:val="clear" w:color="000000" w:fill="FFFFFF"/>
            <w:noWrap/>
            <w:vAlign w:val="center"/>
            <w:hideMark/>
          </w:tcPr>
          <w:p w14:paraId="60F7236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75,367 </w:t>
            </w:r>
          </w:p>
        </w:tc>
        <w:tc>
          <w:tcPr>
            <w:tcW w:w="392" w:type="pct"/>
            <w:shd w:val="clear" w:color="000000" w:fill="FFFFFF"/>
            <w:vAlign w:val="center"/>
            <w:hideMark/>
          </w:tcPr>
          <w:p w14:paraId="0415234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65%</w:t>
            </w:r>
          </w:p>
        </w:tc>
        <w:tc>
          <w:tcPr>
            <w:tcW w:w="492" w:type="pct"/>
            <w:shd w:val="clear" w:color="000000" w:fill="FFFFFF"/>
            <w:noWrap/>
            <w:vAlign w:val="center"/>
            <w:hideMark/>
          </w:tcPr>
          <w:p w14:paraId="39F7D30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11,648 </w:t>
            </w:r>
          </w:p>
        </w:tc>
        <w:tc>
          <w:tcPr>
            <w:tcW w:w="392" w:type="pct"/>
            <w:shd w:val="clear" w:color="000000" w:fill="FFFFFF"/>
            <w:noWrap/>
            <w:vAlign w:val="center"/>
            <w:hideMark/>
          </w:tcPr>
          <w:p w14:paraId="7367AB2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10%</w:t>
            </w:r>
          </w:p>
        </w:tc>
        <w:tc>
          <w:tcPr>
            <w:tcW w:w="248" w:type="pct"/>
            <w:shd w:val="clear" w:color="000000" w:fill="FFFFFF"/>
            <w:vAlign w:val="center"/>
            <w:hideMark/>
          </w:tcPr>
          <w:p w14:paraId="6B1CE6E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Meta 00001-0000218 - </w:t>
            </w:r>
            <w:r w:rsidRPr="0044066E">
              <w:rPr>
                <w:rFonts w:ascii="Calibri" w:hAnsi="Calibri"/>
                <w:color w:val="000000"/>
                <w:sz w:val="18"/>
                <w:szCs w:val="18"/>
              </w:rPr>
              <w:br/>
              <w:t xml:space="preserve">Asistencia al ciudadano, </w:t>
            </w:r>
            <w:r w:rsidRPr="0044066E">
              <w:rPr>
                <w:rFonts w:ascii="Calibri" w:hAnsi="Calibri"/>
                <w:color w:val="000000"/>
                <w:sz w:val="18"/>
                <w:szCs w:val="18"/>
              </w:rPr>
              <w:lastRenderedPageBreak/>
              <w:t>Familia y al Discapacitado</w:t>
            </w:r>
          </w:p>
        </w:tc>
        <w:tc>
          <w:tcPr>
            <w:tcW w:w="856" w:type="pct"/>
            <w:shd w:val="clear" w:color="000000" w:fill="FFFFFF"/>
            <w:vAlign w:val="center"/>
            <w:hideMark/>
          </w:tcPr>
          <w:p w14:paraId="4ED41F7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lastRenderedPageBreak/>
              <w:t>02 de obras construcción y mejoramiento</w:t>
            </w:r>
          </w:p>
        </w:tc>
      </w:tr>
      <w:tr w:rsidR="005C4643" w:rsidRPr="0044066E" w14:paraId="7237E4F1" w14:textId="77777777" w:rsidTr="003301A8">
        <w:trPr>
          <w:trHeight w:val="1301"/>
        </w:trPr>
        <w:tc>
          <w:tcPr>
            <w:tcW w:w="191" w:type="pct"/>
            <w:shd w:val="clear" w:color="000000" w:fill="FFFFFF"/>
            <w:noWrap/>
            <w:vAlign w:val="center"/>
          </w:tcPr>
          <w:p w14:paraId="44B870F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18</w:t>
            </w:r>
          </w:p>
        </w:tc>
        <w:tc>
          <w:tcPr>
            <w:tcW w:w="438" w:type="pct"/>
            <w:shd w:val="clear" w:color="000000" w:fill="FFFFFF"/>
            <w:noWrap/>
            <w:vAlign w:val="center"/>
            <w:hideMark/>
          </w:tcPr>
          <w:p w14:paraId="72D24CA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08D49BB6"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San Bartolo</w:t>
            </w:r>
          </w:p>
        </w:tc>
        <w:tc>
          <w:tcPr>
            <w:tcW w:w="334" w:type="pct"/>
            <w:shd w:val="clear" w:color="000000" w:fill="FFFFFF"/>
            <w:vAlign w:val="center"/>
            <w:hideMark/>
          </w:tcPr>
          <w:p w14:paraId="5F66493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7212BFD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14,287,371 </w:t>
            </w:r>
          </w:p>
        </w:tc>
        <w:tc>
          <w:tcPr>
            <w:tcW w:w="339" w:type="pct"/>
            <w:shd w:val="clear" w:color="000000" w:fill="FFFFFF"/>
            <w:vAlign w:val="center"/>
            <w:hideMark/>
          </w:tcPr>
          <w:p w14:paraId="5457135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71,437 </w:t>
            </w:r>
          </w:p>
        </w:tc>
        <w:tc>
          <w:tcPr>
            <w:tcW w:w="459" w:type="pct"/>
            <w:shd w:val="clear" w:color="000000" w:fill="FFFFFF"/>
            <w:noWrap/>
            <w:vAlign w:val="center"/>
            <w:hideMark/>
          </w:tcPr>
          <w:p w14:paraId="2B8DE84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13,788 </w:t>
            </w:r>
          </w:p>
        </w:tc>
        <w:tc>
          <w:tcPr>
            <w:tcW w:w="392" w:type="pct"/>
            <w:shd w:val="clear" w:color="000000" w:fill="FFFFFF"/>
            <w:vAlign w:val="center"/>
            <w:hideMark/>
          </w:tcPr>
          <w:p w14:paraId="7E14559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19%</w:t>
            </w:r>
          </w:p>
        </w:tc>
        <w:tc>
          <w:tcPr>
            <w:tcW w:w="492" w:type="pct"/>
            <w:shd w:val="clear" w:color="000000" w:fill="FFFFFF"/>
            <w:noWrap/>
            <w:vAlign w:val="center"/>
            <w:hideMark/>
          </w:tcPr>
          <w:p w14:paraId="6D254ADD"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714,810 </w:t>
            </w:r>
          </w:p>
        </w:tc>
        <w:tc>
          <w:tcPr>
            <w:tcW w:w="392" w:type="pct"/>
            <w:shd w:val="clear" w:color="000000" w:fill="FFFFFF"/>
            <w:noWrap/>
            <w:vAlign w:val="center"/>
            <w:hideMark/>
          </w:tcPr>
          <w:p w14:paraId="4AB5F09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1001%</w:t>
            </w:r>
          </w:p>
        </w:tc>
        <w:tc>
          <w:tcPr>
            <w:tcW w:w="248" w:type="pct"/>
            <w:shd w:val="clear" w:color="000000" w:fill="FFFFFF"/>
            <w:vAlign w:val="center"/>
            <w:hideMark/>
          </w:tcPr>
          <w:p w14:paraId="40DC289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5005387 - Mejoramiento y Atención a las Personas con Discapacidad</w:t>
            </w:r>
          </w:p>
        </w:tc>
        <w:tc>
          <w:tcPr>
            <w:tcW w:w="856" w:type="pct"/>
            <w:shd w:val="clear" w:color="000000" w:fill="FFFFFF"/>
            <w:vAlign w:val="center"/>
            <w:hideMark/>
          </w:tcPr>
          <w:p w14:paraId="590D671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03 Contratos de la partida de accesibilidad</w:t>
            </w:r>
          </w:p>
        </w:tc>
      </w:tr>
      <w:tr w:rsidR="005C4643" w:rsidRPr="0044066E" w14:paraId="0E981E3D" w14:textId="77777777" w:rsidTr="003301A8">
        <w:trPr>
          <w:trHeight w:val="510"/>
        </w:trPr>
        <w:tc>
          <w:tcPr>
            <w:tcW w:w="191" w:type="pct"/>
            <w:shd w:val="clear" w:color="000000" w:fill="FFFFFF"/>
            <w:noWrap/>
            <w:vAlign w:val="center"/>
          </w:tcPr>
          <w:p w14:paraId="6556F5B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19</w:t>
            </w:r>
          </w:p>
        </w:tc>
        <w:tc>
          <w:tcPr>
            <w:tcW w:w="438" w:type="pct"/>
            <w:shd w:val="clear" w:color="000000" w:fill="FFFFFF"/>
            <w:noWrap/>
            <w:vAlign w:val="center"/>
            <w:hideMark/>
          </w:tcPr>
          <w:p w14:paraId="541DA3E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1026C69E"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San Isidro</w:t>
            </w:r>
          </w:p>
        </w:tc>
        <w:tc>
          <w:tcPr>
            <w:tcW w:w="334" w:type="pct"/>
            <w:shd w:val="clear" w:color="000000" w:fill="FFFFFF"/>
            <w:noWrap/>
            <w:vAlign w:val="center"/>
            <w:hideMark/>
          </w:tcPr>
          <w:p w14:paraId="3A9E571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6780EAD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287,944,793 </w:t>
            </w:r>
          </w:p>
        </w:tc>
        <w:tc>
          <w:tcPr>
            <w:tcW w:w="339" w:type="pct"/>
            <w:shd w:val="clear" w:color="000000" w:fill="FFFFFF"/>
            <w:vAlign w:val="center"/>
            <w:hideMark/>
          </w:tcPr>
          <w:p w14:paraId="57BD5AB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1,439,724 </w:t>
            </w:r>
          </w:p>
        </w:tc>
        <w:tc>
          <w:tcPr>
            <w:tcW w:w="459" w:type="pct"/>
            <w:shd w:val="clear" w:color="000000" w:fill="FFFFFF"/>
            <w:noWrap/>
            <w:vAlign w:val="center"/>
            <w:hideMark/>
          </w:tcPr>
          <w:p w14:paraId="164E3C4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2,710,798 </w:t>
            </w:r>
          </w:p>
        </w:tc>
        <w:tc>
          <w:tcPr>
            <w:tcW w:w="392" w:type="pct"/>
            <w:shd w:val="clear" w:color="000000" w:fill="FFFFFF"/>
            <w:vAlign w:val="center"/>
            <w:hideMark/>
          </w:tcPr>
          <w:p w14:paraId="526B5E2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188%</w:t>
            </w:r>
          </w:p>
        </w:tc>
        <w:tc>
          <w:tcPr>
            <w:tcW w:w="492" w:type="pct"/>
            <w:shd w:val="clear" w:color="000000" w:fill="FFFFFF"/>
            <w:noWrap/>
            <w:vAlign w:val="center"/>
            <w:hideMark/>
          </w:tcPr>
          <w:p w14:paraId="7C083A1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863,022 </w:t>
            </w:r>
          </w:p>
        </w:tc>
        <w:tc>
          <w:tcPr>
            <w:tcW w:w="392" w:type="pct"/>
            <w:shd w:val="clear" w:color="000000" w:fill="FFFFFF"/>
            <w:noWrap/>
            <w:vAlign w:val="center"/>
            <w:hideMark/>
          </w:tcPr>
          <w:p w14:paraId="62A94D1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60%</w:t>
            </w:r>
          </w:p>
        </w:tc>
        <w:tc>
          <w:tcPr>
            <w:tcW w:w="248" w:type="pct"/>
            <w:shd w:val="clear" w:color="000000" w:fill="FFFFFF"/>
            <w:vAlign w:val="center"/>
            <w:hideMark/>
          </w:tcPr>
          <w:p w14:paraId="1400136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5000455 -  Apoyo al</w:t>
            </w:r>
            <w:r w:rsidRPr="0044066E">
              <w:rPr>
                <w:rFonts w:ascii="Calibri" w:hAnsi="Calibri"/>
                <w:color w:val="000000"/>
                <w:sz w:val="18"/>
                <w:szCs w:val="18"/>
              </w:rPr>
              <w:br/>
              <w:t xml:space="preserve"> ciudadano y a la familia </w:t>
            </w:r>
          </w:p>
        </w:tc>
        <w:tc>
          <w:tcPr>
            <w:tcW w:w="856" w:type="pct"/>
            <w:shd w:val="clear" w:color="000000" w:fill="FFFFFF"/>
            <w:vAlign w:val="center"/>
            <w:hideMark/>
          </w:tcPr>
          <w:p w14:paraId="61F4FCE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02  Inversiones, CUI 2154450 y CUI 2493757</w:t>
            </w:r>
          </w:p>
        </w:tc>
      </w:tr>
      <w:tr w:rsidR="005C4643" w:rsidRPr="0044066E" w14:paraId="31781347" w14:textId="77777777" w:rsidTr="003301A8">
        <w:trPr>
          <w:trHeight w:val="510"/>
        </w:trPr>
        <w:tc>
          <w:tcPr>
            <w:tcW w:w="191" w:type="pct"/>
            <w:shd w:val="clear" w:color="000000" w:fill="FFFFFF"/>
            <w:noWrap/>
            <w:vAlign w:val="center"/>
          </w:tcPr>
          <w:p w14:paraId="7CCCD39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20</w:t>
            </w:r>
          </w:p>
        </w:tc>
        <w:tc>
          <w:tcPr>
            <w:tcW w:w="438" w:type="pct"/>
            <w:shd w:val="clear" w:color="000000" w:fill="FFFFFF"/>
            <w:noWrap/>
            <w:vAlign w:val="center"/>
            <w:hideMark/>
          </w:tcPr>
          <w:p w14:paraId="58DE21F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5CCAFAE4"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San Martín de Porres</w:t>
            </w:r>
          </w:p>
        </w:tc>
        <w:tc>
          <w:tcPr>
            <w:tcW w:w="334" w:type="pct"/>
            <w:shd w:val="clear" w:color="000000" w:fill="FFFFFF"/>
            <w:noWrap/>
            <w:vAlign w:val="center"/>
            <w:hideMark/>
          </w:tcPr>
          <w:p w14:paraId="7207F31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36049EC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195,850,676 </w:t>
            </w:r>
          </w:p>
        </w:tc>
        <w:tc>
          <w:tcPr>
            <w:tcW w:w="339" w:type="pct"/>
            <w:shd w:val="clear" w:color="000000" w:fill="FFFFFF"/>
            <w:vAlign w:val="center"/>
            <w:hideMark/>
          </w:tcPr>
          <w:p w14:paraId="6A4C1CC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979,253 </w:t>
            </w:r>
          </w:p>
        </w:tc>
        <w:tc>
          <w:tcPr>
            <w:tcW w:w="459" w:type="pct"/>
            <w:shd w:val="clear" w:color="000000" w:fill="FFFFFF"/>
            <w:vAlign w:val="center"/>
            <w:hideMark/>
          </w:tcPr>
          <w:p w14:paraId="04F8A1A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793,227 </w:t>
            </w:r>
          </w:p>
        </w:tc>
        <w:tc>
          <w:tcPr>
            <w:tcW w:w="392" w:type="pct"/>
            <w:shd w:val="clear" w:color="000000" w:fill="FFFFFF"/>
            <w:vAlign w:val="center"/>
            <w:hideMark/>
          </w:tcPr>
          <w:p w14:paraId="515EA00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81%</w:t>
            </w:r>
          </w:p>
        </w:tc>
        <w:tc>
          <w:tcPr>
            <w:tcW w:w="492" w:type="pct"/>
            <w:shd w:val="clear" w:color="000000" w:fill="FFFFFF"/>
            <w:noWrap/>
            <w:vAlign w:val="center"/>
            <w:hideMark/>
          </w:tcPr>
          <w:p w14:paraId="362EA30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8,703,217 </w:t>
            </w:r>
          </w:p>
        </w:tc>
        <w:tc>
          <w:tcPr>
            <w:tcW w:w="392" w:type="pct"/>
            <w:shd w:val="clear" w:color="000000" w:fill="FFFFFF"/>
            <w:noWrap/>
            <w:vAlign w:val="center"/>
            <w:hideMark/>
          </w:tcPr>
          <w:p w14:paraId="363240D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889%</w:t>
            </w:r>
          </w:p>
        </w:tc>
        <w:tc>
          <w:tcPr>
            <w:tcW w:w="248" w:type="pct"/>
            <w:shd w:val="clear" w:color="000000" w:fill="FFFFFF"/>
            <w:vAlign w:val="center"/>
            <w:hideMark/>
          </w:tcPr>
          <w:p w14:paraId="40EED332"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856" w:type="pct"/>
            <w:shd w:val="clear" w:color="000000" w:fill="FFFFFF"/>
            <w:vAlign w:val="center"/>
            <w:hideMark/>
          </w:tcPr>
          <w:p w14:paraId="2529038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r w:rsidR="005C4643" w:rsidRPr="0044066E" w14:paraId="18BF1BFC" w14:textId="77777777" w:rsidTr="003301A8">
        <w:trPr>
          <w:trHeight w:val="765"/>
        </w:trPr>
        <w:tc>
          <w:tcPr>
            <w:tcW w:w="191" w:type="pct"/>
            <w:shd w:val="clear" w:color="000000" w:fill="FFFFFF"/>
            <w:noWrap/>
            <w:vAlign w:val="center"/>
          </w:tcPr>
          <w:p w14:paraId="6688531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21</w:t>
            </w:r>
          </w:p>
        </w:tc>
        <w:tc>
          <w:tcPr>
            <w:tcW w:w="438" w:type="pct"/>
            <w:shd w:val="clear" w:color="000000" w:fill="FFFFFF"/>
            <w:noWrap/>
            <w:vAlign w:val="center"/>
            <w:hideMark/>
          </w:tcPr>
          <w:p w14:paraId="16E8CAC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7BB85FA7"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Santa Rosa</w:t>
            </w:r>
          </w:p>
        </w:tc>
        <w:tc>
          <w:tcPr>
            <w:tcW w:w="334" w:type="pct"/>
            <w:shd w:val="clear" w:color="000000" w:fill="FFFFFF"/>
            <w:noWrap/>
            <w:vAlign w:val="center"/>
            <w:hideMark/>
          </w:tcPr>
          <w:p w14:paraId="6B3A735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3C66C8C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13,551,807 </w:t>
            </w:r>
          </w:p>
        </w:tc>
        <w:tc>
          <w:tcPr>
            <w:tcW w:w="339" w:type="pct"/>
            <w:shd w:val="clear" w:color="000000" w:fill="FFFFFF"/>
            <w:vAlign w:val="center"/>
            <w:hideMark/>
          </w:tcPr>
          <w:p w14:paraId="4E30AEB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67,759 </w:t>
            </w:r>
          </w:p>
        </w:tc>
        <w:tc>
          <w:tcPr>
            <w:tcW w:w="459" w:type="pct"/>
            <w:shd w:val="clear" w:color="000000" w:fill="FFFFFF"/>
            <w:vAlign w:val="center"/>
            <w:hideMark/>
          </w:tcPr>
          <w:p w14:paraId="3CAA8B9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72,000 </w:t>
            </w:r>
          </w:p>
        </w:tc>
        <w:tc>
          <w:tcPr>
            <w:tcW w:w="392" w:type="pct"/>
            <w:shd w:val="clear" w:color="000000" w:fill="FFFFFF"/>
            <w:vAlign w:val="center"/>
            <w:hideMark/>
          </w:tcPr>
          <w:p w14:paraId="75B966F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106%</w:t>
            </w:r>
          </w:p>
        </w:tc>
        <w:tc>
          <w:tcPr>
            <w:tcW w:w="492" w:type="pct"/>
            <w:shd w:val="clear" w:color="000000" w:fill="FFFFFF"/>
            <w:noWrap/>
            <w:vAlign w:val="center"/>
            <w:hideMark/>
          </w:tcPr>
          <w:p w14:paraId="64B0B08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107,253 </w:t>
            </w:r>
          </w:p>
        </w:tc>
        <w:tc>
          <w:tcPr>
            <w:tcW w:w="392" w:type="pct"/>
            <w:shd w:val="clear" w:color="000000" w:fill="FFFFFF"/>
            <w:noWrap/>
            <w:vAlign w:val="center"/>
            <w:hideMark/>
          </w:tcPr>
          <w:p w14:paraId="69721DB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158%</w:t>
            </w:r>
          </w:p>
        </w:tc>
        <w:tc>
          <w:tcPr>
            <w:tcW w:w="248" w:type="pct"/>
            <w:shd w:val="clear" w:color="000000" w:fill="FFFFFF"/>
            <w:vAlign w:val="center"/>
            <w:hideMark/>
          </w:tcPr>
          <w:p w14:paraId="59EABF0F"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856" w:type="pct"/>
            <w:shd w:val="clear" w:color="000000" w:fill="FFFFFF"/>
            <w:noWrap/>
            <w:vAlign w:val="center"/>
            <w:hideMark/>
          </w:tcPr>
          <w:p w14:paraId="1DB08A8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 IOARR - CUI 2478741</w:t>
            </w:r>
          </w:p>
        </w:tc>
      </w:tr>
      <w:tr w:rsidR="005C4643" w:rsidRPr="0044066E" w14:paraId="6C1FD0A8" w14:textId="77777777" w:rsidTr="003301A8">
        <w:trPr>
          <w:trHeight w:val="1020"/>
        </w:trPr>
        <w:tc>
          <w:tcPr>
            <w:tcW w:w="191" w:type="pct"/>
            <w:shd w:val="clear" w:color="000000" w:fill="FFFFFF"/>
            <w:noWrap/>
            <w:vAlign w:val="center"/>
          </w:tcPr>
          <w:p w14:paraId="76A15C3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lastRenderedPageBreak/>
              <w:t>22</w:t>
            </w:r>
          </w:p>
        </w:tc>
        <w:tc>
          <w:tcPr>
            <w:tcW w:w="438" w:type="pct"/>
            <w:shd w:val="clear" w:color="000000" w:fill="FFFFFF"/>
            <w:noWrap/>
            <w:vAlign w:val="center"/>
            <w:hideMark/>
          </w:tcPr>
          <w:p w14:paraId="275AFF93"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690B655E"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Villa El Salvador</w:t>
            </w:r>
          </w:p>
        </w:tc>
        <w:tc>
          <w:tcPr>
            <w:tcW w:w="334" w:type="pct"/>
            <w:shd w:val="clear" w:color="000000" w:fill="FFFFFF"/>
            <w:vAlign w:val="center"/>
            <w:hideMark/>
          </w:tcPr>
          <w:p w14:paraId="753CC57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3770BC9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167,576,310 </w:t>
            </w:r>
          </w:p>
        </w:tc>
        <w:tc>
          <w:tcPr>
            <w:tcW w:w="339" w:type="pct"/>
            <w:shd w:val="clear" w:color="000000" w:fill="FFFFFF"/>
            <w:vAlign w:val="center"/>
            <w:hideMark/>
          </w:tcPr>
          <w:p w14:paraId="7B002D5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837,882 </w:t>
            </w:r>
          </w:p>
        </w:tc>
        <w:tc>
          <w:tcPr>
            <w:tcW w:w="459" w:type="pct"/>
            <w:shd w:val="clear" w:color="000000" w:fill="FFFFFF"/>
            <w:vAlign w:val="center"/>
            <w:hideMark/>
          </w:tcPr>
          <w:p w14:paraId="50D87B29"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489,209 </w:t>
            </w:r>
          </w:p>
        </w:tc>
        <w:tc>
          <w:tcPr>
            <w:tcW w:w="392" w:type="pct"/>
            <w:shd w:val="clear" w:color="000000" w:fill="FFFFFF"/>
            <w:vAlign w:val="center"/>
            <w:hideMark/>
          </w:tcPr>
          <w:p w14:paraId="1BF9A6D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58%</w:t>
            </w:r>
          </w:p>
        </w:tc>
        <w:tc>
          <w:tcPr>
            <w:tcW w:w="492" w:type="pct"/>
            <w:shd w:val="clear" w:color="000000" w:fill="FFFFFF"/>
            <w:vAlign w:val="center"/>
            <w:hideMark/>
          </w:tcPr>
          <w:p w14:paraId="538262D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489,209 </w:t>
            </w:r>
          </w:p>
        </w:tc>
        <w:tc>
          <w:tcPr>
            <w:tcW w:w="392" w:type="pct"/>
            <w:shd w:val="clear" w:color="000000" w:fill="FFFFFF"/>
            <w:noWrap/>
            <w:vAlign w:val="center"/>
            <w:hideMark/>
          </w:tcPr>
          <w:p w14:paraId="4C17B38B"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58%</w:t>
            </w:r>
          </w:p>
        </w:tc>
        <w:tc>
          <w:tcPr>
            <w:tcW w:w="248" w:type="pct"/>
            <w:shd w:val="clear" w:color="000000" w:fill="FFFFFF"/>
            <w:vAlign w:val="center"/>
            <w:hideMark/>
          </w:tcPr>
          <w:p w14:paraId="444FAD9E"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Meta - Área de OMAPED; Meta - Presupuesto Participativo Específico de Discapacidad 2020.</w:t>
            </w:r>
          </w:p>
        </w:tc>
        <w:tc>
          <w:tcPr>
            <w:tcW w:w="856" w:type="pct"/>
            <w:shd w:val="clear" w:color="000000" w:fill="FFFFFF"/>
            <w:vAlign w:val="center"/>
            <w:hideMark/>
          </w:tcPr>
          <w:p w14:paraId="3FC4633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10 Códigos de Proyectos</w:t>
            </w:r>
          </w:p>
        </w:tc>
      </w:tr>
      <w:tr w:rsidR="005C4643" w:rsidRPr="0044066E" w14:paraId="7B802899" w14:textId="77777777" w:rsidTr="003301A8">
        <w:trPr>
          <w:trHeight w:val="2805"/>
        </w:trPr>
        <w:tc>
          <w:tcPr>
            <w:tcW w:w="191" w:type="pct"/>
            <w:shd w:val="clear" w:color="000000" w:fill="FFFFFF"/>
            <w:noWrap/>
            <w:vAlign w:val="center"/>
          </w:tcPr>
          <w:p w14:paraId="1B94B166"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23</w:t>
            </w:r>
          </w:p>
        </w:tc>
        <w:tc>
          <w:tcPr>
            <w:tcW w:w="438" w:type="pct"/>
            <w:shd w:val="clear" w:color="000000" w:fill="FFFFFF"/>
            <w:noWrap/>
            <w:vAlign w:val="center"/>
            <w:hideMark/>
          </w:tcPr>
          <w:p w14:paraId="32664CFA"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Gobierno Local</w:t>
            </w:r>
          </w:p>
        </w:tc>
        <w:tc>
          <w:tcPr>
            <w:tcW w:w="435" w:type="pct"/>
            <w:shd w:val="clear" w:color="000000" w:fill="FFFFFF"/>
            <w:vAlign w:val="center"/>
            <w:hideMark/>
          </w:tcPr>
          <w:p w14:paraId="19A3F222" w14:textId="77777777" w:rsidR="005C4643" w:rsidRPr="0044066E" w:rsidRDefault="005C4643" w:rsidP="003301A8">
            <w:pPr>
              <w:rPr>
                <w:rFonts w:ascii="Calibri" w:hAnsi="Calibri"/>
                <w:color w:val="000000"/>
                <w:sz w:val="18"/>
                <w:szCs w:val="18"/>
              </w:rPr>
            </w:pPr>
            <w:r w:rsidRPr="0044066E">
              <w:rPr>
                <w:rFonts w:ascii="Calibri" w:hAnsi="Calibri"/>
                <w:color w:val="000000"/>
                <w:sz w:val="18"/>
                <w:szCs w:val="18"/>
              </w:rPr>
              <w:t>Municipalidad Distrital de Villa María del Triunfo</w:t>
            </w:r>
          </w:p>
        </w:tc>
        <w:tc>
          <w:tcPr>
            <w:tcW w:w="334" w:type="pct"/>
            <w:shd w:val="clear" w:color="000000" w:fill="FFFFFF"/>
            <w:noWrap/>
            <w:vAlign w:val="center"/>
            <w:hideMark/>
          </w:tcPr>
          <w:p w14:paraId="418CB7A0"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Lima</w:t>
            </w:r>
          </w:p>
        </w:tc>
        <w:tc>
          <w:tcPr>
            <w:tcW w:w="421" w:type="pct"/>
            <w:shd w:val="clear" w:color="000000" w:fill="FFFFFF"/>
            <w:vAlign w:val="center"/>
            <w:hideMark/>
          </w:tcPr>
          <w:p w14:paraId="4E6D5495"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129,199,736 </w:t>
            </w:r>
          </w:p>
        </w:tc>
        <w:tc>
          <w:tcPr>
            <w:tcW w:w="339" w:type="pct"/>
            <w:shd w:val="clear" w:color="000000" w:fill="FFFFFF"/>
            <w:vAlign w:val="center"/>
            <w:hideMark/>
          </w:tcPr>
          <w:p w14:paraId="5352C1B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645,999 </w:t>
            </w:r>
          </w:p>
        </w:tc>
        <w:tc>
          <w:tcPr>
            <w:tcW w:w="459" w:type="pct"/>
            <w:shd w:val="clear" w:color="000000" w:fill="FFFFFF"/>
            <w:vAlign w:val="center"/>
            <w:hideMark/>
          </w:tcPr>
          <w:p w14:paraId="28DDED9C"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24,097 </w:t>
            </w:r>
          </w:p>
        </w:tc>
        <w:tc>
          <w:tcPr>
            <w:tcW w:w="392" w:type="pct"/>
            <w:shd w:val="clear" w:color="000000" w:fill="FFFFFF"/>
            <w:vAlign w:val="center"/>
            <w:hideMark/>
          </w:tcPr>
          <w:p w14:paraId="64F13DA1"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4%</w:t>
            </w:r>
          </w:p>
        </w:tc>
        <w:tc>
          <w:tcPr>
            <w:tcW w:w="492" w:type="pct"/>
            <w:shd w:val="clear" w:color="000000" w:fill="FFFFFF"/>
            <w:noWrap/>
            <w:vAlign w:val="center"/>
            <w:hideMark/>
          </w:tcPr>
          <w:p w14:paraId="15D6400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 xml:space="preserve">            3,351,970 </w:t>
            </w:r>
          </w:p>
        </w:tc>
        <w:tc>
          <w:tcPr>
            <w:tcW w:w="392" w:type="pct"/>
            <w:shd w:val="clear" w:color="000000" w:fill="FFFFFF"/>
            <w:noWrap/>
            <w:vAlign w:val="center"/>
            <w:hideMark/>
          </w:tcPr>
          <w:p w14:paraId="57630DA8"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519%</w:t>
            </w:r>
          </w:p>
        </w:tc>
        <w:tc>
          <w:tcPr>
            <w:tcW w:w="248" w:type="pct"/>
            <w:shd w:val="clear" w:color="000000" w:fill="FFFFFF"/>
            <w:vAlign w:val="center"/>
            <w:hideMark/>
          </w:tcPr>
          <w:p w14:paraId="0E0FB9F4"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c>
          <w:tcPr>
            <w:tcW w:w="856" w:type="pct"/>
            <w:shd w:val="clear" w:color="000000" w:fill="FFFFFF"/>
            <w:vAlign w:val="center"/>
            <w:hideMark/>
          </w:tcPr>
          <w:p w14:paraId="0C5D89E7" w14:textId="77777777" w:rsidR="005C4643" w:rsidRPr="0044066E" w:rsidRDefault="005C4643" w:rsidP="003301A8">
            <w:pPr>
              <w:jc w:val="center"/>
              <w:rPr>
                <w:rFonts w:ascii="Calibri" w:hAnsi="Calibri"/>
                <w:color w:val="000000"/>
                <w:sz w:val="18"/>
                <w:szCs w:val="18"/>
              </w:rPr>
            </w:pPr>
            <w:r w:rsidRPr="0044066E">
              <w:rPr>
                <w:rFonts w:ascii="Calibri" w:hAnsi="Calibri"/>
                <w:color w:val="000000"/>
                <w:sz w:val="18"/>
                <w:szCs w:val="18"/>
              </w:rPr>
              <w:t>NR</w:t>
            </w:r>
          </w:p>
        </w:tc>
      </w:tr>
    </w:tbl>
    <w:p w14:paraId="7EA272EF" w14:textId="77777777" w:rsidR="005C4643" w:rsidRPr="0044066E" w:rsidRDefault="005C4643" w:rsidP="005C4643">
      <w:pPr>
        <w:rPr>
          <w:rFonts w:ascii="Calibri" w:eastAsia="Calibri" w:hAnsi="Calibri" w:cs="Calibri"/>
          <w:sz w:val="18"/>
          <w:szCs w:val="18"/>
        </w:rPr>
      </w:pPr>
      <w:r w:rsidRPr="0044066E">
        <w:rPr>
          <w:rFonts w:ascii="Calibri" w:eastAsia="Calibri" w:hAnsi="Calibri" w:cs="Calibri"/>
          <w:sz w:val="18"/>
          <w:szCs w:val="18"/>
        </w:rPr>
        <w:t>Nota: Información al  26.08.2021. [NR: No reporta]. [IOARR: Inversiones de Optimización, Ampliación Marginal, Reposición y Rehabilitación]. [CUI: Código Único de Inversiones]</w:t>
      </w:r>
    </w:p>
    <w:p w14:paraId="392036AE" w14:textId="77777777" w:rsidR="005C4643" w:rsidRPr="0044066E" w:rsidRDefault="005C4643" w:rsidP="005C4643">
      <w:pPr>
        <w:rPr>
          <w:rFonts w:ascii="Calibri" w:eastAsia="Calibri" w:hAnsi="Calibri" w:cs="Calibri"/>
          <w:sz w:val="18"/>
          <w:szCs w:val="18"/>
        </w:rPr>
      </w:pPr>
      <w:r w:rsidRPr="0044066E">
        <w:rPr>
          <w:rFonts w:ascii="Calibri" w:eastAsia="Calibri" w:hAnsi="Calibri" w:cs="Calibri"/>
          <w:sz w:val="18"/>
          <w:szCs w:val="18"/>
        </w:rPr>
        <w:t>Fuente: Informes Presupuestarios remitidos por los Gobiernos Regionales y Locales. MEF (2021) Consulta Amigable del MEF.</w:t>
      </w:r>
    </w:p>
    <w:p w14:paraId="23DE94CB" w14:textId="77777777" w:rsidR="005C4643" w:rsidRPr="0044066E" w:rsidRDefault="005C4643" w:rsidP="005C4643">
      <w:pPr>
        <w:rPr>
          <w:rFonts w:ascii="Calibri" w:eastAsia="Calibri" w:hAnsi="Calibri" w:cs="Calibri"/>
          <w:sz w:val="18"/>
          <w:szCs w:val="18"/>
        </w:rPr>
      </w:pPr>
      <w:r w:rsidRPr="0044066E">
        <w:rPr>
          <w:rFonts w:ascii="Calibri" w:eastAsia="Calibri" w:hAnsi="Calibri" w:cs="Calibri"/>
          <w:sz w:val="18"/>
          <w:szCs w:val="18"/>
        </w:rPr>
        <w:t>Elaboración: DPDS y DPD del CONADIS.</w:t>
      </w:r>
    </w:p>
    <w:p w14:paraId="2CFEF295" w14:textId="77777777" w:rsidR="005C4643" w:rsidRPr="0044066E" w:rsidRDefault="005C4643" w:rsidP="005C4643">
      <w:pPr>
        <w:rPr>
          <w:rFonts w:ascii="Calibri" w:eastAsia="Calibri" w:hAnsi="Calibri" w:cs="Calibri"/>
          <w:sz w:val="22"/>
          <w:szCs w:val="22"/>
        </w:rPr>
        <w:sectPr w:rsidR="005C4643" w:rsidRPr="0044066E" w:rsidSect="00C45C7B">
          <w:headerReference w:type="default" r:id="rId45"/>
          <w:footerReference w:type="default" r:id="rId46"/>
          <w:pgSz w:w="16838" w:h="11906" w:orient="landscape"/>
          <w:pgMar w:top="1701" w:right="1644" w:bottom="1701" w:left="992" w:header="709" w:footer="669" w:gutter="0"/>
          <w:pgBorders w:offsetFrom="page">
            <w:top w:val="single" w:sz="4" w:space="24" w:color="auto"/>
            <w:left w:val="single" w:sz="4" w:space="24" w:color="auto"/>
            <w:bottom w:val="single" w:sz="4" w:space="24" w:color="auto"/>
            <w:right w:val="single" w:sz="4" w:space="24" w:color="auto"/>
          </w:pgBorders>
          <w:pgNumType w:start="7"/>
          <w:cols w:space="720"/>
        </w:sectPr>
      </w:pPr>
      <w:r w:rsidRPr="0044066E">
        <w:rPr>
          <w:rFonts w:ascii="Calibri" w:eastAsia="Calibri" w:hAnsi="Calibri" w:cs="Calibri"/>
          <w:sz w:val="22"/>
          <w:szCs w:val="22"/>
        </w:rPr>
        <w:br w:type="page"/>
      </w:r>
    </w:p>
    <w:p w14:paraId="4BAD18DE" w14:textId="4AF401F2" w:rsidR="005C4643" w:rsidRDefault="005C4643" w:rsidP="005C4643">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lastRenderedPageBreak/>
        <w:t xml:space="preserve">En línea con la información presentada en la Tabla 1, siete (7) gobiernos regionales remitieron sus informes presupuestarios para el año 2020. Para el caso de los gastos operativos (corrientes), sobresalen los gobiernos regionales de Apurímac y La Libertad, los cuales programaron un monto equivalente al 84% del monto </w:t>
      </w:r>
      <w:r w:rsidR="00304519">
        <w:rPr>
          <w:rFonts w:ascii="Calibri" w:eastAsia="Calibri" w:hAnsi="Calibri" w:cs="Calibri"/>
          <w:sz w:val="22"/>
          <w:szCs w:val="22"/>
        </w:rPr>
        <w:t xml:space="preserve">máximo </w:t>
      </w:r>
      <w:r>
        <w:rPr>
          <w:rFonts w:ascii="Calibri" w:eastAsia="Calibri" w:hAnsi="Calibri" w:cs="Calibri"/>
          <w:sz w:val="22"/>
          <w:szCs w:val="22"/>
        </w:rPr>
        <w:t xml:space="preserve">autorizado. Respecto a los gastos en accesibilidad (de capital), sobresale el Gobierno Regional del Callao, el cual supera el monto esperado. </w:t>
      </w:r>
    </w:p>
    <w:p w14:paraId="01A17116" w14:textId="77777777" w:rsidR="00304519" w:rsidRDefault="00304519" w:rsidP="005C4643">
      <w:pPr>
        <w:pBdr>
          <w:top w:val="nil"/>
          <w:left w:val="nil"/>
          <w:bottom w:val="nil"/>
          <w:right w:val="nil"/>
          <w:between w:val="nil"/>
        </w:pBdr>
        <w:jc w:val="both"/>
        <w:rPr>
          <w:rFonts w:ascii="Calibri" w:eastAsia="Calibri" w:hAnsi="Calibri" w:cs="Calibri"/>
          <w:sz w:val="22"/>
          <w:szCs w:val="22"/>
        </w:rPr>
      </w:pPr>
    </w:p>
    <w:p w14:paraId="4A9FD537" w14:textId="10D2EC34" w:rsidR="005C4643" w:rsidRPr="00304519" w:rsidRDefault="00304519" w:rsidP="00304519">
      <w:pPr>
        <w:pBdr>
          <w:top w:val="nil"/>
          <w:left w:val="nil"/>
          <w:bottom w:val="nil"/>
          <w:right w:val="nil"/>
          <w:between w:val="nil"/>
        </w:pBdr>
        <w:shd w:val="clear" w:color="auto" w:fill="D9D9D9" w:themeFill="background1" w:themeFillShade="D9"/>
        <w:jc w:val="center"/>
        <w:rPr>
          <w:rFonts w:ascii="Calibri" w:eastAsia="Calibri" w:hAnsi="Calibri" w:cs="Calibri"/>
          <w:sz w:val="22"/>
          <w:szCs w:val="22"/>
        </w:rPr>
      </w:pPr>
      <w:r w:rsidRPr="00304519">
        <w:rPr>
          <w:rFonts w:ascii="Calibri" w:eastAsia="Calibri" w:hAnsi="Calibri" w:cs="Calibri"/>
          <w:b/>
          <w:bCs/>
          <w:sz w:val="22"/>
          <w:szCs w:val="22"/>
        </w:rPr>
        <w:t>Gráfico 2: Gobiernos regionales – gastos operativos vinculados a las OREDIS, según los montos autorizados y reportados</w:t>
      </w:r>
    </w:p>
    <w:p w14:paraId="144435E1" w14:textId="77777777" w:rsidR="005C4643" w:rsidRPr="0044066E" w:rsidRDefault="005C4643" w:rsidP="005C4643">
      <w:pPr>
        <w:pBdr>
          <w:top w:val="nil"/>
          <w:left w:val="nil"/>
          <w:bottom w:val="nil"/>
          <w:right w:val="nil"/>
          <w:between w:val="nil"/>
        </w:pBdr>
        <w:jc w:val="both"/>
        <w:rPr>
          <w:rFonts w:ascii="Calibri" w:eastAsia="Calibri" w:hAnsi="Calibri" w:cs="Calibri"/>
          <w:sz w:val="22"/>
          <w:szCs w:val="22"/>
        </w:rPr>
      </w:pPr>
      <w:r w:rsidRPr="0044066E">
        <w:rPr>
          <w:noProof/>
        </w:rPr>
        <w:drawing>
          <wp:inline distT="0" distB="0" distL="0" distR="0" wp14:anchorId="3679D6EB" wp14:editId="7B36D68D">
            <wp:extent cx="5400000" cy="2520000"/>
            <wp:effectExtent l="0" t="0" r="10795" b="13970"/>
            <wp:docPr id="9" name="Gráfico 9">
              <a:extLst xmlns:a="http://schemas.openxmlformats.org/drawingml/2006/main">
                <a:ext uri="{FF2B5EF4-FFF2-40B4-BE49-F238E27FC236}">
                  <a16:creationId xmlns:a16="http://schemas.microsoft.com/office/drawing/2014/main" id="{AFF1CC15-6B2C-46C8-A1B6-DE5E9E716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D3C099" w14:textId="754499B6" w:rsidR="005C4643" w:rsidRPr="00304519" w:rsidRDefault="005C4643" w:rsidP="00304519">
      <w:pPr>
        <w:pBdr>
          <w:top w:val="nil"/>
          <w:left w:val="nil"/>
          <w:bottom w:val="nil"/>
          <w:right w:val="nil"/>
          <w:between w:val="nil"/>
        </w:pBdr>
        <w:shd w:val="clear" w:color="auto" w:fill="D9D9D9" w:themeFill="background1" w:themeFillShade="D9"/>
        <w:rPr>
          <w:rFonts w:ascii="Calibri" w:eastAsia="Calibri" w:hAnsi="Calibri" w:cs="Calibri"/>
          <w:b/>
          <w:bCs/>
          <w:sz w:val="18"/>
          <w:szCs w:val="18"/>
        </w:rPr>
      </w:pPr>
      <w:r w:rsidRPr="00304519">
        <w:rPr>
          <w:rFonts w:ascii="Calibri" w:eastAsia="Calibri" w:hAnsi="Calibri" w:cs="Calibri"/>
          <w:b/>
          <w:bCs/>
          <w:sz w:val="18"/>
          <w:szCs w:val="18"/>
        </w:rPr>
        <w:t>Fuente: MEF (2021) SIAF. Reportes de los gobiernos regionales.</w:t>
      </w:r>
    </w:p>
    <w:p w14:paraId="3190687A" w14:textId="77777777" w:rsidR="005C4643" w:rsidRPr="0044066E" w:rsidRDefault="005C4643" w:rsidP="005C4643">
      <w:pPr>
        <w:pBdr>
          <w:top w:val="nil"/>
          <w:left w:val="nil"/>
          <w:bottom w:val="nil"/>
          <w:right w:val="nil"/>
          <w:between w:val="nil"/>
        </w:pBdr>
        <w:jc w:val="both"/>
        <w:rPr>
          <w:rFonts w:ascii="Calibri" w:eastAsia="Calibri" w:hAnsi="Calibri" w:cs="Calibri"/>
          <w:sz w:val="22"/>
          <w:szCs w:val="22"/>
        </w:rPr>
      </w:pPr>
    </w:p>
    <w:p w14:paraId="0C04E152" w14:textId="77777777" w:rsidR="005C4643" w:rsidRPr="0044066E" w:rsidRDefault="005C4643" w:rsidP="005C4643">
      <w:pPr>
        <w:pBdr>
          <w:top w:val="nil"/>
          <w:left w:val="nil"/>
          <w:bottom w:val="nil"/>
          <w:right w:val="nil"/>
          <w:between w:val="nil"/>
        </w:pBdr>
        <w:jc w:val="both"/>
        <w:rPr>
          <w:rFonts w:ascii="Calibri" w:eastAsia="Calibri" w:hAnsi="Calibri" w:cs="Calibri"/>
          <w:sz w:val="22"/>
          <w:szCs w:val="22"/>
        </w:rPr>
      </w:pPr>
    </w:p>
    <w:p w14:paraId="3244C7D4" w14:textId="15034A2B" w:rsidR="005C4643" w:rsidRPr="0044066E" w:rsidRDefault="005C4643" w:rsidP="00304519">
      <w:pPr>
        <w:pBdr>
          <w:top w:val="nil"/>
          <w:left w:val="nil"/>
          <w:bottom w:val="nil"/>
          <w:right w:val="nil"/>
          <w:between w:val="nil"/>
        </w:pBdr>
        <w:shd w:val="clear" w:color="auto" w:fill="D9D9D9" w:themeFill="background1" w:themeFillShade="D9"/>
        <w:jc w:val="center"/>
        <w:rPr>
          <w:rFonts w:ascii="Calibri" w:eastAsia="Calibri" w:hAnsi="Calibri" w:cs="Calibri"/>
          <w:b/>
          <w:bCs/>
          <w:sz w:val="22"/>
          <w:szCs w:val="22"/>
        </w:rPr>
      </w:pPr>
      <w:r w:rsidRPr="0044066E">
        <w:rPr>
          <w:rFonts w:ascii="Calibri" w:eastAsia="Calibri" w:hAnsi="Calibri" w:cs="Calibri"/>
          <w:b/>
          <w:bCs/>
          <w:sz w:val="22"/>
          <w:szCs w:val="22"/>
        </w:rPr>
        <w:t xml:space="preserve">Gráfico </w:t>
      </w:r>
      <w:r>
        <w:rPr>
          <w:rFonts w:ascii="Calibri" w:eastAsia="Calibri" w:hAnsi="Calibri" w:cs="Calibri"/>
          <w:b/>
          <w:bCs/>
          <w:sz w:val="22"/>
          <w:szCs w:val="22"/>
        </w:rPr>
        <w:t>3</w:t>
      </w:r>
      <w:r w:rsidR="00304519">
        <w:rPr>
          <w:rFonts w:ascii="Calibri" w:eastAsia="Calibri" w:hAnsi="Calibri" w:cs="Calibri"/>
          <w:b/>
          <w:bCs/>
          <w:sz w:val="22"/>
          <w:szCs w:val="22"/>
        </w:rPr>
        <w:t xml:space="preserve">: </w:t>
      </w:r>
      <w:r w:rsidRPr="0044066E">
        <w:rPr>
          <w:rFonts w:ascii="Calibri" w:eastAsia="Calibri" w:hAnsi="Calibri" w:cs="Calibri"/>
          <w:b/>
          <w:bCs/>
          <w:sz w:val="22"/>
          <w:szCs w:val="22"/>
        </w:rPr>
        <w:t>Gobiernos regionales – gastos de capital vinculados a inversiones en accesibilidad,</w:t>
      </w:r>
      <w:r w:rsidRPr="0044066E">
        <w:rPr>
          <w:rFonts w:ascii="Calibri" w:eastAsia="Calibri" w:hAnsi="Calibri" w:cs="Calibri"/>
          <w:b/>
          <w:bCs/>
          <w:sz w:val="22"/>
          <w:szCs w:val="22"/>
        </w:rPr>
        <w:br/>
        <w:t xml:space="preserve"> según los montos autorizados y reportados</w:t>
      </w:r>
    </w:p>
    <w:p w14:paraId="13B2DCF8" w14:textId="77777777" w:rsidR="005C4643" w:rsidRPr="0044066E" w:rsidRDefault="005C4643" w:rsidP="005C4643">
      <w:pPr>
        <w:pBdr>
          <w:top w:val="nil"/>
          <w:left w:val="nil"/>
          <w:bottom w:val="nil"/>
          <w:right w:val="nil"/>
          <w:between w:val="nil"/>
        </w:pBdr>
        <w:jc w:val="both"/>
        <w:rPr>
          <w:rFonts w:ascii="Calibri" w:eastAsia="Calibri" w:hAnsi="Calibri" w:cs="Calibri"/>
          <w:sz w:val="22"/>
          <w:szCs w:val="22"/>
        </w:rPr>
      </w:pPr>
      <w:r w:rsidRPr="0044066E">
        <w:rPr>
          <w:noProof/>
        </w:rPr>
        <w:drawing>
          <wp:inline distT="0" distB="0" distL="0" distR="0" wp14:anchorId="01D1CF9F" wp14:editId="6916A58E">
            <wp:extent cx="5400000" cy="2520000"/>
            <wp:effectExtent l="0" t="0" r="10795" b="13970"/>
            <wp:docPr id="11" name="Gráfico 11">
              <a:extLst xmlns:a="http://schemas.openxmlformats.org/drawingml/2006/main">
                <a:ext uri="{FF2B5EF4-FFF2-40B4-BE49-F238E27FC236}">
                  <a16:creationId xmlns:a16="http://schemas.microsoft.com/office/drawing/2014/main" id="{41921DBF-C759-4C36-BB30-51DA80097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FD3DE79" w14:textId="77777777" w:rsidR="005C4643" w:rsidRPr="00304519" w:rsidRDefault="005C4643" w:rsidP="00304519">
      <w:pPr>
        <w:pBdr>
          <w:top w:val="nil"/>
          <w:left w:val="nil"/>
          <w:bottom w:val="nil"/>
          <w:right w:val="nil"/>
          <w:between w:val="nil"/>
        </w:pBdr>
        <w:shd w:val="clear" w:color="auto" w:fill="D9D9D9" w:themeFill="background1" w:themeFillShade="D9"/>
        <w:jc w:val="both"/>
        <w:rPr>
          <w:rFonts w:ascii="Calibri" w:eastAsia="Calibri" w:hAnsi="Calibri" w:cs="Calibri"/>
          <w:b/>
          <w:bCs/>
          <w:sz w:val="22"/>
          <w:szCs w:val="22"/>
        </w:rPr>
      </w:pPr>
      <w:r w:rsidRPr="00304519">
        <w:rPr>
          <w:rFonts w:ascii="Calibri" w:eastAsia="Calibri" w:hAnsi="Calibri" w:cs="Calibri"/>
          <w:b/>
          <w:bCs/>
          <w:sz w:val="18"/>
          <w:szCs w:val="18"/>
        </w:rPr>
        <w:t>Fuente: MEF (2021) SIAF. Reportes de los gobiernos regionales.</w:t>
      </w:r>
    </w:p>
    <w:p w14:paraId="0E0AB3A2" w14:textId="77777777" w:rsidR="005C4643" w:rsidRPr="0044066E" w:rsidRDefault="005C4643" w:rsidP="005C4643">
      <w:pPr>
        <w:pBdr>
          <w:top w:val="nil"/>
          <w:left w:val="nil"/>
          <w:bottom w:val="nil"/>
          <w:right w:val="nil"/>
          <w:between w:val="nil"/>
        </w:pBdr>
        <w:jc w:val="both"/>
        <w:rPr>
          <w:rFonts w:ascii="Calibri" w:eastAsia="Calibri" w:hAnsi="Calibri" w:cs="Calibri"/>
          <w:sz w:val="22"/>
          <w:szCs w:val="22"/>
        </w:rPr>
      </w:pPr>
    </w:p>
    <w:p w14:paraId="4B9A0200" w14:textId="77777777" w:rsidR="005C4643" w:rsidRPr="0044066E" w:rsidRDefault="005C4643" w:rsidP="005C4643">
      <w:pPr>
        <w:rPr>
          <w:rFonts w:ascii="Calibri" w:eastAsia="Calibri" w:hAnsi="Calibri" w:cs="Calibri"/>
          <w:sz w:val="22"/>
          <w:szCs w:val="22"/>
        </w:rPr>
      </w:pPr>
      <w:r w:rsidRPr="0044066E">
        <w:rPr>
          <w:rFonts w:ascii="Calibri" w:eastAsia="Calibri" w:hAnsi="Calibri" w:cs="Calibri"/>
          <w:sz w:val="22"/>
          <w:szCs w:val="22"/>
        </w:rPr>
        <w:br w:type="page"/>
      </w:r>
    </w:p>
    <w:p w14:paraId="6E4BA405" w14:textId="77777777" w:rsidR="005C4643" w:rsidRDefault="005C4643" w:rsidP="00304519">
      <w:pPr>
        <w:pBdr>
          <w:top w:val="nil"/>
          <w:left w:val="nil"/>
          <w:bottom w:val="nil"/>
          <w:right w:val="nil"/>
          <w:between w:val="nil"/>
        </w:pBdr>
        <w:ind w:firstLine="1"/>
        <w:jc w:val="both"/>
        <w:rPr>
          <w:rFonts w:ascii="Calibri" w:eastAsia="Calibri" w:hAnsi="Calibri" w:cs="Calibri"/>
          <w:b/>
          <w:bCs/>
          <w:sz w:val="22"/>
          <w:szCs w:val="22"/>
        </w:rPr>
      </w:pPr>
      <w:r w:rsidRPr="00915D18">
        <w:rPr>
          <w:rFonts w:ascii="Calibri" w:eastAsia="Calibri" w:hAnsi="Calibri" w:cs="Calibri"/>
          <w:sz w:val="22"/>
          <w:szCs w:val="22"/>
        </w:rPr>
        <w:lastRenderedPageBreak/>
        <w:t>P</w:t>
      </w:r>
      <w:r>
        <w:rPr>
          <w:rFonts w:ascii="Calibri" w:eastAsia="Calibri" w:hAnsi="Calibri" w:cs="Calibri"/>
          <w:sz w:val="22"/>
          <w:szCs w:val="22"/>
        </w:rPr>
        <w:t>or otro lado, 16 gobiernos locales presentaron sus informes presupuestarios para el 2020. En lo que respecto a los gastos operativos (corrientes), sobresalen las Municipalidades de San Isidro (Lima), Santa Rosa (Lima), y Carmen de La Legua-Reynoso (Callao), los cuales superan el 0.5% del PIM. Por el contrario, las Municipalidades de Villa María del Triunfo (Lima) y La Molina (Lima) reportaron montos correspondientes el 4% y 3% respectivamente. En caso de la Municipalidad Provincial de Ica, esta no reportó monto alguno.</w:t>
      </w:r>
    </w:p>
    <w:p w14:paraId="66E054D7" w14:textId="77777777" w:rsidR="005C4643" w:rsidRDefault="005C4643" w:rsidP="005C4643">
      <w:pPr>
        <w:pBdr>
          <w:top w:val="nil"/>
          <w:left w:val="nil"/>
          <w:bottom w:val="nil"/>
          <w:right w:val="nil"/>
          <w:between w:val="nil"/>
        </w:pBdr>
        <w:jc w:val="center"/>
        <w:rPr>
          <w:rFonts w:ascii="Calibri" w:eastAsia="Calibri" w:hAnsi="Calibri" w:cs="Calibri"/>
          <w:b/>
          <w:bCs/>
          <w:sz w:val="22"/>
          <w:szCs w:val="22"/>
        </w:rPr>
      </w:pPr>
    </w:p>
    <w:p w14:paraId="4723B437" w14:textId="62B41C48" w:rsidR="005C4643" w:rsidRPr="0044066E" w:rsidRDefault="005C4643" w:rsidP="00304519">
      <w:pPr>
        <w:pBdr>
          <w:top w:val="nil"/>
          <w:left w:val="nil"/>
          <w:bottom w:val="nil"/>
          <w:right w:val="nil"/>
          <w:between w:val="nil"/>
        </w:pBdr>
        <w:shd w:val="clear" w:color="auto" w:fill="D9D9D9" w:themeFill="background1" w:themeFillShade="D9"/>
        <w:jc w:val="center"/>
        <w:rPr>
          <w:rFonts w:ascii="Calibri" w:eastAsia="Calibri" w:hAnsi="Calibri" w:cs="Calibri"/>
          <w:b/>
          <w:bCs/>
          <w:sz w:val="22"/>
          <w:szCs w:val="22"/>
        </w:rPr>
      </w:pPr>
      <w:r w:rsidRPr="0044066E">
        <w:rPr>
          <w:rFonts w:ascii="Calibri" w:eastAsia="Calibri" w:hAnsi="Calibri" w:cs="Calibri"/>
          <w:b/>
          <w:bCs/>
          <w:sz w:val="22"/>
          <w:szCs w:val="22"/>
        </w:rPr>
        <w:t xml:space="preserve">Gráfico </w:t>
      </w:r>
      <w:r>
        <w:rPr>
          <w:rFonts w:ascii="Calibri" w:eastAsia="Calibri" w:hAnsi="Calibri" w:cs="Calibri"/>
          <w:b/>
          <w:bCs/>
          <w:sz w:val="22"/>
          <w:szCs w:val="22"/>
        </w:rPr>
        <w:t>4</w:t>
      </w:r>
      <w:r w:rsidR="00304519">
        <w:rPr>
          <w:rFonts w:ascii="Calibri" w:eastAsia="Calibri" w:hAnsi="Calibri" w:cs="Calibri"/>
          <w:b/>
          <w:bCs/>
          <w:sz w:val="22"/>
          <w:szCs w:val="22"/>
        </w:rPr>
        <w:t xml:space="preserve">: </w:t>
      </w:r>
      <w:r w:rsidRPr="0044066E">
        <w:rPr>
          <w:rFonts w:ascii="Calibri" w:eastAsia="Calibri" w:hAnsi="Calibri" w:cs="Calibri"/>
          <w:b/>
          <w:bCs/>
          <w:sz w:val="22"/>
          <w:szCs w:val="22"/>
        </w:rPr>
        <w:t>Gobiernos locales – gastos operativos vinculados a las OMAPED,</w:t>
      </w:r>
      <w:r w:rsidRPr="0044066E">
        <w:rPr>
          <w:rFonts w:ascii="Calibri" w:eastAsia="Calibri" w:hAnsi="Calibri" w:cs="Calibri"/>
          <w:b/>
          <w:bCs/>
          <w:sz w:val="22"/>
          <w:szCs w:val="22"/>
        </w:rPr>
        <w:br/>
        <w:t>según los montos autorizados y reportados</w:t>
      </w:r>
    </w:p>
    <w:p w14:paraId="17260DB6" w14:textId="1833F07D" w:rsidR="005C4643" w:rsidRPr="00304519" w:rsidRDefault="005C4643" w:rsidP="00304519">
      <w:pPr>
        <w:pBdr>
          <w:top w:val="nil"/>
          <w:left w:val="nil"/>
          <w:bottom w:val="nil"/>
          <w:right w:val="nil"/>
          <w:between w:val="nil"/>
        </w:pBdr>
        <w:shd w:val="clear" w:color="auto" w:fill="D9D9D9" w:themeFill="background1" w:themeFillShade="D9"/>
        <w:jc w:val="both"/>
        <w:rPr>
          <w:rFonts w:ascii="Calibri" w:eastAsia="Calibri" w:hAnsi="Calibri" w:cs="Calibri"/>
          <w:b/>
          <w:bCs/>
          <w:sz w:val="18"/>
          <w:szCs w:val="18"/>
        </w:rPr>
      </w:pPr>
      <w:r w:rsidRPr="0044066E">
        <w:rPr>
          <w:noProof/>
        </w:rPr>
        <mc:AlternateContent>
          <mc:Choice Requires="wpg">
            <w:drawing>
              <wp:inline distT="0" distB="0" distL="0" distR="0" wp14:anchorId="24DA2B88" wp14:editId="745025A2">
                <wp:extent cx="5400000" cy="6120000"/>
                <wp:effectExtent l="0" t="0" r="10795" b="15875"/>
                <wp:docPr id="14" name="Grupo 5"/>
                <wp:cNvGraphicFramePr/>
                <a:graphic xmlns:a="http://schemas.openxmlformats.org/drawingml/2006/main">
                  <a:graphicData uri="http://schemas.microsoft.com/office/word/2010/wordprocessingGroup">
                    <wpg:wgp>
                      <wpg:cNvGrpSpPr/>
                      <wpg:grpSpPr>
                        <a:xfrm>
                          <a:off x="0" y="0"/>
                          <a:ext cx="5400000" cy="6120000"/>
                          <a:chOff x="0" y="0"/>
                          <a:chExt cx="5400000" cy="7560000"/>
                        </a:xfrm>
                      </wpg:grpSpPr>
                      <wpg:graphicFrame>
                        <wpg:cNvPr id="15" name="Gráfico 15"/>
                        <wpg:cNvFrPr>
                          <a:graphicFrameLocks/>
                        </wpg:cNvFrPr>
                        <wpg:xfrm>
                          <a:off x="0" y="0"/>
                          <a:ext cx="5400000" cy="7560000"/>
                        </wpg:xfrm>
                        <a:graphic>
                          <a:graphicData uri="http://schemas.openxmlformats.org/drawingml/2006/chart">
                            <c:chart xmlns:c="http://schemas.openxmlformats.org/drawingml/2006/chart" xmlns:r="http://schemas.openxmlformats.org/officeDocument/2006/relationships" r:id="rId49"/>
                          </a:graphicData>
                        </a:graphic>
                      </wpg:graphicFrame>
                      <wps:wsp>
                        <wps:cNvPr id="17" name="Elipse 17"/>
                        <wps:cNvSpPr/>
                        <wps:spPr>
                          <a:xfrm>
                            <a:off x="1789418" y="7417643"/>
                            <a:ext cx="66261" cy="74544"/>
                          </a:xfrm>
                          <a:prstGeom prst="ellipse">
                            <a:avLst/>
                          </a:prstGeom>
                          <a:solidFill>
                            <a:srgbClr val="C00000"/>
                          </a:solidFill>
                          <a:ln w="12700" cap="flat" cmpd="sng" algn="ctr">
                            <a:noFill/>
                            <a:prstDash val="solid"/>
                            <a:miter lim="800000"/>
                          </a:ln>
                          <a:effectLst/>
                        </wps:spPr>
                        <wps:bodyPr rtlCol="0" anchor="t"/>
                      </wps:wsp>
                    </wpg:wgp>
                  </a:graphicData>
                </a:graphic>
              </wp:inline>
            </w:drawing>
          </mc:Choice>
          <mc:Fallback>
            <w:pict>
              <v:group w14:anchorId="3140A831" id="Grupo 5" o:spid="_x0000_s1026" style="width:425.2pt;height:481.9pt;mso-position-horizontal-relative:char;mso-position-vertical-relative:line" coordsize="54000,756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5" o:spid="_x0000_s1027" type="#_x0000_t75" style="position:absolute;left:-60;top:-75;width:54131;height:75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">
                  <v:imagedata r:id="rId50" o:title=""/>
                  <o:lock v:ext="edit" aspectratio="f"/>
                </v:shape>
                <v:oval id="Elipse 17" o:spid="_x0000_s1028" style="position:absolute;left:17894;top:74176;width:662;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" fillcolor="#c00000" stroked="f" strokeweight="1pt">
                  <v:stroke joinstyle="miter"/>
                </v:oval>
                <w10:anchorlock/>
              </v:group>
            </w:pict>
          </mc:Fallback>
        </mc:AlternateContent>
      </w:r>
      <w:r w:rsidRPr="00304519">
        <w:rPr>
          <w:rFonts w:ascii="Calibri" w:eastAsia="Calibri" w:hAnsi="Calibri" w:cs="Calibri"/>
          <w:b/>
          <w:bCs/>
          <w:sz w:val="18"/>
          <w:szCs w:val="18"/>
        </w:rPr>
        <w:t>Nota: La Municipalidad Provincial de Ica no reportó monto.</w:t>
      </w:r>
    </w:p>
    <w:p w14:paraId="29E8CB3F" w14:textId="77777777" w:rsidR="005C4643" w:rsidRPr="00304519" w:rsidRDefault="005C4643" w:rsidP="00304519">
      <w:pPr>
        <w:pBdr>
          <w:top w:val="nil"/>
          <w:left w:val="nil"/>
          <w:bottom w:val="nil"/>
          <w:right w:val="nil"/>
          <w:between w:val="nil"/>
        </w:pBdr>
        <w:shd w:val="clear" w:color="auto" w:fill="D9D9D9" w:themeFill="background1" w:themeFillShade="D9"/>
        <w:jc w:val="both"/>
        <w:rPr>
          <w:rFonts w:ascii="Calibri" w:eastAsia="Calibri" w:hAnsi="Calibri" w:cs="Calibri"/>
          <w:b/>
          <w:bCs/>
          <w:sz w:val="22"/>
          <w:szCs w:val="22"/>
        </w:rPr>
      </w:pPr>
      <w:r w:rsidRPr="00304519">
        <w:rPr>
          <w:rFonts w:ascii="Calibri" w:eastAsia="Calibri" w:hAnsi="Calibri" w:cs="Calibri"/>
          <w:b/>
          <w:bCs/>
          <w:sz w:val="18"/>
          <w:szCs w:val="18"/>
        </w:rPr>
        <w:t>Fuente: MEF (2021) SIAF. Reportes de los gobiernos locales.</w:t>
      </w:r>
      <w:r w:rsidRPr="00304519">
        <w:rPr>
          <w:b/>
          <w:bCs/>
          <w:noProof/>
        </w:rPr>
        <w:t xml:space="preserve"> </w:t>
      </w:r>
    </w:p>
    <w:p w14:paraId="544FBC8F" w14:textId="77777777" w:rsidR="00C45C7B" w:rsidRDefault="00C45C7B">
      <w:pPr>
        <w:spacing w:after="200" w:line="276" w:lineRule="auto"/>
        <w:rPr>
          <w:rFonts w:ascii="Calibri" w:eastAsia="Calibri" w:hAnsi="Calibri" w:cs="Calibri"/>
          <w:sz w:val="22"/>
          <w:szCs w:val="22"/>
        </w:rPr>
      </w:pPr>
      <w:r>
        <w:rPr>
          <w:rFonts w:ascii="Calibri" w:eastAsia="Calibri" w:hAnsi="Calibri" w:cs="Calibri"/>
          <w:sz w:val="22"/>
          <w:szCs w:val="22"/>
        </w:rPr>
        <w:br w:type="page"/>
      </w:r>
    </w:p>
    <w:p w14:paraId="62C9F857" w14:textId="121BEC95" w:rsidR="005C4643" w:rsidRDefault="005C4643" w:rsidP="005C4643">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lastRenderedPageBreak/>
        <w:t xml:space="preserve">Finalmente, para el caso de los gastos en accesibilidad (de capital) reportados por los gobiernos locales, sobresalen las municipalidades limeñas de Santa Rosa, San Martín de Porres, Villa María del Triunfo, Independencia, Puente Piedra, y San Bartolo, las cuales superan el 0.5% del PIM. Por el contrario, la </w:t>
      </w:r>
      <w:r w:rsidRPr="0025165C">
        <w:rPr>
          <w:rFonts w:ascii="Calibri" w:eastAsia="Calibri" w:hAnsi="Calibri" w:cs="Calibri"/>
          <w:sz w:val="22"/>
          <w:szCs w:val="22"/>
        </w:rPr>
        <w:t>Municipalidad Distrital de Chavín de Huántar, Municipalidad Provincial del Callao, y la Municipalidad Provincial de Ica no reportaron montos.</w:t>
      </w:r>
    </w:p>
    <w:p w14:paraId="7949143E" w14:textId="77777777" w:rsidR="005C4643" w:rsidRDefault="005C4643" w:rsidP="005C4643">
      <w:pPr>
        <w:pBdr>
          <w:top w:val="nil"/>
          <w:left w:val="nil"/>
          <w:bottom w:val="nil"/>
          <w:right w:val="nil"/>
          <w:between w:val="nil"/>
        </w:pBdr>
        <w:jc w:val="both"/>
        <w:rPr>
          <w:rFonts w:ascii="Calibri" w:eastAsia="Calibri" w:hAnsi="Calibri" w:cs="Calibri"/>
          <w:b/>
          <w:bCs/>
          <w:sz w:val="22"/>
          <w:szCs w:val="22"/>
        </w:rPr>
      </w:pPr>
    </w:p>
    <w:p w14:paraId="039A8B48" w14:textId="2A4E3E6E" w:rsidR="005C4643" w:rsidRPr="0044066E" w:rsidRDefault="005C4643" w:rsidP="00304519">
      <w:pPr>
        <w:pBdr>
          <w:top w:val="nil"/>
          <w:left w:val="nil"/>
          <w:bottom w:val="nil"/>
          <w:right w:val="nil"/>
          <w:between w:val="nil"/>
        </w:pBdr>
        <w:shd w:val="clear" w:color="auto" w:fill="D9D9D9" w:themeFill="background1" w:themeFillShade="D9"/>
        <w:jc w:val="center"/>
        <w:rPr>
          <w:rFonts w:ascii="Calibri" w:eastAsia="Calibri" w:hAnsi="Calibri" w:cs="Calibri"/>
          <w:b/>
          <w:bCs/>
          <w:sz w:val="22"/>
          <w:szCs w:val="22"/>
        </w:rPr>
      </w:pPr>
      <w:r w:rsidRPr="0044066E">
        <w:rPr>
          <w:rFonts w:ascii="Calibri" w:eastAsia="Calibri" w:hAnsi="Calibri" w:cs="Calibri"/>
          <w:b/>
          <w:bCs/>
          <w:sz w:val="22"/>
          <w:szCs w:val="22"/>
        </w:rPr>
        <w:t xml:space="preserve">Gráfico </w:t>
      </w:r>
      <w:r>
        <w:rPr>
          <w:rFonts w:ascii="Calibri" w:eastAsia="Calibri" w:hAnsi="Calibri" w:cs="Calibri"/>
          <w:b/>
          <w:bCs/>
          <w:sz w:val="22"/>
          <w:szCs w:val="22"/>
        </w:rPr>
        <w:t>5</w:t>
      </w:r>
      <w:r w:rsidR="00304519">
        <w:rPr>
          <w:rFonts w:ascii="Calibri" w:eastAsia="Calibri" w:hAnsi="Calibri" w:cs="Calibri"/>
          <w:b/>
          <w:bCs/>
          <w:sz w:val="22"/>
          <w:szCs w:val="22"/>
        </w:rPr>
        <w:t xml:space="preserve">: </w:t>
      </w:r>
      <w:r w:rsidRPr="0044066E">
        <w:rPr>
          <w:rFonts w:ascii="Calibri" w:eastAsia="Calibri" w:hAnsi="Calibri" w:cs="Calibri"/>
          <w:b/>
          <w:bCs/>
          <w:sz w:val="22"/>
          <w:szCs w:val="22"/>
        </w:rPr>
        <w:t>Gobiernos locales – gastos de capital vinculados a inversiones en accesibilidad,</w:t>
      </w:r>
      <w:r w:rsidRPr="0044066E">
        <w:rPr>
          <w:rFonts w:ascii="Calibri" w:eastAsia="Calibri" w:hAnsi="Calibri" w:cs="Calibri"/>
          <w:b/>
          <w:bCs/>
          <w:sz w:val="22"/>
          <w:szCs w:val="22"/>
        </w:rPr>
        <w:br/>
        <w:t xml:space="preserve"> según los montos autorizados y reportados</w:t>
      </w:r>
    </w:p>
    <w:p w14:paraId="5ADE0D44" w14:textId="77777777" w:rsidR="005C4643" w:rsidRPr="0044066E" w:rsidRDefault="005C4643" w:rsidP="005C4643">
      <w:pPr>
        <w:pBdr>
          <w:top w:val="nil"/>
          <w:left w:val="nil"/>
          <w:bottom w:val="nil"/>
          <w:right w:val="nil"/>
          <w:between w:val="nil"/>
        </w:pBdr>
        <w:jc w:val="both"/>
        <w:rPr>
          <w:rFonts w:ascii="Calibri" w:eastAsia="Calibri" w:hAnsi="Calibri" w:cs="Calibri"/>
          <w:sz w:val="18"/>
          <w:szCs w:val="18"/>
        </w:rPr>
      </w:pPr>
      <w:r w:rsidRPr="0044066E">
        <w:rPr>
          <w:noProof/>
        </w:rPr>
        <w:drawing>
          <wp:inline distT="0" distB="0" distL="0" distR="0" wp14:anchorId="7691871F" wp14:editId="5A77AA98">
            <wp:extent cx="5399405" cy="6567778"/>
            <wp:effectExtent l="0" t="0" r="10795" b="5080"/>
            <wp:docPr id="13" name="Gráfico 13">
              <a:extLst xmlns:a="http://schemas.openxmlformats.org/drawingml/2006/main">
                <a:ext uri="{FF2B5EF4-FFF2-40B4-BE49-F238E27FC236}">
                  <a16:creationId xmlns:a16="http://schemas.microsoft.com/office/drawing/2014/main" id="{4AE740C0-952F-47E9-8C5E-3139562D9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AFC7D1" w14:textId="77777777" w:rsidR="005C4643" w:rsidRPr="00304519" w:rsidRDefault="005C4643" w:rsidP="00304519">
      <w:pPr>
        <w:pBdr>
          <w:top w:val="nil"/>
          <w:left w:val="nil"/>
          <w:bottom w:val="nil"/>
          <w:right w:val="nil"/>
          <w:between w:val="nil"/>
        </w:pBdr>
        <w:shd w:val="clear" w:color="auto" w:fill="D9D9D9" w:themeFill="background1" w:themeFillShade="D9"/>
        <w:jc w:val="both"/>
        <w:rPr>
          <w:rFonts w:ascii="Calibri" w:eastAsia="Calibri" w:hAnsi="Calibri" w:cs="Calibri"/>
          <w:b/>
          <w:bCs/>
          <w:sz w:val="18"/>
          <w:szCs w:val="18"/>
        </w:rPr>
      </w:pPr>
      <w:r w:rsidRPr="00304519">
        <w:rPr>
          <w:rFonts w:ascii="Calibri" w:eastAsia="Calibri" w:hAnsi="Calibri" w:cs="Calibri"/>
          <w:b/>
          <w:bCs/>
          <w:sz w:val="18"/>
          <w:szCs w:val="18"/>
        </w:rPr>
        <w:t xml:space="preserve">Nota: La Municipalidad Distrital de Chavín de Huántar, Municipalidad Provincial del Callao, y la Municipalidad Provincial de Ica no reportaron montos. </w:t>
      </w:r>
    </w:p>
    <w:p w14:paraId="599155CC" w14:textId="77777777" w:rsidR="005C4643" w:rsidRPr="00304519" w:rsidRDefault="005C4643" w:rsidP="00304519">
      <w:pPr>
        <w:pBdr>
          <w:top w:val="nil"/>
          <w:left w:val="nil"/>
          <w:bottom w:val="nil"/>
          <w:right w:val="nil"/>
          <w:between w:val="nil"/>
        </w:pBdr>
        <w:shd w:val="clear" w:color="auto" w:fill="D9D9D9" w:themeFill="background1" w:themeFillShade="D9"/>
        <w:jc w:val="both"/>
        <w:rPr>
          <w:rFonts w:ascii="Calibri" w:eastAsia="Calibri" w:hAnsi="Calibri" w:cs="Calibri"/>
          <w:b/>
          <w:bCs/>
          <w:sz w:val="22"/>
          <w:szCs w:val="22"/>
        </w:rPr>
      </w:pPr>
      <w:r w:rsidRPr="00304519">
        <w:rPr>
          <w:rFonts w:ascii="Calibri" w:eastAsia="Calibri" w:hAnsi="Calibri" w:cs="Calibri"/>
          <w:b/>
          <w:bCs/>
          <w:sz w:val="18"/>
          <w:szCs w:val="18"/>
        </w:rPr>
        <w:t>Fuente: MEF (2021) SIAF. Reportes de los gobiernos locales.</w:t>
      </w:r>
    </w:p>
    <w:p w14:paraId="74EF80DF" w14:textId="77777777" w:rsidR="005C4643" w:rsidRPr="0044066E" w:rsidRDefault="005C4643" w:rsidP="00304519">
      <w:pPr>
        <w:pStyle w:val="Ttulo1"/>
      </w:pPr>
      <w:r w:rsidRPr="0044066E">
        <w:lastRenderedPageBreak/>
        <w:t>CONCLUSIONES</w:t>
      </w:r>
    </w:p>
    <w:p w14:paraId="232FD437" w14:textId="77777777" w:rsidR="005C4643" w:rsidRPr="0044066E" w:rsidRDefault="005C4643" w:rsidP="005C4643">
      <w:pPr>
        <w:pBdr>
          <w:top w:val="nil"/>
          <w:left w:val="nil"/>
          <w:bottom w:val="nil"/>
          <w:right w:val="nil"/>
          <w:between w:val="nil"/>
        </w:pBdr>
        <w:tabs>
          <w:tab w:val="left" w:pos="1416"/>
          <w:tab w:val="left" w:pos="2124"/>
        </w:tabs>
        <w:ind w:left="567"/>
        <w:jc w:val="both"/>
        <w:rPr>
          <w:rFonts w:ascii="Calibri" w:eastAsia="Calibri" w:hAnsi="Calibri" w:cs="Calibri"/>
          <w:b/>
          <w:color w:val="000000"/>
          <w:sz w:val="22"/>
          <w:szCs w:val="22"/>
          <w:u w:val="single"/>
        </w:rPr>
      </w:pPr>
    </w:p>
    <w:p w14:paraId="7CECF65A" w14:textId="77777777" w:rsidR="005C4643" w:rsidRPr="0044066E" w:rsidRDefault="005C4643" w:rsidP="005C4643">
      <w:pPr>
        <w:numPr>
          <w:ilvl w:val="1"/>
          <w:numId w:val="21"/>
        </w:numPr>
        <w:pBdr>
          <w:top w:val="nil"/>
          <w:left w:val="nil"/>
          <w:bottom w:val="nil"/>
          <w:right w:val="nil"/>
          <w:between w:val="nil"/>
        </w:pBdr>
        <w:tabs>
          <w:tab w:val="left" w:pos="567"/>
        </w:tabs>
        <w:ind w:left="567" w:hanging="567"/>
        <w:jc w:val="both"/>
        <w:rPr>
          <w:rFonts w:ascii="Calibri" w:eastAsia="Calibri" w:hAnsi="Calibri" w:cs="Calibri"/>
          <w:color w:val="000000"/>
          <w:sz w:val="22"/>
          <w:szCs w:val="22"/>
        </w:rPr>
      </w:pPr>
      <w:r w:rsidRPr="0044066E">
        <w:rPr>
          <w:rFonts w:ascii="Calibri" w:eastAsia="Calibri" w:hAnsi="Calibri" w:cs="Calibri"/>
          <w:sz w:val="22"/>
          <w:szCs w:val="22"/>
        </w:rPr>
        <w:t>Para el desarrollo y aplicación de los Lineamientos, es importante que se sigan fortaleciendo las acciones de asistencia técnica y seguimiento con los gobiernos regionales y locales. Por parte de la DPDS, en materia del funcionamiento de las OREDIS y OMAPED, así como de la asignación de los recursos. Por parte de la DIR, para la adecuada administración y análisis de la información para la toma de decisiones. Por parte de la DFS, para el seguimiento y evaluación al cumplimiento de la ejecución presupuestal en materia de discapacidad. Todos estos esfuerzos deberán estar compilados en los siguientes Informes Anuales, a cargo de la DPD.</w:t>
      </w:r>
    </w:p>
    <w:p w14:paraId="29B3D9A0" w14:textId="77777777" w:rsidR="005C4643" w:rsidRPr="0044066E" w:rsidRDefault="005C4643" w:rsidP="005C4643">
      <w:pPr>
        <w:pBdr>
          <w:top w:val="nil"/>
          <w:left w:val="nil"/>
          <w:bottom w:val="nil"/>
          <w:right w:val="nil"/>
          <w:between w:val="nil"/>
        </w:pBdr>
        <w:tabs>
          <w:tab w:val="left" w:pos="567"/>
        </w:tabs>
        <w:ind w:left="567"/>
        <w:jc w:val="both"/>
        <w:rPr>
          <w:rFonts w:ascii="Calibri" w:eastAsia="Calibri" w:hAnsi="Calibri" w:cs="Calibri"/>
          <w:color w:val="000000"/>
          <w:sz w:val="22"/>
          <w:szCs w:val="22"/>
        </w:rPr>
      </w:pPr>
    </w:p>
    <w:p w14:paraId="73B09D92" w14:textId="77777777" w:rsidR="005C4643" w:rsidRPr="0044066E" w:rsidRDefault="005C4643" w:rsidP="005C4643">
      <w:pPr>
        <w:numPr>
          <w:ilvl w:val="1"/>
          <w:numId w:val="21"/>
        </w:numPr>
        <w:pBdr>
          <w:top w:val="nil"/>
          <w:left w:val="nil"/>
          <w:bottom w:val="nil"/>
          <w:right w:val="nil"/>
          <w:between w:val="nil"/>
        </w:pBdr>
        <w:tabs>
          <w:tab w:val="left" w:pos="567"/>
        </w:tabs>
        <w:ind w:left="567" w:hanging="567"/>
        <w:jc w:val="both"/>
        <w:rPr>
          <w:rFonts w:ascii="Calibri" w:eastAsia="Calibri" w:hAnsi="Calibri" w:cs="Calibri"/>
          <w:color w:val="000000"/>
          <w:sz w:val="22"/>
          <w:szCs w:val="22"/>
        </w:rPr>
      </w:pPr>
      <w:r w:rsidRPr="0044066E">
        <w:rPr>
          <w:rFonts w:ascii="Calibri" w:eastAsia="Calibri" w:hAnsi="Calibri" w:cs="Calibri"/>
          <w:color w:val="000000"/>
          <w:sz w:val="22"/>
          <w:szCs w:val="22"/>
        </w:rPr>
        <w:t xml:space="preserve">A pesar de los retos que se presentaron durante el 2020, se han venido realizando diferentes esfuerzos de asistencia técnica, seguimiento y análisis de la información. Desde la </w:t>
      </w:r>
      <w:r w:rsidRPr="0044066E">
        <w:rPr>
          <w:rFonts w:ascii="Calibri" w:eastAsia="Calibri" w:hAnsi="Calibri" w:cs="Calibri"/>
          <w:sz w:val="22"/>
          <w:szCs w:val="22"/>
        </w:rPr>
        <w:t>SDF se avanzó en la ejecución del “Plan de Fiscalización remota en materia presupuestal”, así como la identificación de criterios técnicos para el monitoreo, seguimiento y fiscalización de 22 municipalidades de Lima Metropolitana. Por parte de la DPD, a partir de la base de datos del SIAF, se realizó un análisis sistemático de las Actividades y Fines Presupuestarios vinculados expresamente a la persona con discapacidad y/o a las OREDIS/OMAPED, con el objetivo de mejorar el futuro seguimiento a la programación presupuestal.</w:t>
      </w:r>
    </w:p>
    <w:p w14:paraId="5999F10F" w14:textId="77777777" w:rsidR="005C4643" w:rsidRPr="0044066E" w:rsidRDefault="005C4643" w:rsidP="005C4643">
      <w:pPr>
        <w:pStyle w:val="Prrafodelista"/>
        <w:rPr>
          <w:rFonts w:ascii="Calibri" w:eastAsia="Calibri" w:hAnsi="Calibri" w:cs="Calibri"/>
          <w:color w:val="000000"/>
          <w:sz w:val="22"/>
          <w:szCs w:val="22"/>
        </w:rPr>
      </w:pPr>
    </w:p>
    <w:p w14:paraId="01C1B295" w14:textId="77777777" w:rsidR="005C4643" w:rsidRPr="0025165C" w:rsidRDefault="005C4643" w:rsidP="005C4643">
      <w:pPr>
        <w:numPr>
          <w:ilvl w:val="1"/>
          <w:numId w:val="21"/>
        </w:numPr>
        <w:pBdr>
          <w:top w:val="nil"/>
          <w:left w:val="nil"/>
          <w:bottom w:val="nil"/>
          <w:right w:val="nil"/>
          <w:between w:val="nil"/>
        </w:pBdr>
        <w:tabs>
          <w:tab w:val="left" w:pos="567"/>
        </w:tabs>
        <w:ind w:left="567" w:hanging="567"/>
        <w:jc w:val="both"/>
        <w:rPr>
          <w:rFonts w:ascii="Calibri" w:eastAsia="Calibri" w:hAnsi="Calibri" w:cs="Calibri"/>
          <w:sz w:val="22"/>
          <w:szCs w:val="22"/>
        </w:rPr>
      </w:pPr>
      <w:r w:rsidRPr="0044066E">
        <w:rPr>
          <w:rFonts w:ascii="Calibri" w:eastAsia="Calibri" w:hAnsi="Calibri" w:cs="Calibri"/>
          <w:color w:val="000000"/>
          <w:sz w:val="22"/>
          <w:szCs w:val="22"/>
        </w:rPr>
        <w:t xml:space="preserve">Siete (7) gobiernos regionales, los cuales representan el 28% del total, remitieron sus informes presupuestarios correspondientes al 2020. En cuanto a los gobiernos locales, estos sumaron dieciséis (16), los cuales representan menos del 1% del total. </w:t>
      </w:r>
    </w:p>
    <w:p w14:paraId="7EECA157" w14:textId="77777777" w:rsidR="005C4643" w:rsidRDefault="005C4643" w:rsidP="005C4643">
      <w:pPr>
        <w:pStyle w:val="Prrafodelista"/>
        <w:rPr>
          <w:rFonts w:ascii="Calibri" w:eastAsia="Calibri" w:hAnsi="Calibri" w:cs="Calibri"/>
          <w:sz w:val="22"/>
          <w:szCs w:val="22"/>
        </w:rPr>
      </w:pPr>
    </w:p>
    <w:p w14:paraId="56F6950C" w14:textId="77777777" w:rsidR="005C4643" w:rsidRPr="0025165C" w:rsidRDefault="005C4643" w:rsidP="005C4643">
      <w:pPr>
        <w:numPr>
          <w:ilvl w:val="1"/>
          <w:numId w:val="21"/>
        </w:numPr>
        <w:pBdr>
          <w:top w:val="nil"/>
          <w:left w:val="nil"/>
          <w:bottom w:val="nil"/>
          <w:right w:val="nil"/>
          <w:between w:val="nil"/>
        </w:pBdr>
        <w:tabs>
          <w:tab w:val="left" w:pos="567"/>
        </w:tabs>
        <w:ind w:left="567" w:hanging="567"/>
        <w:jc w:val="both"/>
        <w:rPr>
          <w:rFonts w:ascii="Calibri" w:eastAsia="Calibri" w:hAnsi="Calibri" w:cs="Calibri"/>
          <w:sz w:val="22"/>
          <w:szCs w:val="22"/>
        </w:rPr>
      </w:pPr>
      <w:r w:rsidRPr="0025165C">
        <w:rPr>
          <w:rFonts w:ascii="Calibri" w:eastAsia="Calibri" w:hAnsi="Calibri" w:cs="Calibri"/>
          <w:sz w:val="22"/>
          <w:szCs w:val="22"/>
        </w:rPr>
        <w:t xml:space="preserve">En cuanto a los gobiernos regionales, resaltan los Gobiernos Regionales de La Libertad y Cajamarca respecto a los gastos operativos, con altos niveles de ejecución respecto a los montos máximos referenciales. A nivel de gastos de inversión, resalta el Gobierno Regional del Callao, que sobrepasa el </w:t>
      </w:r>
      <w:r>
        <w:rPr>
          <w:rFonts w:ascii="Calibri" w:eastAsia="Calibri" w:hAnsi="Calibri" w:cs="Calibri"/>
          <w:sz w:val="22"/>
          <w:szCs w:val="22"/>
        </w:rPr>
        <w:t>0.5% del PIM</w:t>
      </w:r>
      <w:r w:rsidRPr="0025165C">
        <w:rPr>
          <w:rFonts w:ascii="Calibri" w:eastAsia="Calibri" w:hAnsi="Calibri" w:cs="Calibri"/>
          <w:sz w:val="22"/>
          <w:szCs w:val="22"/>
        </w:rPr>
        <w:t xml:space="preserve">. </w:t>
      </w:r>
    </w:p>
    <w:p w14:paraId="4CC0C34D" w14:textId="77777777" w:rsidR="005C4643" w:rsidRPr="0025165C" w:rsidRDefault="005C4643" w:rsidP="005C4643">
      <w:pPr>
        <w:pBdr>
          <w:top w:val="nil"/>
          <w:left w:val="nil"/>
          <w:bottom w:val="nil"/>
          <w:right w:val="nil"/>
          <w:between w:val="nil"/>
        </w:pBdr>
        <w:tabs>
          <w:tab w:val="left" w:pos="567"/>
        </w:tabs>
        <w:ind w:left="927"/>
        <w:jc w:val="both"/>
        <w:rPr>
          <w:rFonts w:ascii="Calibri" w:eastAsia="Calibri" w:hAnsi="Calibri" w:cs="Calibri"/>
          <w:sz w:val="22"/>
          <w:szCs w:val="22"/>
        </w:rPr>
      </w:pPr>
    </w:p>
    <w:p w14:paraId="1A1147ED" w14:textId="77777777" w:rsidR="005C4643" w:rsidRPr="0025165C" w:rsidRDefault="005C4643" w:rsidP="005C4643">
      <w:pPr>
        <w:numPr>
          <w:ilvl w:val="1"/>
          <w:numId w:val="21"/>
        </w:numPr>
        <w:pBdr>
          <w:top w:val="nil"/>
          <w:left w:val="nil"/>
          <w:bottom w:val="nil"/>
          <w:right w:val="nil"/>
          <w:between w:val="nil"/>
        </w:pBdr>
        <w:tabs>
          <w:tab w:val="left" w:pos="567"/>
        </w:tabs>
        <w:ind w:left="567" w:hanging="567"/>
        <w:jc w:val="both"/>
        <w:rPr>
          <w:rFonts w:ascii="Calibri" w:eastAsia="Calibri" w:hAnsi="Calibri" w:cs="Calibri"/>
          <w:sz w:val="22"/>
          <w:szCs w:val="22"/>
        </w:rPr>
      </w:pPr>
      <w:r w:rsidRPr="0025165C">
        <w:rPr>
          <w:rFonts w:ascii="Calibri" w:eastAsia="Calibri" w:hAnsi="Calibri" w:cs="Calibri"/>
          <w:sz w:val="22"/>
          <w:szCs w:val="22"/>
        </w:rPr>
        <w:t xml:space="preserve">En cuanto a los gobiernos locales, resaltan las Municipalidades Distritales de San Isidro y Carmen de la Legua – Reynoso respecto a los gastos operativos, con niveles de ejecución que superan el </w:t>
      </w:r>
      <w:r>
        <w:rPr>
          <w:rFonts w:ascii="Calibri" w:eastAsia="Calibri" w:hAnsi="Calibri" w:cs="Calibri"/>
          <w:sz w:val="22"/>
          <w:szCs w:val="22"/>
        </w:rPr>
        <w:t>0.5% del PIM (</w:t>
      </w:r>
      <w:r w:rsidRPr="0025165C">
        <w:rPr>
          <w:rFonts w:ascii="Calibri" w:eastAsia="Calibri" w:hAnsi="Calibri" w:cs="Calibri"/>
          <w:sz w:val="22"/>
          <w:szCs w:val="22"/>
        </w:rPr>
        <w:t>monto máximo referencial</w:t>
      </w:r>
      <w:r>
        <w:rPr>
          <w:rFonts w:ascii="Calibri" w:eastAsia="Calibri" w:hAnsi="Calibri" w:cs="Calibri"/>
          <w:sz w:val="22"/>
          <w:szCs w:val="22"/>
        </w:rPr>
        <w:t>)</w:t>
      </w:r>
      <w:r w:rsidRPr="0025165C">
        <w:rPr>
          <w:rFonts w:ascii="Calibri" w:eastAsia="Calibri" w:hAnsi="Calibri" w:cs="Calibri"/>
          <w:sz w:val="22"/>
          <w:szCs w:val="22"/>
        </w:rPr>
        <w:t xml:space="preserve">. A nivel de gastos de inversión, resaltan las Municipalidades Distritales de San Martín de Porres, Villa María del Triunfo, Independencia, Puente Piedra y San Bartolo, con montos por encima del </w:t>
      </w:r>
      <w:r>
        <w:rPr>
          <w:rFonts w:ascii="Calibri" w:eastAsia="Calibri" w:hAnsi="Calibri" w:cs="Calibri"/>
          <w:sz w:val="22"/>
          <w:szCs w:val="22"/>
        </w:rPr>
        <w:t>0.5% del PIM</w:t>
      </w:r>
      <w:r w:rsidRPr="0025165C">
        <w:rPr>
          <w:rFonts w:ascii="Calibri" w:eastAsia="Calibri" w:hAnsi="Calibri" w:cs="Calibri"/>
          <w:sz w:val="22"/>
          <w:szCs w:val="22"/>
        </w:rPr>
        <w:t>.</w:t>
      </w:r>
    </w:p>
    <w:p w14:paraId="2401189B" w14:textId="77777777" w:rsidR="005C4643" w:rsidRPr="0044066E" w:rsidRDefault="005C4643" w:rsidP="005C4643">
      <w:pPr>
        <w:pStyle w:val="Prrafodelista"/>
        <w:rPr>
          <w:rFonts w:ascii="Calibri" w:eastAsia="Calibri" w:hAnsi="Calibri" w:cs="Calibri"/>
          <w:sz w:val="22"/>
          <w:szCs w:val="22"/>
        </w:rPr>
      </w:pPr>
    </w:p>
    <w:p w14:paraId="5919AD0D" w14:textId="77777777" w:rsidR="005C4643" w:rsidRPr="0044066E" w:rsidRDefault="005C4643" w:rsidP="005C4643">
      <w:pPr>
        <w:numPr>
          <w:ilvl w:val="1"/>
          <w:numId w:val="21"/>
        </w:numPr>
        <w:pBdr>
          <w:top w:val="nil"/>
          <w:left w:val="nil"/>
          <w:bottom w:val="nil"/>
          <w:right w:val="nil"/>
          <w:between w:val="nil"/>
        </w:pBdr>
        <w:tabs>
          <w:tab w:val="left" w:pos="567"/>
        </w:tabs>
        <w:ind w:left="567" w:hanging="567"/>
        <w:jc w:val="both"/>
        <w:rPr>
          <w:rFonts w:ascii="Calibri" w:eastAsia="Calibri" w:hAnsi="Calibri" w:cs="Calibri"/>
          <w:sz w:val="22"/>
          <w:szCs w:val="22"/>
        </w:rPr>
      </w:pPr>
      <w:r w:rsidRPr="0044066E">
        <w:rPr>
          <w:rFonts w:ascii="Calibri" w:eastAsia="Calibri" w:hAnsi="Calibri" w:cs="Calibri"/>
          <w:color w:val="000000"/>
          <w:sz w:val="22"/>
          <w:szCs w:val="22"/>
        </w:rPr>
        <w:t>Debe considerarse que, en algunos casos, los montos se podrían estar sobre estimando, en particular sobre los gastos operativos vinculados a Programas Presupuestales (no vinculados a las funciones de las OREDIS/OMAPED) y gastos de capital que engloban otros componentes de los proyectos de inversión no vinculados directamente a la accesibilidad. Asimismo, también se podría estar sub estimando, por no poder obtener el monto correspondiente al componente de accesibilidad de otros proyectos de inversión.</w:t>
      </w:r>
    </w:p>
    <w:sectPr w:rsidR="005C4643" w:rsidRPr="0044066E" w:rsidSect="00304519">
      <w:headerReference w:type="even" r:id="rId52"/>
      <w:headerReference w:type="default" r:id="rId53"/>
      <w:footerReference w:type="even" r:id="rId54"/>
      <w:footerReference w:type="default" r:id="rId55"/>
      <w:headerReference w:type="first" r:id="rId56"/>
      <w:footerReference w:type="first" r:id="rId57"/>
      <w:pgSz w:w="11906" w:h="16838"/>
      <w:pgMar w:top="1985" w:right="1701" w:bottom="1644" w:left="1701" w:header="709" w:footer="67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46411" w14:textId="77777777" w:rsidR="009E6D5E" w:rsidRDefault="009E6D5E" w:rsidP="001A2902">
      <w:r>
        <w:separator/>
      </w:r>
    </w:p>
  </w:endnote>
  <w:endnote w:type="continuationSeparator" w:id="0">
    <w:p w14:paraId="222A68E5" w14:textId="77777777" w:rsidR="009E6D5E" w:rsidRDefault="009E6D5E" w:rsidP="001A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4002EFF" w:usb1="C000E47F" w:usb2="00000009" w:usb3="00000000" w:csb0="000001FF" w:csb1="00000000"/>
  </w:font>
  <w:font w:name="Albertus Medium">
    <w:altName w:val="Eras Medium ITC"/>
    <w:panose1 w:val="020E06020303040203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677507"/>
      <w:docPartObj>
        <w:docPartGallery w:val="Page Numbers (Bottom of Page)"/>
        <w:docPartUnique/>
      </w:docPartObj>
    </w:sdtPr>
    <w:sdtContent>
      <w:p w14:paraId="4FB1A2E0" w14:textId="3AE2318F" w:rsidR="004558D0" w:rsidRDefault="00C45C7B">
        <w:pPr>
          <w:pStyle w:val="Piedepgina"/>
          <w:jc w:val="right"/>
        </w:pPr>
        <w:r>
          <w:rPr>
            <w:noProof/>
          </w:rPr>
          <mc:AlternateContent>
            <mc:Choice Requires="wpg">
              <w:drawing>
                <wp:anchor distT="0" distB="0" distL="114300" distR="114300" simplePos="0" relativeHeight="251659264" behindDoc="0" locked="0" layoutInCell="1" allowOverlap="1" wp14:anchorId="1294214E" wp14:editId="03807540">
                  <wp:simplePos x="0" y="0"/>
                  <wp:positionH relativeFrom="column">
                    <wp:posOffset>-788425</wp:posOffset>
                  </wp:positionH>
                  <wp:positionV relativeFrom="paragraph">
                    <wp:posOffset>-4141</wp:posOffset>
                  </wp:positionV>
                  <wp:extent cx="2405501" cy="525780"/>
                  <wp:effectExtent l="0" t="0" r="0" b="7620"/>
                  <wp:wrapNone/>
                  <wp:docPr id="160" name="Grupo 160"/>
                  <wp:cNvGraphicFramePr/>
                  <a:graphic xmlns:a="http://schemas.openxmlformats.org/drawingml/2006/main">
                    <a:graphicData uri="http://schemas.microsoft.com/office/word/2010/wordprocessingGroup">
                      <wpg:wgp>
                        <wpg:cNvGrpSpPr/>
                        <wpg:grpSpPr>
                          <a:xfrm>
                            <a:off x="0" y="0"/>
                            <a:ext cx="2405501" cy="525780"/>
                            <a:chOff x="0" y="0"/>
                            <a:chExt cx="2405501" cy="525780"/>
                          </a:xfrm>
                        </wpg:grpSpPr>
                        <wps:wsp>
                          <wps:cNvPr id="8" name="Rectángulo 8"/>
                          <wps:cNvSpPr/>
                          <wps:spPr>
                            <a:xfrm>
                              <a:off x="0" y="0"/>
                              <a:ext cx="1162050" cy="525780"/>
                            </a:xfrm>
                            <a:prstGeom prst="rect">
                              <a:avLst/>
                            </a:prstGeom>
                            <a:solidFill>
                              <a:srgbClr val="FFFFFF"/>
                            </a:solidFill>
                            <a:ln>
                              <a:noFill/>
                            </a:ln>
                          </wps:spPr>
                          <wps:txbx>
                            <w:txbxContent>
                              <w:p w14:paraId="676947C1" w14:textId="432C35E2" w:rsidR="00C45C7B" w:rsidRDefault="00C45C7B" w:rsidP="00C45C7B">
                                <w:pPr>
                                  <w:textDirection w:val="btLr"/>
                                </w:pPr>
                                <w:r>
                                  <w:rPr>
                                    <w:rFonts w:ascii="Arial" w:eastAsia="Arial" w:hAnsi="Arial" w:cs="Arial"/>
                                    <w:color w:val="000000"/>
                                    <w:sz w:val="16"/>
                                  </w:rPr>
                                  <w:t>Av. Arequipa N</w:t>
                                </w:r>
                                <w:r>
                                  <w:rPr>
                                    <w:rFonts w:ascii="Arial" w:eastAsia="Arial" w:hAnsi="Arial" w:cs="Arial"/>
                                    <w:color w:val="000000"/>
                                    <w:sz w:val="16"/>
                                  </w:rPr>
                                  <w:t>°</w:t>
                                </w:r>
                                <w:r>
                                  <w:rPr>
                                    <w:rFonts w:ascii="Arial" w:eastAsia="Arial" w:hAnsi="Arial" w:cs="Arial"/>
                                    <w:color w:val="000000"/>
                                    <w:sz w:val="16"/>
                                  </w:rPr>
                                  <w:t xml:space="preserve"> 375</w:t>
                                </w:r>
                              </w:p>
                              <w:p w14:paraId="4CF2B0DF" w14:textId="77777777" w:rsidR="00C45C7B" w:rsidRDefault="00C45C7B" w:rsidP="00C45C7B">
                                <w:pPr>
                                  <w:textDirection w:val="btLr"/>
                                </w:pPr>
                                <w:r>
                                  <w:rPr>
                                    <w:rFonts w:ascii="Arial" w:eastAsia="Arial" w:hAnsi="Arial" w:cs="Arial"/>
                                    <w:color w:val="000000"/>
                                    <w:sz w:val="16"/>
                                  </w:rPr>
                                  <w:t>Santa Beatriz – Lima</w:t>
                                </w:r>
                              </w:p>
                              <w:p w14:paraId="15783B39" w14:textId="77777777" w:rsidR="00C45C7B" w:rsidRDefault="00C45C7B" w:rsidP="00C45C7B">
                                <w:pPr>
                                  <w:textDirection w:val="btLr"/>
                                </w:pPr>
                                <w:r>
                                  <w:rPr>
                                    <w:rFonts w:ascii="Arial" w:eastAsia="Arial" w:hAnsi="Arial" w:cs="Arial"/>
                                    <w:color w:val="000000"/>
                                    <w:sz w:val="16"/>
                                  </w:rPr>
                                  <w:t>Teléfono: 630-5170</w:t>
                                </w:r>
                              </w:p>
                            </w:txbxContent>
                          </wps:txbx>
                          <wps:bodyPr spcFirstLastPara="1" wrap="square" lIns="91425" tIns="45700" rIns="91425" bIns="45700" anchor="t" anchorCtr="0">
                            <a:noAutofit/>
                          </wps:bodyPr>
                        </wps:wsp>
                        <wps:wsp>
                          <wps:cNvPr id="12" name="Rectángulo 12"/>
                          <wps:cNvSpPr/>
                          <wps:spPr>
                            <a:xfrm>
                              <a:off x="1043426" y="123416"/>
                              <a:ext cx="1362075" cy="228600"/>
                            </a:xfrm>
                            <a:prstGeom prst="rect">
                              <a:avLst/>
                            </a:prstGeom>
                            <a:solidFill>
                              <a:srgbClr val="FFFFFF"/>
                            </a:solidFill>
                            <a:ln>
                              <a:noFill/>
                            </a:ln>
                          </wps:spPr>
                          <wps:txbx>
                            <w:txbxContent>
                              <w:p w14:paraId="4084B5E0" w14:textId="77777777" w:rsidR="00C45C7B" w:rsidRDefault="00C45C7B" w:rsidP="00C45C7B">
                                <w:pPr>
                                  <w:jc w:val="right"/>
                                  <w:textDirection w:val="btLr"/>
                                </w:pPr>
                                <w:r>
                                  <w:rPr>
                                    <w:rFonts w:ascii="Arial" w:eastAsia="Arial" w:hAnsi="Arial" w:cs="Arial"/>
                                    <w:color w:val="CC0000"/>
                                    <w:sz w:val="16"/>
                                  </w:rPr>
                                  <w:t>www.conadisperu.gob.pe</w:t>
                                </w:r>
                              </w:p>
                            </w:txbxContent>
                          </wps:txbx>
                          <wps:bodyPr spcFirstLastPara="1" wrap="square" lIns="91425" tIns="45700" rIns="91425" bIns="45700" anchor="t" anchorCtr="0">
                            <a:noAutofit/>
                          </wps:bodyPr>
                        </wps:wsp>
                        <wps:wsp>
                          <wps:cNvPr id="159" name="Conector recto 159"/>
                          <wps:cNvCnPr/>
                          <wps:spPr>
                            <a:xfrm>
                              <a:off x="1099524" y="50488"/>
                              <a:ext cx="0" cy="34219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94214E" id="Grupo 160" o:spid="_x0000_s1028" style="position:absolute;left:0;text-align:left;margin-left:-62.1pt;margin-top:-.35pt;width:189.4pt;height:41.4pt;z-index:251659264" coordsize="24055,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">
                  <v:rect id="Rectángulo 8" o:spid="_x0000_s1029" style="position:absolute;width:11620;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676947C1" w14:textId="432C35E2" w:rsidR="00C45C7B" w:rsidRDefault="00C45C7B" w:rsidP="00C45C7B">
                          <w:pPr>
                            <w:textDirection w:val="btLr"/>
                          </w:pPr>
                          <w:r>
                            <w:rPr>
                              <w:rFonts w:ascii="Arial" w:eastAsia="Arial" w:hAnsi="Arial" w:cs="Arial"/>
                              <w:color w:val="000000"/>
                              <w:sz w:val="16"/>
                            </w:rPr>
                            <w:t>Av. Arequipa N</w:t>
                          </w:r>
                          <w:r>
                            <w:rPr>
                              <w:rFonts w:ascii="Arial" w:eastAsia="Arial" w:hAnsi="Arial" w:cs="Arial"/>
                              <w:color w:val="000000"/>
                              <w:sz w:val="16"/>
                            </w:rPr>
                            <w:t>°</w:t>
                          </w:r>
                          <w:r>
                            <w:rPr>
                              <w:rFonts w:ascii="Arial" w:eastAsia="Arial" w:hAnsi="Arial" w:cs="Arial"/>
                              <w:color w:val="000000"/>
                              <w:sz w:val="16"/>
                            </w:rPr>
                            <w:t xml:space="preserve"> 375</w:t>
                          </w:r>
                        </w:p>
                        <w:p w14:paraId="4CF2B0DF" w14:textId="77777777" w:rsidR="00C45C7B" w:rsidRDefault="00C45C7B" w:rsidP="00C45C7B">
                          <w:pPr>
                            <w:textDirection w:val="btLr"/>
                          </w:pPr>
                          <w:r>
                            <w:rPr>
                              <w:rFonts w:ascii="Arial" w:eastAsia="Arial" w:hAnsi="Arial" w:cs="Arial"/>
                              <w:color w:val="000000"/>
                              <w:sz w:val="16"/>
                            </w:rPr>
                            <w:t>Santa Beatriz – Lima</w:t>
                          </w:r>
                        </w:p>
                        <w:p w14:paraId="15783B39" w14:textId="77777777" w:rsidR="00C45C7B" w:rsidRDefault="00C45C7B" w:rsidP="00C45C7B">
                          <w:pPr>
                            <w:textDirection w:val="btLr"/>
                          </w:pPr>
                          <w:r>
                            <w:rPr>
                              <w:rFonts w:ascii="Arial" w:eastAsia="Arial" w:hAnsi="Arial" w:cs="Arial"/>
                              <w:color w:val="000000"/>
                              <w:sz w:val="16"/>
                            </w:rPr>
                            <w:t>Teléfono: 630-5170</w:t>
                          </w:r>
                        </w:p>
                      </w:txbxContent>
                    </v:textbox>
                  </v:rect>
                  <v:rect id="Rectángulo 12" o:spid="_x0000_s1030" style="position:absolute;left:10434;top:1234;width:136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14:paraId="4084B5E0" w14:textId="77777777" w:rsidR="00C45C7B" w:rsidRDefault="00C45C7B" w:rsidP="00C45C7B">
                          <w:pPr>
                            <w:jc w:val="right"/>
                            <w:textDirection w:val="btLr"/>
                          </w:pPr>
                          <w:r>
                            <w:rPr>
                              <w:rFonts w:ascii="Arial" w:eastAsia="Arial" w:hAnsi="Arial" w:cs="Arial"/>
                              <w:color w:val="CC0000"/>
                              <w:sz w:val="16"/>
                            </w:rPr>
                            <w:t>www.conadisperu.gob.pe</w:t>
                          </w:r>
                        </w:p>
                      </w:txbxContent>
                    </v:textbox>
                  </v:rect>
                  <v:line id="Conector recto 159" o:spid="_x0000_s1031" style="position:absolute;visibility:visible;mso-wrap-style:square" from="10995,504" to="10995,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" strokecolor="#c00000"/>
                </v:group>
              </w:pict>
            </mc:Fallback>
          </mc:AlternateContent>
        </w:r>
        <w:r w:rsidR="004558D0">
          <w:fldChar w:fldCharType="begin"/>
        </w:r>
        <w:r w:rsidR="004558D0">
          <w:instrText>PAGE   \* MERGEFORMAT</w:instrText>
        </w:r>
        <w:r w:rsidR="004558D0">
          <w:fldChar w:fldCharType="separate"/>
        </w:r>
        <w:r w:rsidR="004558D0">
          <w:rPr>
            <w:lang w:val="es-ES"/>
          </w:rPr>
          <w:t>2</w:t>
        </w:r>
        <w:r w:rsidR="004558D0">
          <w:fldChar w:fldCharType="end"/>
        </w:r>
      </w:p>
    </w:sdtContent>
  </w:sdt>
  <w:p w14:paraId="5C9A134A" w14:textId="234DC184" w:rsidR="005C4643" w:rsidRDefault="005C4643">
    <w:pPr>
      <w:pBdr>
        <w:top w:val="nil"/>
        <w:left w:val="nil"/>
        <w:bottom w:val="nil"/>
        <w:right w:val="nil"/>
        <w:between w:val="nil"/>
      </w:pBdr>
      <w:tabs>
        <w:tab w:val="center" w:pos="4419"/>
        <w:tab w:val="right" w:pos="8838"/>
      </w:tabs>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897242"/>
      <w:docPartObj>
        <w:docPartGallery w:val="Page Numbers (Bottom of Page)"/>
        <w:docPartUnique/>
      </w:docPartObj>
    </w:sdtPr>
    <w:sdtContent>
      <w:p w14:paraId="41937E2E" w14:textId="3888807E" w:rsidR="00C45C7B" w:rsidRDefault="00C45C7B">
        <w:pPr>
          <w:pStyle w:val="Piedepgina"/>
          <w:jc w:val="right"/>
        </w:pPr>
        <w:r>
          <w:rPr>
            <w:noProof/>
          </w:rPr>
          <mc:AlternateContent>
            <mc:Choice Requires="wpg">
              <w:drawing>
                <wp:anchor distT="0" distB="0" distL="114300" distR="114300" simplePos="0" relativeHeight="251656704" behindDoc="0" locked="0" layoutInCell="1" allowOverlap="1" wp14:anchorId="67B62F9F" wp14:editId="36845779">
                  <wp:simplePos x="0" y="0"/>
                  <wp:positionH relativeFrom="column">
                    <wp:posOffset>-327803</wp:posOffset>
                  </wp:positionH>
                  <wp:positionV relativeFrom="paragraph">
                    <wp:posOffset>8626</wp:posOffset>
                  </wp:positionV>
                  <wp:extent cx="2405501" cy="525780"/>
                  <wp:effectExtent l="0" t="0" r="0" b="7620"/>
                  <wp:wrapNone/>
                  <wp:docPr id="165" name="Grupo 165"/>
                  <wp:cNvGraphicFramePr/>
                  <a:graphic xmlns:a="http://schemas.openxmlformats.org/drawingml/2006/main">
                    <a:graphicData uri="http://schemas.microsoft.com/office/word/2010/wordprocessingGroup">
                      <wpg:wgp>
                        <wpg:cNvGrpSpPr/>
                        <wpg:grpSpPr>
                          <a:xfrm>
                            <a:off x="0" y="0"/>
                            <a:ext cx="2405501" cy="525780"/>
                            <a:chOff x="0" y="0"/>
                            <a:chExt cx="2405501" cy="525780"/>
                          </a:xfrm>
                        </wpg:grpSpPr>
                        <wps:wsp>
                          <wps:cNvPr id="166" name="Rectángulo 166"/>
                          <wps:cNvSpPr/>
                          <wps:spPr>
                            <a:xfrm>
                              <a:off x="0" y="0"/>
                              <a:ext cx="1162050" cy="525780"/>
                            </a:xfrm>
                            <a:prstGeom prst="rect">
                              <a:avLst/>
                            </a:prstGeom>
                            <a:solidFill>
                              <a:srgbClr val="FFFFFF"/>
                            </a:solidFill>
                            <a:ln>
                              <a:noFill/>
                            </a:ln>
                          </wps:spPr>
                          <wps:txbx>
                            <w:txbxContent>
                              <w:p w14:paraId="322BEAA9" w14:textId="77777777" w:rsidR="00C45C7B" w:rsidRDefault="00C45C7B" w:rsidP="00C45C7B">
                                <w:pPr>
                                  <w:textDirection w:val="btLr"/>
                                </w:pPr>
                                <w:r>
                                  <w:rPr>
                                    <w:rFonts w:ascii="Arial" w:eastAsia="Arial" w:hAnsi="Arial" w:cs="Arial"/>
                                    <w:color w:val="000000"/>
                                    <w:sz w:val="16"/>
                                  </w:rPr>
                                  <w:t>Av. Arequipa N° 375</w:t>
                                </w:r>
                              </w:p>
                              <w:p w14:paraId="59D63274" w14:textId="77777777" w:rsidR="00C45C7B" w:rsidRDefault="00C45C7B" w:rsidP="00C45C7B">
                                <w:pPr>
                                  <w:textDirection w:val="btLr"/>
                                </w:pPr>
                                <w:r>
                                  <w:rPr>
                                    <w:rFonts w:ascii="Arial" w:eastAsia="Arial" w:hAnsi="Arial" w:cs="Arial"/>
                                    <w:color w:val="000000"/>
                                    <w:sz w:val="16"/>
                                  </w:rPr>
                                  <w:t>Santa Beatriz – Lima</w:t>
                                </w:r>
                              </w:p>
                              <w:p w14:paraId="095A7CE9" w14:textId="77777777" w:rsidR="00C45C7B" w:rsidRDefault="00C45C7B" w:rsidP="00C45C7B">
                                <w:pPr>
                                  <w:textDirection w:val="btLr"/>
                                </w:pPr>
                                <w:r>
                                  <w:rPr>
                                    <w:rFonts w:ascii="Arial" w:eastAsia="Arial" w:hAnsi="Arial" w:cs="Arial"/>
                                    <w:color w:val="000000"/>
                                    <w:sz w:val="16"/>
                                  </w:rPr>
                                  <w:t>Teléfono: 630-5170</w:t>
                                </w:r>
                              </w:p>
                            </w:txbxContent>
                          </wps:txbx>
                          <wps:bodyPr spcFirstLastPara="1" wrap="square" lIns="91425" tIns="45700" rIns="91425" bIns="45700" anchor="t" anchorCtr="0">
                            <a:noAutofit/>
                          </wps:bodyPr>
                        </wps:wsp>
                        <wps:wsp>
                          <wps:cNvPr id="167" name="Rectángulo 167"/>
                          <wps:cNvSpPr/>
                          <wps:spPr>
                            <a:xfrm>
                              <a:off x="1043426" y="123416"/>
                              <a:ext cx="1362075" cy="228600"/>
                            </a:xfrm>
                            <a:prstGeom prst="rect">
                              <a:avLst/>
                            </a:prstGeom>
                            <a:solidFill>
                              <a:srgbClr val="FFFFFF"/>
                            </a:solidFill>
                            <a:ln>
                              <a:noFill/>
                            </a:ln>
                          </wps:spPr>
                          <wps:txbx>
                            <w:txbxContent>
                              <w:p w14:paraId="6F76B847" w14:textId="77777777" w:rsidR="00C45C7B" w:rsidRDefault="00C45C7B" w:rsidP="00C45C7B">
                                <w:pPr>
                                  <w:jc w:val="right"/>
                                  <w:textDirection w:val="btLr"/>
                                </w:pPr>
                                <w:r>
                                  <w:rPr>
                                    <w:rFonts w:ascii="Arial" w:eastAsia="Arial" w:hAnsi="Arial" w:cs="Arial"/>
                                    <w:color w:val="CC0000"/>
                                    <w:sz w:val="16"/>
                                  </w:rPr>
                                  <w:t>www.conadisperu.gob.pe</w:t>
                                </w:r>
                              </w:p>
                            </w:txbxContent>
                          </wps:txbx>
                          <wps:bodyPr spcFirstLastPara="1" wrap="square" lIns="91425" tIns="45700" rIns="91425" bIns="45700" anchor="t" anchorCtr="0">
                            <a:noAutofit/>
                          </wps:bodyPr>
                        </wps:wsp>
                        <wps:wsp>
                          <wps:cNvPr id="168" name="Conector recto 168"/>
                          <wps:cNvCnPr/>
                          <wps:spPr>
                            <a:xfrm>
                              <a:off x="1099524" y="50488"/>
                              <a:ext cx="0" cy="34219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B62F9F" id="Grupo 165" o:spid="_x0000_s1032" style="position:absolute;left:0;text-align:left;margin-left:-25.8pt;margin-top:.7pt;width:189.4pt;height:41.4pt;z-index:251656704" coordsize="24055,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">
                  <v:rect id="Rectángulo 166" o:spid="_x0000_s1033" style="position:absolute;width:11620;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" stroked="f">
                    <v:textbox inset="2.53958mm,1.2694mm,2.53958mm,1.2694mm">
                      <w:txbxContent>
                        <w:p w14:paraId="322BEAA9" w14:textId="77777777" w:rsidR="00C45C7B" w:rsidRDefault="00C45C7B" w:rsidP="00C45C7B">
                          <w:pPr>
                            <w:textDirection w:val="btLr"/>
                          </w:pPr>
                          <w:r>
                            <w:rPr>
                              <w:rFonts w:ascii="Arial" w:eastAsia="Arial" w:hAnsi="Arial" w:cs="Arial"/>
                              <w:color w:val="000000"/>
                              <w:sz w:val="16"/>
                            </w:rPr>
                            <w:t>Av. Arequipa N° 375</w:t>
                          </w:r>
                        </w:p>
                        <w:p w14:paraId="59D63274" w14:textId="77777777" w:rsidR="00C45C7B" w:rsidRDefault="00C45C7B" w:rsidP="00C45C7B">
                          <w:pPr>
                            <w:textDirection w:val="btLr"/>
                          </w:pPr>
                          <w:r>
                            <w:rPr>
                              <w:rFonts w:ascii="Arial" w:eastAsia="Arial" w:hAnsi="Arial" w:cs="Arial"/>
                              <w:color w:val="000000"/>
                              <w:sz w:val="16"/>
                            </w:rPr>
                            <w:t>Santa Beatriz – Lima</w:t>
                          </w:r>
                        </w:p>
                        <w:p w14:paraId="095A7CE9" w14:textId="77777777" w:rsidR="00C45C7B" w:rsidRDefault="00C45C7B" w:rsidP="00C45C7B">
                          <w:pPr>
                            <w:textDirection w:val="btLr"/>
                          </w:pPr>
                          <w:r>
                            <w:rPr>
                              <w:rFonts w:ascii="Arial" w:eastAsia="Arial" w:hAnsi="Arial" w:cs="Arial"/>
                              <w:color w:val="000000"/>
                              <w:sz w:val="16"/>
                            </w:rPr>
                            <w:t>Teléfono: 630-5170</w:t>
                          </w:r>
                        </w:p>
                      </w:txbxContent>
                    </v:textbox>
                  </v:rect>
                  <v:rect id="Rectángulo 167" o:spid="_x0000_s1034" style="position:absolute;left:10434;top:1234;width:136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" stroked="f">
                    <v:textbox inset="2.53958mm,1.2694mm,2.53958mm,1.2694mm">
                      <w:txbxContent>
                        <w:p w14:paraId="6F76B847" w14:textId="77777777" w:rsidR="00C45C7B" w:rsidRDefault="00C45C7B" w:rsidP="00C45C7B">
                          <w:pPr>
                            <w:jc w:val="right"/>
                            <w:textDirection w:val="btLr"/>
                          </w:pPr>
                          <w:r>
                            <w:rPr>
                              <w:rFonts w:ascii="Arial" w:eastAsia="Arial" w:hAnsi="Arial" w:cs="Arial"/>
                              <w:color w:val="CC0000"/>
                              <w:sz w:val="16"/>
                            </w:rPr>
                            <w:t>www.conadisperu.gob.pe</w:t>
                          </w:r>
                        </w:p>
                      </w:txbxContent>
                    </v:textbox>
                  </v:rect>
                  <v:line id="Conector recto 168" o:spid="_x0000_s1035" style="position:absolute;visibility:visible;mso-wrap-style:square" from="10995,504" to="10995,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" strokecolor="#c00000"/>
                </v:group>
              </w:pict>
            </mc:Fallback>
          </mc:AlternateContent>
        </w:r>
        <w:r>
          <w:fldChar w:fldCharType="begin"/>
        </w:r>
        <w:r>
          <w:instrText>PAGE   \* MERGEFORMAT</w:instrText>
        </w:r>
        <w:r>
          <w:fldChar w:fldCharType="separate"/>
        </w:r>
        <w:r>
          <w:rPr>
            <w:lang w:val="es-ES"/>
          </w:rPr>
          <w:t>2</w:t>
        </w:r>
        <w:r>
          <w:fldChar w:fldCharType="end"/>
        </w:r>
      </w:p>
    </w:sdtContent>
  </w:sdt>
  <w:p w14:paraId="05311C48" w14:textId="77777777" w:rsidR="00C45C7B" w:rsidRDefault="00C45C7B">
    <w:pPr>
      <w:pBdr>
        <w:top w:val="nil"/>
        <w:left w:val="nil"/>
        <w:bottom w:val="nil"/>
        <w:right w:val="nil"/>
        <w:between w:val="nil"/>
      </w:pBdr>
      <w:tabs>
        <w:tab w:val="center" w:pos="4419"/>
        <w:tab w:val="right" w:pos="8838"/>
      </w:tabs>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FD7F" w14:textId="77777777" w:rsidR="004B70C5" w:rsidRDefault="004B70C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625476"/>
      <w:docPartObj>
        <w:docPartGallery w:val="Page Numbers (Bottom of Page)"/>
        <w:docPartUnique/>
      </w:docPartObj>
    </w:sdtPr>
    <w:sdtContent>
      <w:p w14:paraId="414AA788" w14:textId="5F73C951" w:rsidR="00C45C7B" w:rsidRDefault="00C45C7B">
        <w:pPr>
          <w:pStyle w:val="Piedepgina"/>
          <w:jc w:val="right"/>
        </w:pPr>
        <w:r>
          <w:fldChar w:fldCharType="begin"/>
        </w:r>
        <w:r>
          <w:instrText>PAGE   \* MERGEFORMAT</w:instrText>
        </w:r>
        <w:r>
          <w:fldChar w:fldCharType="separate"/>
        </w:r>
        <w:r>
          <w:rPr>
            <w:lang w:val="es-ES"/>
          </w:rPr>
          <w:t>2</w:t>
        </w:r>
        <w:r>
          <w:fldChar w:fldCharType="end"/>
        </w:r>
      </w:p>
    </w:sdtContent>
  </w:sdt>
  <w:p w14:paraId="3814B771" w14:textId="4950F16C" w:rsidR="00AD6FC3" w:rsidRDefault="00AD6FC3">
    <w:pPr>
      <w:pStyle w:val="Piedepgina"/>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26F1" w14:textId="77777777" w:rsidR="004B70C5" w:rsidRDefault="004B70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67FF6" w14:textId="77777777" w:rsidR="009E6D5E" w:rsidRDefault="009E6D5E" w:rsidP="001A2902">
      <w:r>
        <w:separator/>
      </w:r>
    </w:p>
  </w:footnote>
  <w:footnote w:type="continuationSeparator" w:id="0">
    <w:p w14:paraId="38FB3FB8" w14:textId="77777777" w:rsidR="009E6D5E" w:rsidRDefault="009E6D5E" w:rsidP="001A2902">
      <w:r>
        <w:continuationSeparator/>
      </w:r>
    </w:p>
  </w:footnote>
  <w:footnote w:id="1">
    <w:p w14:paraId="50E537B3" w14:textId="77777777" w:rsidR="005C4643" w:rsidRPr="002E45EE" w:rsidRDefault="005C4643" w:rsidP="005C4643">
      <w:pPr>
        <w:pStyle w:val="Textonotapie"/>
        <w:rPr>
          <w:rFonts w:asciiTheme="majorHAnsi" w:hAnsiTheme="majorHAnsi"/>
        </w:rPr>
      </w:pPr>
      <w:r w:rsidRPr="002E45EE">
        <w:rPr>
          <w:rStyle w:val="Refdenotaalpie"/>
          <w:rFonts w:asciiTheme="majorHAnsi" w:hAnsiTheme="majorHAnsi"/>
        </w:rPr>
        <w:footnoteRef/>
      </w:r>
      <w:r w:rsidRPr="002E45EE">
        <w:rPr>
          <w:rFonts w:asciiTheme="majorHAnsi" w:hAnsiTheme="majorHAnsi"/>
        </w:rPr>
        <w:t xml:space="preserve"> </w:t>
      </w:r>
      <w:r w:rsidRPr="0051400D">
        <w:rPr>
          <w:rFonts w:asciiTheme="minorHAnsi" w:hAnsiTheme="minorHAnsi"/>
        </w:rPr>
        <w:t>Tomando como referencia los pliegos presupuestales que maneja el Ministerio de Economía y Finanzas (MEF), excluyendo a las mancomunidades.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9520" w14:textId="77A9EB47" w:rsidR="005C4643" w:rsidRDefault="006E21AE">
    <w:pPr>
      <w:pBdr>
        <w:top w:val="nil"/>
        <w:left w:val="nil"/>
        <w:bottom w:val="nil"/>
        <w:right w:val="nil"/>
        <w:between w:val="nil"/>
      </w:pBdr>
      <w:tabs>
        <w:tab w:val="center" w:pos="4419"/>
        <w:tab w:val="right" w:pos="8838"/>
      </w:tabs>
      <w:rPr>
        <w:rFonts w:ascii="Arial" w:eastAsia="Arial" w:hAnsi="Arial" w:cs="Arial"/>
        <w:color w:val="000000"/>
        <w:sz w:val="22"/>
        <w:szCs w:val="22"/>
      </w:rPr>
    </w:pPr>
    <w:r>
      <w:rPr>
        <w:noProof/>
      </w:rPr>
      <w:drawing>
        <wp:anchor distT="0" distB="0" distL="114300" distR="114300" simplePos="0" relativeHeight="251658240" behindDoc="0" locked="0" layoutInCell="1" allowOverlap="1" wp14:anchorId="3E55579F" wp14:editId="7856C51C">
          <wp:simplePos x="0" y="0"/>
          <wp:positionH relativeFrom="column">
            <wp:posOffset>3964940</wp:posOffset>
          </wp:positionH>
          <wp:positionV relativeFrom="paragraph">
            <wp:posOffset>-40640</wp:posOffset>
          </wp:positionV>
          <wp:extent cx="1427446" cy="485775"/>
          <wp:effectExtent l="0" t="0" r="1905" b="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7446"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hidden="0" allowOverlap="1" wp14:anchorId="25BC4060" wp14:editId="33D4BDC1">
          <wp:simplePos x="0" y="0"/>
          <wp:positionH relativeFrom="column">
            <wp:posOffset>-5715</wp:posOffset>
          </wp:positionH>
          <wp:positionV relativeFrom="paragraph">
            <wp:posOffset>-78105</wp:posOffset>
          </wp:positionV>
          <wp:extent cx="3366654" cy="487824"/>
          <wp:effectExtent l="0" t="0" r="0" b="0"/>
          <wp:wrapNone/>
          <wp:docPr id="172" name="image1.png" descr="C:\Users\ggarcia\Desktop\LOGO INSTITUCIONAL CONADIS-01.png"/>
          <wp:cNvGraphicFramePr/>
          <a:graphic xmlns:a="http://schemas.openxmlformats.org/drawingml/2006/main">
            <a:graphicData uri="http://schemas.openxmlformats.org/drawingml/2006/picture">
              <pic:pic xmlns:pic="http://schemas.openxmlformats.org/drawingml/2006/picture">
                <pic:nvPicPr>
                  <pic:cNvPr id="0" name="image1.png" descr="C:\Users\ggarcia\Desktop\LOGO INSTITUCIONAL CONADIS-01.png"/>
                  <pic:cNvPicPr preferRelativeResize="0"/>
                </pic:nvPicPr>
                <pic:blipFill>
                  <a:blip r:embed="rId2"/>
                  <a:srcRect/>
                  <a:stretch>
                    <a:fillRect/>
                  </a:stretch>
                </pic:blipFill>
                <pic:spPr>
                  <a:xfrm>
                    <a:off x="0" y="0"/>
                    <a:ext cx="3366654" cy="487824"/>
                  </a:xfrm>
                  <a:prstGeom prst="rect">
                    <a:avLst/>
                  </a:prstGeom>
                  <a:ln/>
                </pic:spPr>
              </pic:pic>
            </a:graphicData>
          </a:graphic>
        </wp:anchor>
      </w:drawing>
    </w:r>
    <w:r w:rsidR="005C4643">
      <w:rPr>
        <w:rFonts w:ascii="Arial" w:eastAsia="Arial" w:hAnsi="Arial" w:cs="Arial"/>
        <w:color w:val="000000"/>
        <w:sz w:val="22"/>
        <w:szCs w:val="22"/>
      </w:rPr>
      <w:tab/>
      <w:t xml:space="preserve">       </w:t>
    </w:r>
  </w:p>
  <w:p w14:paraId="632CCD48" w14:textId="77777777" w:rsidR="005C4643" w:rsidRDefault="005C4643">
    <w:pPr>
      <w:pBdr>
        <w:top w:val="nil"/>
        <w:left w:val="nil"/>
        <w:bottom w:val="nil"/>
        <w:right w:val="nil"/>
        <w:between w:val="nil"/>
      </w:pBdr>
      <w:jc w:val="center"/>
      <w:rPr>
        <w:rFonts w:ascii="Arial" w:eastAsia="Arial" w:hAnsi="Arial" w:cs="Arial"/>
        <w:color w:val="808080"/>
        <w:sz w:val="18"/>
        <w:szCs w:val="18"/>
      </w:rPr>
    </w:pPr>
  </w:p>
  <w:p w14:paraId="320EB4EF" w14:textId="77777777" w:rsidR="006E21AE" w:rsidRDefault="006E21AE" w:rsidP="006E21AE">
    <w:pPr>
      <w:jc w:val="both"/>
      <w:rPr>
        <w:rFonts w:asciiTheme="minorHAnsi" w:eastAsia="Calibri" w:hAnsiTheme="minorHAnsi" w:cstheme="minorHAnsi"/>
        <w:noProof/>
        <w:sz w:val="22"/>
        <w:szCs w:val="22"/>
        <w:lang w:eastAsia="en-US"/>
      </w:rPr>
    </w:pPr>
  </w:p>
  <w:p w14:paraId="71DC6A28" w14:textId="60B71DD2" w:rsidR="005C4643" w:rsidRPr="004558D0" w:rsidRDefault="006E21AE" w:rsidP="004558D0">
    <w:pPr>
      <w:jc w:val="center"/>
      <w:rPr>
        <w:rFonts w:asciiTheme="minorHAnsi" w:eastAsia="Calibri" w:hAnsiTheme="minorHAnsi" w:cstheme="minorHAnsi"/>
        <w:b/>
        <w:bCs/>
        <w:noProof/>
        <w:color w:val="7F7F7F" w:themeColor="text1" w:themeTint="80"/>
        <w:sz w:val="20"/>
        <w:szCs w:val="20"/>
        <w:lang w:eastAsia="en-US"/>
      </w:rPr>
    </w:pPr>
    <w:r w:rsidRPr="004558D0">
      <w:rPr>
        <w:rFonts w:asciiTheme="minorHAnsi" w:eastAsia="Calibri" w:hAnsiTheme="minorHAnsi" w:cstheme="minorHAnsi"/>
        <w:b/>
        <w:bCs/>
        <w:noProof/>
        <w:color w:val="7F7F7F" w:themeColor="text1" w:themeTint="80"/>
        <w:sz w:val="20"/>
        <w:szCs w:val="20"/>
        <w:lang w:eastAsia="en-US"/>
      </w:rPr>
      <w:t>Informe Anual 2020: Ejecución del presupuesto de los gobiernos regionales y municipalidades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583" w14:textId="77777777" w:rsidR="0051400D" w:rsidRDefault="0051400D">
    <w:pPr>
      <w:pBdr>
        <w:top w:val="nil"/>
        <w:left w:val="nil"/>
        <w:bottom w:val="nil"/>
        <w:right w:val="nil"/>
        <w:between w:val="nil"/>
      </w:pBdr>
      <w:tabs>
        <w:tab w:val="center" w:pos="4419"/>
        <w:tab w:val="right" w:pos="8838"/>
      </w:tabs>
      <w:rPr>
        <w:rFonts w:ascii="Arial" w:eastAsia="Arial" w:hAnsi="Arial" w:cs="Arial"/>
        <w:color w:val="000000"/>
        <w:sz w:val="22"/>
        <w:szCs w:val="22"/>
      </w:rPr>
    </w:pPr>
    <w:r>
      <w:rPr>
        <w:noProof/>
      </w:rPr>
      <w:drawing>
        <wp:anchor distT="0" distB="0" distL="114300" distR="114300" simplePos="0" relativeHeight="251661312" behindDoc="0" locked="0" layoutInCell="1" allowOverlap="1" wp14:anchorId="29415089" wp14:editId="721ECD72">
          <wp:simplePos x="0" y="0"/>
          <wp:positionH relativeFrom="column">
            <wp:posOffset>7590642</wp:posOffset>
          </wp:positionH>
          <wp:positionV relativeFrom="paragraph">
            <wp:posOffset>12523</wp:posOffset>
          </wp:positionV>
          <wp:extent cx="1427446" cy="485775"/>
          <wp:effectExtent l="0" t="0" r="1905"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7446"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3222B779" wp14:editId="22BC8D45">
          <wp:simplePos x="0" y="0"/>
          <wp:positionH relativeFrom="column">
            <wp:posOffset>-5715</wp:posOffset>
          </wp:positionH>
          <wp:positionV relativeFrom="paragraph">
            <wp:posOffset>-78105</wp:posOffset>
          </wp:positionV>
          <wp:extent cx="3366654" cy="487824"/>
          <wp:effectExtent l="0" t="0" r="0" b="0"/>
          <wp:wrapNone/>
          <wp:docPr id="174" name="image1.png" descr="C:\Users\ggarcia\Desktop\LOGO INSTITUCIONAL CONADIS-01.png"/>
          <wp:cNvGraphicFramePr/>
          <a:graphic xmlns:a="http://schemas.openxmlformats.org/drawingml/2006/main">
            <a:graphicData uri="http://schemas.openxmlformats.org/drawingml/2006/picture">
              <pic:pic xmlns:pic="http://schemas.openxmlformats.org/drawingml/2006/picture">
                <pic:nvPicPr>
                  <pic:cNvPr id="0" name="image1.png" descr="C:\Users\ggarcia\Desktop\LOGO INSTITUCIONAL CONADIS-01.png"/>
                  <pic:cNvPicPr preferRelativeResize="0"/>
                </pic:nvPicPr>
                <pic:blipFill>
                  <a:blip r:embed="rId2"/>
                  <a:srcRect/>
                  <a:stretch>
                    <a:fillRect/>
                  </a:stretch>
                </pic:blipFill>
                <pic:spPr>
                  <a:xfrm>
                    <a:off x="0" y="0"/>
                    <a:ext cx="3366654" cy="487824"/>
                  </a:xfrm>
                  <a:prstGeom prst="rect">
                    <a:avLst/>
                  </a:prstGeom>
                  <a:ln/>
                </pic:spPr>
              </pic:pic>
            </a:graphicData>
          </a:graphic>
        </wp:anchor>
      </w:drawing>
    </w:r>
    <w:r>
      <w:rPr>
        <w:rFonts w:ascii="Arial" w:eastAsia="Arial" w:hAnsi="Arial" w:cs="Arial"/>
        <w:color w:val="000000"/>
        <w:sz w:val="22"/>
        <w:szCs w:val="22"/>
      </w:rPr>
      <w:tab/>
      <w:t xml:space="preserve">       </w:t>
    </w:r>
  </w:p>
  <w:p w14:paraId="75CD34E5" w14:textId="77777777" w:rsidR="0051400D" w:rsidRDefault="0051400D">
    <w:pPr>
      <w:pBdr>
        <w:top w:val="nil"/>
        <w:left w:val="nil"/>
        <w:bottom w:val="nil"/>
        <w:right w:val="nil"/>
        <w:between w:val="nil"/>
      </w:pBdr>
      <w:jc w:val="center"/>
      <w:rPr>
        <w:rFonts w:ascii="Arial" w:eastAsia="Arial" w:hAnsi="Arial" w:cs="Arial"/>
        <w:color w:val="808080"/>
        <w:sz w:val="18"/>
        <w:szCs w:val="18"/>
      </w:rPr>
    </w:pPr>
  </w:p>
  <w:p w14:paraId="5C731B04" w14:textId="77777777" w:rsidR="0051400D" w:rsidRDefault="0051400D" w:rsidP="006E21AE">
    <w:pPr>
      <w:jc w:val="both"/>
      <w:rPr>
        <w:rFonts w:asciiTheme="minorHAnsi" w:eastAsia="Calibri" w:hAnsiTheme="minorHAnsi" w:cstheme="minorHAnsi"/>
        <w:noProof/>
        <w:sz w:val="22"/>
        <w:szCs w:val="22"/>
        <w:lang w:eastAsia="en-US"/>
      </w:rPr>
    </w:pPr>
  </w:p>
  <w:p w14:paraId="46E062F6" w14:textId="77777777" w:rsidR="0051400D" w:rsidRPr="004558D0" w:rsidRDefault="0051400D" w:rsidP="004558D0">
    <w:pPr>
      <w:jc w:val="center"/>
      <w:rPr>
        <w:rFonts w:asciiTheme="minorHAnsi" w:eastAsia="Calibri" w:hAnsiTheme="minorHAnsi" w:cstheme="minorHAnsi"/>
        <w:b/>
        <w:bCs/>
        <w:noProof/>
        <w:color w:val="7F7F7F" w:themeColor="text1" w:themeTint="80"/>
        <w:sz w:val="20"/>
        <w:szCs w:val="20"/>
        <w:lang w:eastAsia="en-US"/>
      </w:rPr>
    </w:pPr>
    <w:r w:rsidRPr="004558D0">
      <w:rPr>
        <w:rFonts w:asciiTheme="minorHAnsi" w:eastAsia="Calibri" w:hAnsiTheme="minorHAnsi" w:cstheme="minorHAnsi"/>
        <w:b/>
        <w:bCs/>
        <w:noProof/>
        <w:color w:val="7F7F7F" w:themeColor="text1" w:themeTint="80"/>
        <w:sz w:val="20"/>
        <w:szCs w:val="20"/>
        <w:lang w:eastAsia="en-US"/>
      </w:rPr>
      <w:t>Informe Anual 2020: Ejecución del presupuesto de los gobiernos regionales y municipalidades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ECE0" w14:textId="77777777" w:rsidR="004B70C5" w:rsidRDefault="004B70C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B1E6" w14:textId="77777777" w:rsidR="00304519" w:rsidRDefault="00304519" w:rsidP="00304519">
    <w:pPr>
      <w:pBdr>
        <w:top w:val="nil"/>
        <w:left w:val="nil"/>
        <w:bottom w:val="nil"/>
        <w:right w:val="nil"/>
        <w:between w:val="nil"/>
      </w:pBdr>
      <w:tabs>
        <w:tab w:val="center" w:pos="4419"/>
        <w:tab w:val="right" w:pos="8838"/>
      </w:tabs>
      <w:rPr>
        <w:rFonts w:ascii="Arial" w:eastAsia="Arial" w:hAnsi="Arial" w:cs="Arial"/>
        <w:color w:val="000000"/>
        <w:sz w:val="22"/>
        <w:szCs w:val="22"/>
      </w:rPr>
    </w:pPr>
    <w:r>
      <w:rPr>
        <w:noProof/>
      </w:rPr>
      <w:drawing>
        <wp:anchor distT="0" distB="0" distL="114300" distR="114300" simplePos="0" relativeHeight="251657728" behindDoc="0" locked="0" layoutInCell="1" allowOverlap="1" wp14:anchorId="072429B2" wp14:editId="0E1C9AC5">
          <wp:simplePos x="0" y="0"/>
          <wp:positionH relativeFrom="column">
            <wp:posOffset>3964940</wp:posOffset>
          </wp:positionH>
          <wp:positionV relativeFrom="paragraph">
            <wp:posOffset>-40640</wp:posOffset>
          </wp:positionV>
          <wp:extent cx="1427446" cy="485775"/>
          <wp:effectExtent l="0" t="0" r="1905" b="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7446"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hidden="0" allowOverlap="1" wp14:anchorId="36857986" wp14:editId="7A6A3AEC">
          <wp:simplePos x="0" y="0"/>
          <wp:positionH relativeFrom="column">
            <wp:posOffset>-5715</wp:posOffset>
          </wp:positionH>
          <wp:positionV relativeFrom="paragraph">
            <wp:posOffset>-78105</wp:posOffset>
          </wp:positionV>
          <wp:extent cx="3366654" cy="487824"/>
          <wp:effectExtent l="0" t="0" r="0" b="0"/>
          <wp:wrapNone/>
          <wp:docPr id="157" name="image1.png" descr="C:\Users\ggarcia\Desktop\LOGO INSTITUCIONAL CONADIS-01.png"/>
          <wp:cNvGraphicFramePr/>
          <a:graphic xmlns:a="http://schemas.openxmlformats.org/drawingml/2006/main">
            <a:graphicData uri="http://schemas.openxmlformats.org/drawingml/2006/picture">
              <pic:pic xmlns:pic="http://schemas.openxmlformats.org/drawingml/2006/picture">
                <pic:nvPicPr>
                  <pic:cNvPr id="0" name="image1.png" descr="C:\Users\ggarcia\Desktop\LOGO INSTITUCIONAL CONADIS-01.png"/>
                  <pic:cNvPicPr preferRelativeResize="0"/>
                </pic:nvPicPr>
                <pic:blipFill>
                  <a:blip r:embed="rId2"/>
                  <a:srcRect/>
                  <a:stretch>
                    <a:fillRect/>
                  </a:stretch>
                </pic:blipFill>
                <pic:spPr>
                  <a:xfrm>
                    <a:off x="0" y="0"/>
                    <a:ext cx="3366654" cy="487824"/>
                  </a:xfrm>
                  <a:prstGeom prst="rect">
                    <a:avLst/>
                  </a:prstGeom>
                  <a:ln/>
                </pic:spPr>
              </pic:pic>
            </a:graphicData>
          </a:graphic>
        </wp:anchor>
      </w:drawing>
    </w:r>
    <w:r>
      <w:rPr>
        <w:rFonts w:ascii="Arial" w:eastAsia="Arial" w:hAnsi="Arial" w:cs="Arial"/>
        <w:color w:val="000000"/>
        <w:sz w:val="22"/>
        <w:szCs w:val="22"/>
      </w:rPr>
      <w:tab/>
      <w:t xml:space="preserve">       </w:t>
    </w:r>
  </w:p>
  <w:p w14:paraId="130F8BF7" w14:textId="77777777" w:rsidR="00304519" w:rsidRDefault="00304519" w:rsidP="00304519">
    <w:pPr>
      <w:pBdr>
        <w:top w:val="nil"/>
        <w:left w:val="nil"/>
        <w:bottom w:val="nil"/>
        <w:right w:val="nil"/>
        <w:between w:val="nil"/>
      </w:pBdr>
      <w:jc w:val="center"/>
      <w:rPr>
        <w:rFonts w:ascii="Arial" w:eastAsia="Arial" w:hAnsi="Arial" w:cs="Arial"/>
        <w:color w:val="808080"/>
        <w:sz w:val="18"/>
        <w:szCs w:val="18"/>
      </w:rPr>
    </w:pPr>
  </w:p>
  <w:p w14:paraId="56793A2D" w14:textId="77777777" w:rsidR="00304519" w:rsidRDefault="00304519" w:rsidP="00304519">
    <w:pPr>
      <w:jc w:val="both"/>
      <w:rPr>
        <w:rFonts w:asciiTheme="minorHAnsi" w:eastAsia="Calibri" w:hAnsiTheme="minorHAnsi" w:cstheme="minorHAnsi"/>
        <w:noProof/>
        <w:sz w:val="22"/>
        <w:szCs w:val="22"/>
        <w:lang w:eastAsia="en-US"/>
      </w:rPr>
    </w:pPr>
  </w:p>
  <w:p w14:paraId="08A1CB02" w14:textId="7A892B9B" w:rsidR="00AD6FC3" w:rsidRPr="00304519" w:rsidRDefault="00304519" w:rsidP="00304519">
    <w:pPr>
      <w:jc w:val="center"/>
      <w:rPr>
        <w:rFonts w:asciiTheme="minorHAnsi" w:eastAsia="Calibri" w:hAnsiTheme="minorHAnsi" w:cstheme="minorHAnsi"/>
        <w:b/>
        <w:bCs/>
        <w:noProof/>
        <w:color w:val="7F7F7F" w:themeColor="text1" w:themeTint="80"/>
        <w:sz w:val="20"/>
        <w:szCs w:val="20"/>
        <w:lang w:eastAsia="en-US"/>
      </w:rPr>
    </w:pPr>
    <w:r w:rsidRPr="004558D0">
      <w:rPr>
        <w:rFonts w:asciiTheme="minorHAnsi" w:eastAsia="Calibri" w:hAnsiTheme="minorHAnsi" w:cstheme="minorHAnsi"/>
        <w:b/>
        <w:bCs/>
        <w:noProof/>
        <w:color w:val="7F7F7F" w:themeColor="text1" w:themeTint="80"/>
        <w:sz w:val="20"/>
        <w:szCs w:val="20"/>
        <w:lang w:eastAsia="en-US"/>
      </w:rPr>
      <w:t>Informe Anual 2020: Ejecución del presupuesto de los gobiernos regionales y municipalidades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58AC" w14:textId="77777777" w:rsidR="004B70C5" w:rsidRDefault="004B70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B9C"/>
    <w:multiLevelType w:val="hybridMultilevel"/>
    <w:tmpl w:val="7D720454"/>
    <w:lvl w:ilvl="0" w:tplc="280A0001">
      <w:start w:val="1"/>
      <w:numFmt w:val="bullet"/>
      <w:lvlText w:val=""/>
      <w:lvlJc w:val="left"/>
      <w:pPr>
        <w:tabs>
          <w:tab w:val="num" w:pos="360"/>
        </w:tabs>
        <w:ind w:left="360" w:hanging="360"/>
      </w:pPr>
      <w:rPr>
        <w:rFonts w:ascii="Symbol" w:hAnsi="Symbol" w:hint="default"/>
        <w:color w:val="auto"/>
      </w:rPr>
    </w:lvl>
    <w:lvl w:ilvl="1" w:tplc="87A6943A">
      <w:numFmt w:val="bullet"/>
      <w:lvlText w:val="·"/>
      <w:lvlJc w:val="left"/>
      <w:pPr>
        <w:ind w:left="1440" w:hanging="360"/>
      </w:pPr>
      <w:rPr>
        <w:rFonts w:ascii="Calibri" w:eastAsia="Times New Roman" w:hAnsi="Calibri"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56D51BD"/>
    <w:multiLevelType w:val="multilevel"/>
    <w:tmpl w:val="E11CA7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BCE01F0"/>
    <w:multiLevelType w:val="hybridMultilevel"/>
    <w:tmpl w:val="F0C2C44A"/>
    <w:lvl w:ilvl="0" w:tplc="E64EBB30">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12487AD8"/>
    <w:multiLevelType w:val="multilevel"/>
    <w:tmpl w:val="C8A4B4EA"/>
    <w:lvl w:ilvl="0">
      <w:start w:val="1"/>
      <w:numFmt w:val="upperRoman"/>
      <w:lvlText w:val="%1."/>
      <w:lvlJc w:val="right"/>
      <w:pPr>
        <w:ind w:left="720" w:hanging="360"/>
      </w:pPr>
    </w:lvl>
    <w:lvl w:ilvl="1">
      <w:start w:val="1"/>
      <w:numFmt w:val="decimal"/>
      <w:isLgl/>
      <w:lvlText w:val="%1.%2"/>
      <w:lvlJc w:val="left"/>
      <w:pPr>
        <w:ind w:left="720" w:hanging="360"/>
      </w:pPr>
      <w:rPr>
        <w:rFonts w:asciiTheme="minorHAnsi" w:hAnsiTheme="minorHAnsi" w:hint="default"/>
        <w:b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C6681F"/>
    <w:multiLevelType w:val="hybridMultilevel"/>
    <w:tmpl w:val="4B128614"/>
    <w:lvl w:ilvl="0" w:tplc="260279AA">
      <w:start w:val="1"/>
      <w:numFmt w:val="bullet"/>
      <w:lvlText w:val=""/>
      <w:lvlJc w:val="left"/>
      <w:pPr>
        <w:ind w:left="1440" w:hanging="360"/>
      </w:pPr>
      <w:rPr>
        <w:rFonts w:ascii="Wingdings" w:hAnsi="Wingdings" w:hint="default"/>
        <w:sz w:val="20"/>
        <w:szCs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E887AA5"/>
    <w:multiLevelType w:val="multilevel"/>
    <w:tmpl w:val="A1469A1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2784345F"/>
    <w:multiLevelType w:val="multilevel"/>
    <w:tmpl w:val="C19CF3EC"/>
    <w:lvl w:ilvl="0">
      <w:start w:val="1"/>
      <w:numFmt w:val="decimal"/>
      <w:lvlText w:val="%1"/>
      <w:lvlJc w:val="left"/>
      <w:pPr>
        <w:ind w:left="570" w:hanging="570"/>
      </w:pPr>
      <w:rPr>
        <w:b/>
      </w:rPr>
    </w:lvl>
    <w:lvl w:ilvl="1">
      <w:start w:val="1"/>
      <w:numFmt w:val="decimal"/>
      <w:lvlText w:val="%1.%2"/>
      <w:lvlJc w:val="left"/>
      <w:pPr>
        <w:ind w:left="570" w:hanging="570"/>
      </w:pPr>
      <w:rPr>
        <w:b/>
        <w:color w:val="0D0D0D"/>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 w15:restartNumberingAfterBreak="0">
    <w:nsid w:val="2E2F0124"/>
    <w:multiLevelType w:val="multilevel"/>
    <w:tmpl w:val="E10C2F5C"/>
    <w:lvl w:ilvl="0">
      <w:start w:val="3"/>
      <w:numFmt w:val="decimal"/>
      <w:lvlText w:val="%1"/>
      <w:lvlJc w:val="left"/>
      <w:pPr>
        <w:ind w:left="360" w:hanging="360"/>
      </w:pPr>
    </w:lvl>
    <w:lvl w:ilvl="1">
      <w:start w:val="1"/>
      <w:numFmt w:val="decimal"/>
      <w:lvlText w:val="%1.%2"/>
      <w:lvlJc w:val="left"/>
      <w:pPr>
        <w:ind w:left="927" w:hanging="360"/>
      </w:pPr>
      <w:rPr>
        <w:b/>
        <w:strike w:val="0"/>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 w15:restartNumberingAfterBreak="0">
    <w:nsid w:val="32D562D2"/>
    <w:multiLevelType w:val="hybridMultilevel"/>
    <w:tmpl w:val="DFEA8F3C"/>
    <w:lvl w:ilvl="0" w:tplc="E64EBB30">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373645E9"/>
    <w:multiLevelType w:val="multilevel"/>
    <w:tmpl w:val="7EE802EE"/>
    <w:lvl w:ilvl="0">
      <w:start w:val="1"/>
      <w:numFmt w:val="decimal"/>
      <w:lvlText w:val="%1."/>
      <w:lvlJc w:val="left"/>
      <w:pPr>
        <w:ind w:left="360" w:hanging="360"/>
      </w:pPr>
      <w:rPr>
        <w:rFonts w:hint="default"/>
      </w:rPr>
    </w:lvl>
    <w:lvl w:ilvl="1">
      <w:start w:val="1"/>
      <w:numFmt w:val="decimal"/>
      <w:lvlText w:val="%1.%2."/>
      <w:lvlJc w:val="left"/>
      <w:pPr>
        <w:ind w:left="1637"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C903301"/>
    <w:multiLevelType w:val="hybridMultilevel"/>
    <w:tmpl w:val="D1FAF666"/>
    <w:lvl w:ilvl="0" w:tplc="280A0019">
      <w:start w:val="1"/>
      <w:numFmt w:val="lowerLetter"/>
      <w:lvlText w:val="%1."/>
      <w:lvlJc w:val="left"/>
      <w:pPr>
        <w:tabs>
          <w:tab w:val="num" w:pos="360"/>
        </w:tabs>
        <w:ind w:left="36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D644534"/>
    <w:multiLevelType w:val="multilevel"/>
    <w:tmpl w:val="3D3238DC"/>
    <w:lvl w:ilvl="0">
      <w:start w:val="1"/>
      <w:numFmt w:val="upperRoman"/>
      <w:lvlText w:val="%1."/>
      <w:lvlJc w:val="left"/>
      <w:pPr>
        <w:ind w:left="1080" w:hanging="720"/>
      </w:pPr>
      <w:rPr>
        <w:color w:val="0D0D0D"/>
      </w:rPr>
    </w:lvl>
    <w:lvl w:ilvl="1">
      <w:start w:val="2"/>
      <w:numFmt w:val="decimal"/>
      <w:lvlText w:val="%1.%2"/>
      <w:lvlJc w:val="left"/>
      <w:pPr>
        <w:ind w:left="930" w:hanging="57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12" w15:restartNumberingAfterBreak="0">
    <w:nsid w:val="4EE90159"/>
    <w:multiLevelType w:val="multilevel"/>
    <w:tmpl w:val="A80C86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38277FE"/>
    <w:multiLevelType w:val="hybridMultilevel"/>
    <w:tmpl w:val="431A99D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54FE658B"/>
    <w:multiLevelType w:val="hybridMultilevel"/>
    <w:tmpl w:val="88129004"/>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5" w15:restartNumberingAfterBreak="0">
    <w:nsid w:val="563E3E13"/>
    <w:multiLevelType w:val="hybridMultilevel"/>
    <w:tmpl w:val="280CA086"/>
    <w:lvl w:ilvl="0" w:tplc="280A0001">
      <w:start w:val="1"/>
      <w:numFmt w:val="bullet"/>
      <w:lvlText w:val=""/>
      <w:lvlJc w:val="left"/>
      <w:pPr>
        <w:ind w:left="993" w:hanging="360"/>
      </w:pPr>
      <w:rPr>
        <w:rFonts w:ascii="Symbol" w:hAnsi="Symbol" w:hint="default"/>
        <w:color w:val="auto"/>
      </w:rPr>
    </w:lvl>
    <w:lvl w:ilvl="1" w:tplc="0C0A0003" w:tentative="1">
      <w:start w:val="1"/>
      <w:numFmt w:val="bullet"/>
      <w:lvlText w:val="o"/>
      <w:lvlJc w:val="left"/>
      <w:pPr>
        <w:ind w:left="1713" w:hanging="360"/>
      </w:pPr>
      <w:rPr>
        <w:rFonts w:ascii="Courier New" w:hAnsi="Courier New" w:cs="Courier New" w:hint="default"/>
      </w:rPr>
    </w:lvl>
    <w:lvl w:ilvl="2" w:tplc="0C0A0005" w:tentative="1">
      <w:start w:val="1"/>
      <w:numFmt w:val="bullet"/>
      <w:lvlText w:val=""/>
      <w:lvlJc w:val="left"/>
      <w:pPr>
        <w:ind w:left="2433" w:hanging="360"/>
      </w:pPr>
      <w:rPr>
        <w:rFonts w:ascii="Wingdings" w:hAnsi="Wingdings" w:hint="default"/>
      </w:rPr>
    </w:lvl>
    <w:lvl w:ilvl="3" w:tplc="0C0A0001" w:tentative="1">
      <w:start w:val="1"/>
      <w:numFmt w:val="bullet"/>
      <w:lvlText w:val=""/>
      <w:lvlJc w:val="left"/>
      <w:pPr>
        <w:ind w:left="3153" w:hanging="360"/>
      </w:pPr>
      <w:rPr>
        <w:rFonts w:ascii="Symbol" w:hAnsi="Symbol" w:hint="default"/>
      </w:rPr>
    </w:lvl>
    <w:lvl w:ilvl="4" w:tplc="0C0A0003" w:tentative="1">
      <w:start w:val="1"/>
      <w:numFmt w:val="bullet"/>
      <w:lvlText w:val="o"/>
      <w:lvlJc w:val="left"/>
      <w:pPr>
        <w:ind w:left="3873" w:hanging="360"/>
      </w:pPr>
      <w:rPr>
        <w:rFonts w:ascii="Courier New" w:hAnsi="Courier New" w:cs="Courier New" w:hint="default"/>
      </w:rPr>
    </w:lvl>
    <w:lvl w:ilvl="5" w:tplc="0C0A0005" w:tentative="1">
      <w:start w:val="1"/>
      <w:numFmt w:val="bullet"/>
      <w:lvlText w:val=""/>
      <w:lvlJc w:val="left"/>
      <w:pPr>
        <w:ind w:left="4593" w:hanging="360"/>
      </w:pPr>
      <w:rPr>
        <w:rFonts w:ascii="Wingdings" w:hAnsi="Wingdings" w:hint="default"/>
      </w:rPr>
    </w:lvl>
    <w:lvl w:ilvl="6" w:tplc="0C0A0001" w:tentative="1">
      <w:start w:val="1"/>
      <w:numFmt w:val="bullet"/>
      <w:lvlText w:val=""/>
      <w:lvlJc w:val="left"/>
      <w:pPr>
        <w:ind w:left="5313" w:hanging="360"/>
      </w:pPr>
      <w:rPr>
        <w:rFonts w:ascii="Symbol" w:hAnsi="Symbol" w:hint="default"/>
      </w:rPr>
    </w:lvl>
    <w:lvl w:ilvl="7" w:tplc="0C0A0003" w:tentative="1">
      <w:start w:val="1"/>
      <w:numFmt w:val="bullet"/>
      <w:lvlText w:val="o"/>
      <w:lvlJc w:val="left"/>
      <w:pPr>
        <w:ind w:left="6033" w:hanging="360"/>
      </w:pPr>
      <w:rPr>
        <w:rFonts w:ascii="Courier New" w:hAnsi="Courier New" w:cs="Courier New" w:hint="default"/>
      </w:rPr>
    </w:lvl>
    <w:lvl w:ilvl="8" w:tplc="0C0A0005" w:tentative="1">
      <w:start w:val="1"/>
      <w:numFmt w:val="bullet"/>
      <w:lvlText w:val=""/>
      <w:lvlJc w:val="left"/>
      <w:pPr>
        <w:ind w:left="6753" w:hanging="360"/>
      </w:pPr>
      <w:rPr>
        <w:rFonts w:ascii="Wingdings" w:hAnsi="Wingdings" w:hint="default"/>
      </w:rPr>
    </w:lvl>
  </w:abstractNum>
  <w:abstractNum w:abstractNumId="16" w15:restartNumberingAfterBreak="0">
    <w:nsid w:val="647E0235"/>
    <w:multiLevelType w:val="multilevel"/>
    <w:tmpl w:val="A092678C"/>
    <w:lvl w:ilvl="0">
      <w:start w:val="2"/>
      <w:numFmt w:val="decimal"/>
      <w:lvlText w:val="%1"/>
      <w:lvlJc w:val="left"/>
      <w:pPr>
        <w:ind w:left="360" w:hanging="360"/>
      </w:pPr>
    </w:lvl>
    <w:lvl w:ilvl="1">
      <w:start w:val="1"/>
      <w:numFmt w:val="decimal"/>
      <w:lvlText w:val="%1.%2"/>
      <w:lvlJc w:val="left"/>
      <w:pPr>
        <w:ind w:left="6881" w:hanging="360"/>
      </w:pPr>
      <w:rPr>
        <w:b/>
        <w:color w:val="000000"/>
      </w:rPr>
    </w:lvl>
    <w:lvl w:ilvl="2">
      <w:start w:val="1"/>
      <w:numFmt w:val="decimal"/>
      <w:lvlText w:val="%1.%2.%3"/>
      <w:lvlJc w:val="left"/>
      <w:pPr>
        <w:ind w:left="1854" w:hanging="720"/>
      </w:pPr>
      <w:rPr>
        <w:b/>
      </w:rPr>
    </w:lvl>
    <w:lvl w:ilvl="3">
      <w:start w:val="1"/>
      <w:numFmt w:val="bullet"/>
      <w:lvlText w:val="●"/>
      <w:lvlJc w:val="left"/>
      <w:pPr>
        <w:ind w:left="2421" w:hanging="720"/>
      </w:pPr>
    </w:lvl>
    <w:lvl w:ilvl="4">
      <w:start w:val="1"/>
      <w:numFmt w:val="decimal"/>
      <w:lvlText w:val="%1.%2.%3.●.%5"/>
      <w:lvlJc w:val="left"/>
      <w:pPr>
        <w:ind w:left="3348" w:hanging="1080"/>
      </w:pPr>
    </w:lvl>
    <w:lvl w:ilvl="5">
      <w:start w:val="1"/>
      <w:numFmt w:val="decimal"/>
      <w:lvlText w:val="%1.%2.%3.●.%5.%6"/>
      <w:lvlJc w:val="left"/>
      <w:pPr>
        <w:ind w:left="3915" w:hanging="1080"/>
      </w:pPr>
    </w:lvl>
    <w:lvl w:ilvl="6">
      <w:start w:val="1"/>
      <w:numFmt w:val="decimal"/>
      <w:lvlText w:val="%1.%2.%3.●.%5.%6.%7"/>
      <w:lvlJc w:val="left"/>
      <w:pPr>
        <w:ind w:left="4842" w:hanging="1440"/>
      </w:pPr>
    </w:lvl>
    <w:lvl w:ilvl="7">
      <w:start w:val="1"/>
      <w:numFmt w:val="decimal"/>
      <w:lvlText w:val="%1.%2.%3.●.%5.%6.%7.%8"/>
      <w:lvlJc w:val="left"/>
      <w:pPr>
        <w:ind w:left="5409" w:hanging="1440"/>
      </w:pPr>
    </w:lvl>
    <w:lvl w:ilvl="8">
      <w:start w:val="1"/>
      <w:numFmt w:val="decimal"/>
      <w:lvlText w:val="%1.%2.%3.●.%5.%6.%7.%8.%9"/>
      <w:lvlJc w:val="left"/>
      <w:pPr>
        <w:ind w:left="6336" w:hanging="1800"/>
      </w:pPr>
    </w:lvl>
  </w:abstractNum>
  <w:abstractNum w:abstractNumId="17" w15:restartNumberingAfterBreak="0">
    <w:nsid w:val="659604A1"/>
    <w:multiLevelType w:val="hybridMultilevel"/>
    <w:tmpl w:val="C4A8FD6C"/>
    <w:lvl w:ilvl="0" w:tplc="B6DA3D0E">
      <w:start w:val="1"/>
      <w:numFmt w:val="decimal"/>
      <w:lvlText w:val="%1."/>
      <w:lvlJc w:val="left"/>
      <w:pPr>
        <w:ind w:left="1440" w:hanging="360"/>
      </w:pPr>
      <w:rPr>
        <w:rFonts w:hint="default"/>
        <w:b/>
        <w:sz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6A0346C8"/>
    <w:multiLevelType w:val="multilevel"/>
    <w:tmpl w:val="4962B2EA"/>
    <w:lvl w:ilvl="0">
      <w:start w:val="1"/>
      <w:numFmt w:val="bullet"/>
      <w:lvlText w:val="●"/>
      <w:lvlJc w:val="left"/>
      <w:pPr>
        <w:ind w:left="6480" w:hanging="360"/>
      </w:pPr>
      <w:rPr>
        <w:u w:val="none"/>
      </w:rPr>
    </w:lvl>
    <w:lvl w:ilvl="1">
      <w:start w:val="1"/>
      <w:numFmt w:val="bullet"/>
      <w:lvlText w:val="○"/>
      <w:lvlJc w:val="left"/>
      <w:pPr>
        <w:ind w:left="7200" w:hanging="360"/>
      </w:pPr>
      <w:rPr>
        <w:u w:val="none"/>
      </w:rPr>
    </w:lvl>
    <w:lvl w:ilvl="2">
      <w:start w:val="1"/>
      <w:numFmt w:val="bullet"/>
      <w:lvlText w:val="■"/>
      <w:lvlJc w:val="left"/>
      <w:pPr>
        <w:ind w:left="7920" w:hanging="360"/>
      </w:pPr>
      <w:rPr>
        <w:u w:val="none"/>
      </w:rPr>
    </w:lvl>
    <w:lvl w:ilvl="3">
      <w:start w:val="1"/>
      <w:numFmt w:val="bullet"/>
      <w:lvlText w:val="●"/>
      <w:lvlJc w:val="left"/>
      <w:pPr>
        <w:ind w:left="8640" w:hanging="360"/>
      </w:pPr>
      <w:rPr>
        <w:u w:val="none"/>
      </w:rPr>
    </w:lvl>
    <w:lvl w:ilvl="4">
      <w:start w:val="1"/>
      <w:numFmt w:val="bullet"/>
      <w:lvlText w:val="○"/>
      <w:lvlJc w:val="left"/>
      <w:pPr>
        <w:ind w:left="9360" w:hanging="360"/>
      </w:pPr>
      <w:rPr>
        <w:u w:val="none"/>
      </w:rPr>
    </w:lvl>
    <w:lvl w:ilvl="5">
      <w:start w:val="1"/>
      <w:numFmt w:val="bullet"/>
      <w:lvlText w:val="■"/>
      <w:lvlJc w:val="left"/>
      <w:pPr>
        <w:ind w:left="10080" w:hanging="360"/>
      </w:pPr>
      <w:rPr>
        <w:u w:val="none"/>
      </w:rPr>
    </w:lvl>
    <w:lvl w:ilvl="6">
      <w:start w:val="1"/>
      <w:numFmt w:val="bullet"/>
      <w:lvlText w:val="●"/>
      <w:lvlJc w:val="left"/>
      <w:pPr>
        <w:ind w:left="10800" w:hanging="360"/>
      </w:pPr>
      <w:rPr>
        <w:u w:val="none"/>
      </w:rPr>
    </w:lvl>
    <w:lvl w:ilvl="7">
      <w:start w:val="1"/>
      <w:numFmt w:val="bullet"/>
      <w:lvlText w:val="○"/>
      <w:lvlJc w:val="left"/>
      <w:pPr>
        <w:ind w:left="11520" w:hanging="360"/>
      </w:pPr>
      <w:rPr>
        <w:u w:val="none"/>
      </w:rPr>
    </w:lvl>
    <w:lvl w:ilvl="8">
      <w:start w:val="1"/>
      <w:numFmt w:val="bullet"/>
      <w:lvlText w:val="■"/>
      <w:lvlJc w:val="left"/>
      <w:pPr>
        <w:ind w:left="12240" w:hanging="360"/>
      </w:pPr>
      <w:rPr>
        <w:u w:val="none"/>
      </w:rPr>
    </w:lvl>
  </w:abstractNum>
  <w:abstractNum w:abstractNumId="19" w15:restartNumberingAfterBreak="0">
    <w:nsid w:val="6F834445"/>
    <w:multiLevelType w:val="multilevel"/>
    <w:tmpl w:val="E10C2F5C"/>
    <w:lvl w:ilvl="0">
      <w:start w:val="3"/>
      <w:numFmt w:val="decimal"/>
      <w:lvlText w:val="%1"/>
      <w:lvlJc w:val="left"/>
      <w:pPr>
        <w:ind w:left="360" w:hanging="360"/>
      </w:pPr>
    </w:lvl>
    <w:lvl w:ilvl="1">
      <w:start w:val="1"/>
      <w:numFmt w:val="decimal"/>
      <w:lvlText w:val="%1.%2"/>
      <w:lvlJc w:val="left"/>
      <w:pPr>
        <w:ind w:left="927" w:hanging="360"/>
      </w:pPr>
      <w:rPr>
        <w:b/>
        <w:strike w:val="0"/>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0" w15:restartNumberingAfterBreak="0">
    <w:nsid w:val="776B1BF5"/>
    <w:multiLevelType w:val="hybridMultilevel"/>
    <w:tmpl w:val="EC2C1216"/>
    <w:lvl w:ilvl="0" w:tplc="33F8146E">
      <w:start w:val="1"/>
      <w:numFmt w:val="decimal"/>
      <w:lvlText w:val="%1."/>
      <w:lvlJc w:val="left"/>
      <w:pPr>
        <w:ind w:left="1440" w:hanging="360"/>
      </w:pPr>
      <w:rPr>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79DC2E50"/>
    <w:multiLevelType w:val="hybridMultilevel"/>
    <w:tmpl w:val="208AD868"/>
    <w:lvl w:ilvl="0" w:tplc="948E756E">
      <w:start w:val="1"/>
      <w:numFmt w:val="decimal"/>
      <w:pStyle w:val="Ttulo1"/>
      <w:lvlText w:val="%1."/>
      <w:lvlJc w:val="left"/>
      <w:pPr>
        <w:ind w:left="720" w:hanging="360"/>
      </w:pPr>
      <w:rPr>
        <w:rFonts w:hint="default"/>
        <w:b/>
        <w:bCs/>
        <w:color w:val="auto"/>
        <w:sz w:val="52"/>
        <w:szCs w:val="52"/>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7AE04730"/>
    <w:multiLevelType w:val="hybridMultilevel"/>
    <w:tmpl w:val="A0FC5E94"/>
    <w:lvl w:ilvl="0" w:tplc="280A0001">
      <w:start w:val="1"/>
      <w:numFmt w:val="bullet"/>
      <w:lvlText w:val=""/>
      <w:lvlJc w:val="left"/>
      <w:pPr>
        <w:ind w:left="991" w:hanging="360"/>
      </w:pPr>
      <w:rPr>
        <w:rFonts w:ascii="Symbol" w:hAnsi="Symbol" w:hint="default"/>
        <w:color w:val="auto"/>
      </w:rPr>
    </w:lvl>
    <w:lvl w:ilvl="1" w:tplc="0C0A0003" w:tentative="1">
      <w:start w:val="1"/>
      <w:numFmt w:val="bullet"/>
      <w:lvlText w:val="o"/>
      <w:lvlJc w:val="left"/>
      <w:pPr>
        <w:ind w:left="1711" w:hanging="360"/>
      </w:pPr>
      <w:rPr>
        <w:rFonts w:ascii="Courier New" w:hAnsi="Courier New" w:cs="Courier New" w:hint="default"/>
      </w:rPr>
    </w:lvl>
    <w:lvl w:ilvl="2" w:tplc="0C0A0005" w:tentative="1">
      <w:start w:val="1"/>
      <w:numFmt w:val="bullet"/>
      <w:lvlText w:val=""/>
      <w:lvlJc w:val="left"/>
      <w:pPr>
        <w:ind w:left="2431" w:hanging="360"/>
      </w:pPr>
      <w:rPr>
        <w:rFonts w:ascii="Wingdings" w:hAnsi="Wingdings" w:hint="default"/>
      </w:rPr>
    </w:lvl>
    <w:lvl w:ilvl="3" w:tplc="0C0A0001" w:tentative="1">
      <w:start w:val="1"/>
      <w:numFmt w:val="bullet"/>
      <w:lvlText w:val=""/>
      <w:lvlJc w:val="left"/>
      <w:pPr>
        <w:ind w:left="3151" w:hanging="360"/>
      </w:pPr>
      <w:rPr>
        <w:rFonts w:ascii="Symbol" w:hAnsi="Symbol" w:hint="default"/>
      </w:rPr>
    </w:lvl>
    <w:lvl w:ilvl="4" w:tplc="0C0A0003" w:tentative="1">
      <w:start w:val="1"/>
      <w:numFmt w:val="bullet"/>
      <w:lvlText w:val="o"/>
      <w:lvlJc w:val="left"/>
      <w:pPr>
        <w:ind w:left="3871" w:hanging="360"/>
      </w:pPr>
      <w:rPr>
        <w:rFonts w:ascii="Courier New" w:hAnsi="Courier New" w:cs="Courier New" w:hint="default"/>
      </w:rPr>
    </w:lvl>
    <w:lvl w:ilvl="5" w:tplc="0C0A0005" w:tentative="1">
      <w:start w:val="1"/>
      <w:numFmt w:val="bullet"/>
      <w:lvlText w:val=""/>
      <w:lvlJc w:val="left"/>
      <w:pPr>
        <w:ind w:left="4591" w:hanging="360"/>
      </w:pPr>
      <w:rPr>
        <w:rFonts w:ascii="Wingdings" w:hAnsi="Wingdings" w:hint="default"/>
      </w:rPr>
    </w:lvl>
    <w:lvl w:ilvl="6" w:tplc="0C0A0001" w:tentative="1">
      <w:start w:val="1"/>
      <w:numFmt w:val="bullet"/>
      <w:lvlText w:val=""/>
      <w:lvlJc w:val="left"/>
      <w:pPr>
        <w:ind w:left="5311" w:hanging="360"/>
      </w:pPr>
      <w:rPr>
        <w:rFonts w:ascii="Symbol" w:hAnsi="Symbol" w:hint="default"/>
      </w:rPr>
    </w:lvl>
    <w:lvl w:ilvl="7" w:tplc="0C0A0003" w:tentative="1">
      <w:start w:val="1"/>
      <w:numFmt w:val="bullet"/>
      <w:lvlText w:val="o"/>
      <w:lvlJc w:val="left"/>
      <w:pPr>
        <w:ind w:left="6031" w:hanging="360"/>
      </w:pPr>
      <w:rPr>
        <w:rFonts w:ascii="Courier New" w:hAnsi="Courier New" w:cs="Courier New" w:hint="default"/>
      </w:rPr>
    </w:lvl>
    <w:lvl w:ilvl="8" w:tplc="0C0A0005" w:tentative="1">
      <w:start w:val="1"/>
      <w:numFmt w:val="bullet"/>
      <w:lvlText w:val=""/>
      <w:lvlJc w:val="left"/>
      <w:pPr>
        <w:ind w:left="6751" w:hanging="360"/>
      </w:pPr>
      <w:rPr>
        <w:rFonts w:ascii="Wingdings" w:hAnsi="Wingdings" w:hint="default"/>
      </w:rPr>
    </w:lvl>
  </w:abstractNum>
  <w:num w:numId="1">
    <w:abstractNumId w:val="9"/>
  </w:num>
  <w:num w:numId="2">
    <w:abstractNumId w:val="3"/>
  </w:num>
  <w:num w:numId="3">
    <w:abstractNumId w:val="10"/>
  </w:num>
  <w:num w:numId="4">
    <w:abstractNumId w:val="0"/>
  </w:num>
  <w:num w:numId="5">
    <w:abstractNumId w:val="17"/>
  </w:num>
  <w:num w:numId="6">
    <w:abstractNumId w:val="22"/>
  </w:num>
  <w:num w:numId="7">
    <w:abstractNumId w:val="15"/>
  </w:num>
  <w:num w:numId="8">
    <w:abstractNumId w:val="1"/>
  </w:num>
  <w:num w:numId="9">
    <w:abstractNumId w:val="12"/>
  </w:num>
  <w:num w:numId="10">
    <w:abstractNumId w:val="20"/>
  </w:num>
  <w:num w:numId="11">
    <w:abstractNumId w:val="4"/>
  </w:num>
  <w:num w:numId="12">
    <w:abstractNumId w:val="13"/>
  </w:num>
  <w:num w:numId="13">
    <w:abstractNumId w:val="2"/>
  </w:num>
  <w:num w:numId="14">
    <w:abstractNumId w:val="14"/>
  </w:num>
  <w:num w:numId="15">
    <w:abstractNumId w:val="8"/>
  </w:num>
  <w:num w:numId="16">
    <w:abstractNumId w:val="11"/>
  </w:num>
  <w:num w:numId="17">
    <w:abstractNumId w:val="16"/>
  </w:num>
  <w:num w:numId="18">
    <w:abstractNumId w:val="18"/>
  </w:num>
  <w:num w:numId="19">
    <w:abstractNumId w:val="6"/>
  </w:num>
  <w:num w:numId="20">
    <w:abstractNumId w:val="5"/>
  </w:num>
  <w:num w:numId="21">
    <w:abstractNumId w:val="7"/>
  </w:num>
  <w:num w:numId="22">
    <w:abstractNumId w:val="19"/>
  </w:num>
  <w:num w:numId="2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PE"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s-PE" w:vendorID="64" w:dllVersion="0" w:nlCheck="1" w:checkStyle="0"/>
  <w:activeWritingStyle w:appName="MSWord" w:lang="es-ES"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902"/>
    <w:rsid w:val="000002A7"/>
    <w:rsid w:val="00002C28"/>
    <w:rsid w:val="00002FE4"/>
    <w:rsid w:val="00003460"/>
    <w:rsid w:val="00003736"/>
    <w:rsid w:val="00006170"/>
    <w:rsid w:val="000063B5"/>
    <w:rsid w:val="00011287"/>
    <w:rsid w:val="00013459"/>
    <w:rsid w:val="00014321"/>
    <w:rsid w:val="000167D9"/>
    <w:rsid w:val="000169DB"/>
    <w:rsid w:val="00016A1B"/>
    <w:rsid w:val="00017095"/>
    <w:rsid w:val="00017102"/>
    <w:rsid w:val="000228B1"/>
    <w:rsid w:val="000250E9"/>
    <w:rsid w:val="00030F5A"/>
    <w:rsid w:val="00031BDC"/>
    <w:rsid w:val="000356A0"/>
    <w:rsid w:val="0003710B"/>
    <w:rsid w:val="00037983"/>
    <w:rsid w:val="000420B6"/>
    <w:rsid w:val="00043846"/>
    <w:rsid w:val="000444EA"/>
    <w:rsid w:val="000469A8"/>
    <w:rsid w:val="00051A38"/>
    <w:rsid w:val="000629B6"/>
    <w:rsid w:val="00065751"/>
    <w:rsid w:val="000661EA"/>
    <w:rsid w:val="000668EB"/>
    <w:rsid w:val="000709DA"/>
    <w:rsid w:val="00071ED3"/>
    <w:rsid w:val="000731D7"/>
    <w:rsid w:val="0007374A"/>
    <w:rsid w:val="00073D5C"/>
    <w:rsid w:val="0007528F"/>
    <w:rsid w:val="00081515"/>
    <w:rsid w:val="00081869"/>
    <w:rsid w:val="00081C71"/>
    <w:rsid w:val="00081CA5"/>
    <w:rsid w:val="0008277B"/>
    <w:rsid w:val="00082800"/>
    <w:rsid w:val="00084252"/>
    <w:rsid w:val="00085520"/>
    <w:rsid w:val="000910B7"/>
    <w:rsid w:val="00091D3B"/>
    <w:rsid w:val="00096B6C"/>
    <w:rsid w:val="00096DE3"/>
    <w:rsid w:val="000A183B"/>
    <w:rsid w:val="000A2484"/>
    <w:rsid w:val="000A6CAB"/>
    <w:rsid w:val="000B0B91"/>
    <w:rsid w:val="000B2134"/>
    <w:rsid w:val="000B42FF"/>
    <w:rsid w:val="000B4ED2"/>
    <w:rsid w:val="000B5994"/>
    <w:rsid w:val="000B748F"/>
    <w:rsid w:val="000C149A"/>
    <w:rsid w:val="000C2CBB"/>
    <w:rsid w:val="000C3F50"/>
    <w:rsid w:val="000C636B"/>
    <w:rsid w:val="000C72E1"/>
    <w:rsid w:val="000D13AA"/>
    <w:rsid w:val="000D13B7"/>
    <w:rsid w:val="000D1D65"/>
    <w:rsid w:val="000D375F"/>
    <w:rsid w:val="000D5692"/>
    <w:rsid w:val="000E0447"/>
    <w:rsid w:val="000E175A"/>
    <w:rsid w:val="000E3BFE"/>
    <w:rsid w:val="000E4C88"/>
    <w:rsid w:val="000E4DD2"/>
    <w:rsid w:val="000E5694"/>
    <w:rsid w:val="000F0178"/>
    <w:rsid w:val="000F23DD"/>
    <w:rsid w:val="000F3EDF"/>
    <w:rsid w:val="000F4195"/>
    <w:rsid w:val="000F427B"/>
    <w:rsid w:val="000F5324"/>
    <w:rsid w:val="001029E2"/>
    <w:rsid w:val="0010350E"/>
    <w:rsid w:val="00103DB5"/>
    <w:rsid w:val="00104071"/>
    <w:rsid w:val="0010462D"/>
    <w:rsid w:val="001048F6"/>
    <w:rsid w:val="001073D2"/>
    <w:rsid w:val="00107996"/>
    <w:rsid w:val="001079EC"/>
    <w:rsid w:val="00112ECB"/>
    <w:rsid w:val="0011318B"/>
    <w:rsid w:val="001144E7"/>
    <w:rsid w:val="001148EF"/>
    <w:rsid w:val="00117733"/>
    <w:rsid w:val="00122AB1"/>
    <w:rsid w:val="00122BFF"/>
    <w:rsid w:val="0012344D"/>
    <w:rsid w:val="0012381E"/>
    <w:rsid w:val="001259C4"/>
    <w:rsid w:val="001264C8"/>
    <w:rsid w:val="00127702"/>
    <w:rsid w:val="00131F97"/>
    <w:rsid w:val="00132285"/>
    <w:rsid w:val="00133C62"/>
    <w:rsid w:val="0013415E"/>
    <w:rsid w:val="0013655C"/>
    <w:rsid w:val="0013752E"/>
    <w:rsid w:val="00137C5E"/>
    <w:rsid w:val="001409F1"/>
    <w:rsid w:val="00142740"/>
    <w:rsid w:val="00142906"/>
    <w:rsid w:val="00143641"/>
    <w:rsid w:val="00143C1B"/>
    <w:rsid w:val="00143C2E"/>
    <w:rsid w:val="00151B3D"/>
    <w:rsid w:val="00151FB8"/>
    <w:rsid w:val="00152A97"/>
    <w:rsid w:val="00153228"/>
    <w:rsid w:val="001551CC"/>
    <w:rsid w:val="00161BB8"/>
    <w:rsid w:val="00165561"/>
    <w:rsid w:val="00165847"/>
    <w:rsid w:val="001672DA"/>
    <w:rsid w:val="00171010"/>
    <w:rsid w:val="00173CBE"/>
    <w:rsid w:val="00173F90"/>
    <w:rsid w:val="001763CB"/>
    <w:rsid w:val="00176562"/>
    <w:rsid w:val="001771F9"/>
    <w:rsid w:val="00187580"/>
    <w:rsid w:val="0019024A"/>
    <w:rsid w:val="00191849"/>
    <w:rsid w:val="00192F84"/>
    <w:rsid w:val="00193805"/>
    <w:rsid w:val="0019426A"/>
    <w:rsid w:val="0019466C"/>
    <w:rsid w:val="00197202"/>
    <w:rsid w:val="001A11D0"/>
    <w:rsid w:val="001A1734"/>
    <w:rsid w:val="001A208F"/>
    <w:rsid w:val="001A2902"/>
    <w:rsid w:val="001A2B82"/>
    <w:rsid w:val="001A4811"/>
    <w:rsid w:val="001A5F23"/>
    <w:rsid w:val="001A7ADE"/>
    <w:rsid w:val="001A7FCC"/>
    <w:rsid w:val="001B331B"/>
    <w:rsid w:val="001B350F"/>
    <w:rsid w:val="001B78E8"/>
    <w:rsid w:val="001B7BF4"/>
    <w:rsid w:val="001C05C1"/>
    <w:rsid w:val="001C0CD5"/>
    <w:rsid w:val="001C2A77"/>
    <w:rsid w:val="001C38B0"/>
    <w:rsid w:val="001C5199"/>
    <w:rsid w:val="001C5D7A"/>
    <w:rsid w:val="001C7EDC"/>
    <w:rsid w:val="001D0FC3"/>
    <w:rsid w:val="001D1A39"/>
    <w:rsid w:val="001D2B41"/>
    <w:rsid w:val="001D4E0E"/>
    <w:rsid w:val="001E0DCD"/>
    <w:rsid w:val="001E150A"/>
    <w:rsid w:val="001E3C9E"/>
    <w:rsid w:val="001E4531"/>
    <w:rsid w:val="001E461B"/>
    <w:rsid w:val="001E7DB5"/>
    <w:rsid w:val="001F0A12"/>
    <w:rsid w:val="001F0AAC"/>
    <w:rsid w:val="001F2FCE"/>
    <w:rsid w:val="001F3020"/>
    <w:rsid w:val="001F54DF"/>
    <w:rsid w:val="001F5B26"/>
    <w:rsid w:val="001F70F0"/>
    <w:rsid w:val="00200111"/>
    <w:rsid w:val="00200ECD"/>
    <w:rsid w:val="0020748D"/>
    <w:rsid w:val="00207F11"/>
    <w:rsid w:val="0021098A"/>
    <w:rsid w:val="00211763"/>
    <w:rsid w:val="00212066"/>
    <w:rsid w:val="00213748"/>
    <w:rsid w:val="002210E7"/>
    <w:rsid w:val="002256A4"/>
    <w:rsid w:val="00226607"/>
    <w:rsid w:val="00227418"/>
    <w:rsid w:val="002332D7"/>
    <w:rsid w:val="00233857"/>
    <w:rsid w:val="00235342"/>
    <w:rsid w:val="002409EA"/>
    <w:rsid w:val="0024301A"/>
    <w:rsid w:val="002433A6"/>
    <w:rsid w:val="00243601"/>
    <w:rsid w:val="002436A6"/>
    <w:rsid w:val="0024503D"/>
    <w:rsid w:val="00246FE8"/>
    <w:rsid w:val="0024778C"/>
    <w:rsid w:val="0025310C"/>
    <w:rsid w:val="00254EBA"/>
    <w:rsid w:val="00262FAB"/>
    <w:rsid w:val="00265209"/>
    <w:rsid w:val="00267C44"/>
    <w:rsid w:val="00273711"/>
    <w:rsid w:val="00276541"/>
    <w:rsid w:val="002767EE"/>
    <w:rsid w:val="00276BEF"/>
    <w:rsid w:val="0028079D"/>
    <w:rsid w:val="00282119"/>
    <w:rsid w:val="00283383"/>
    <w:rsid w:val="00283A03"/>
    <w:rsid w:val="00283BFD"/>
    <w:rsid w:val="00284051"/>
    <w:rsid w:val="0028438C"/>
    <w:rsid w:val="002858FB"/>
    <w:rsid w:val="00290137"/>
    <w:rsid w:val="00291D59"/>
    <w:rsid w:val="002940D8"/>
    <w:rsid w:val="002976CB"/>
    <w:rsid w:val="002A0870"/>
    <w:rsid w:val="002A2476"/>
    <w:rsid w:val="002A4887"/>
    <w:rsid w:val="002A4F06"/>
    <w:rsid w:val="002A751C"/>
    <w:rsid w:val="002A7F32"/>
    <w:rsid w:val="002B2F24"/>
    <w:rsid w:val="002B38B6"/>
    <w:rsid w:val="002B73F8"/>
    <w:rsid w:val="002B7F47"/>
    <w:rsid w:val="002C16C5"/>
    <w:rsid w:val="002C207A"/>
    <w:rsid w:val="002C27FB"/>
    <w:rsid w:val="002C2B37"/>
    <w:rsid w:val="002C3076"/>
    <w:rsid w:val="002C7EBB"/>
    <w:rsid w:val="002D220C"/>
    <w:rsid w:val="002D2EF2"/>
    <w:rsid w:val="002D33B1"/>
    <w:rsid w:val="002D4819"/>
    <w:rsid w:val="002D4FE9"/>
    <w:rsid w:val="002D5CC9"/>
    <w:rsid w:val="002D6C48"/>
    <w:rsid w:val="002D7542"/>
    <w:rsid w:val="002E1013"/>
    <w:rsid w:val="002E1B56"/>
    <w:rsid w:val="002E2CA6"/>
    <w:rsid w:val="002E2FF9"/>
    <w:rsid w:val="002E3690"/>
    <w:rsid w:val="002E7A6F"/>
    <w:rsid w:val="002F0F5F"/>
    <w:rsid w:val="002F1DB9"/>
    <w:rsid w:val="002F6BCB"/>
    <w:rsid w:val="002F77EE"/>
    <w:rsid w:val="00303B62"/>
    <w:rsid w:val="00304519"/>
    <w:rsid w:val="00304758"/>
    <w:rsid w:val="00307198"/>
    <w:rsid w:val="0030793D"/>
    <w:rsid w:val="00310351"/>
    <w:rsid w:val="00316A11"/>
    <w:rsid w:val="00320179"/>
    <w:rsid w:val="00320301"/>
    <w:rsid w:val="00322220"/>
    <w:rsid w:val="00322758"/>
    <w:rsid w:val="0032291D"/>
    <w:rsid w:val="00324AA8"/>
    <w:rsid w:val="0032585F"/>
    <w:rsid w:val="00325CD5"/>
    <w:rsid w:val="00325D75"/>
    <w:rsid w:val="00327721"/>
    <w:rsid w:val="00330ADA"/>
    <w:rsid w:val="00331AD5"/>
    <w:rsid w:val="003327B3"/>
    <w:rsid w:val="00334621"/>
    <w:rsid w:val="00334F9F"/>
    <w:rsid w:val="00334FE0"/>
    <w:rsid w:val="00335EAE"/>
    <w:rsid w:val="003404DF"/>
    <w:rsid w:val="00341B66"/>
    <w:rsid w:val="00342F8A"/>
    <w:rsid w:val="003461C3"/>
    <w:rsid w:val="003475F7"/>
    <w:rsid w:val="0035261D"/>
    <w:rsid w:val="00353847"/>
    <w:rsid w:val="0035642E"/>
    <w:rsid w:val="00356F61"/>
    <w:rsid w:val="003603DA"/>
    <w:rsid w:val="0036289E"/>
    <w:rsid w:val="00363431"/>
    <w:rsid w:val="003671A2"/>
    <w:rsid w:val="00371097"/>
    <w:rsid w:val="003711F2"/>
    <w:rsid w:val="003739B7"/>
    <w:rsid w:val="00373AF8"/>
    <w:rsid w:val="00373E34"/>
    <w:rsid w:val="00373FCC"/>
    <w:rsid w:val="00377B66"/>
    <w:rsid w:val="003801D2"/>
    <w:rsid w:val="003815CB"/>
    <w:rsid w:val="00383E25"/>
    <w:rsid w:val="00385585"/>
    <w:rsid w:val="0038560F"/>
    <w:rsid w:val="00387753"/>
    <w:rsid w:val="0039087A"/>
    <w:rsid w:val="00393AB3"/>
    <w:rsid w:val="00395868"/>
    <w:rsid w:val="00395D77"/>
    <w:rsid w:val="003A030F"/>
    <w:rsid w:val="003A0490"/>
    <w:rsid w:val="003A0A89"/>
    <w:rsid w:val="003A0C06"/>
    <w:rsid w:val="003A2F28"/>
    <w:rsid w:val="003A3E75"/>
    <w:rsid w:val="003A4244"/>
    <w:rsid w:val="003A5E5A"/>
    <w:rsid w:val="003B53F0"/>
    <w:rsid w:val="003B5FA2"/>
    <w:rsid w:val="003B7750"/>
    <w:rsid w:val="003B798F"/>
    <w:rsid w:val="003B7BC2"/>
    <w:rsid w:val="003B7F8C"/>
    <w:rsid w:val="003C00D9"/>
    <w:rsid w:val="003C2ECB"/>
    <w:rsid w:val="003C3597"/>
    <w:rsid w:val="003C54A7"/>
    <w:rsid w:val="003D00EA"/>
    <w:rsid w:val="003D11DD"/>
    <w:rsid w:val="003D3057"/>
    <w:rsid w:val="003D3826"/>
    <w:rsid w:val="003D4589"/>
    <w:rsid w:val="003D5BAF"/>
    <w:rsid w:val="003D74AE"/>
    <w:rsid w:val="003E30AF"/>
    <w:rsid w:val="003E5B0E"/>
    <w:rsid w:val="003E64CB"/>
    <w:rsid w:val="003F01D8"/>
    <w:rsid w:val="003F07AD"/>
    <w:rsid w:val="003F1E97"/>
    <w:rsid w:val="003F5D31"/>
    <w:rsid w:val="003F602C"/>
    <w:rsid w:val="00400E4C"/>
    <w:rsid w:val="004046FB"/>
    <w:rsid w:val="0040503B"/>
    <w:rsid w:val="004057D4"/>
    <w:rsid w:val="004120ED"/>
    <w:rsid w:val="0041278E"/>
    <w:rsid w:val="00412BAE"/>
    <w:rsid w:val="004177A2"/>
    <w:rsid w:val="00417BBD"/>
    <w:rsid w:val="004202EE"/>
    <w:rsid w:val="0042096C"/>
    <w:rsid w:val="00431672"/>
    <w:rsid w:val="00431A04"/>
    <w:rsid w:val="00431DEB"/>
    <w:rsid w:val="004346C6"/>
    <w:rsid w:val="004359DA"/>
    <w:rsid w:val="00436492"/>
    <w:rsid w:val="00437C9D"/>
    <w:rsid w:val="00440422"/>
    <w:rsid w:val="004431CF"/>
    <w:rsid w:val="00446D21"/>
    <w:rsid w:val="00451D7A"/>
    <w:rsid w:val="00452855"/>
    <w:rsid w:val="0045322C"/>
    <w:rsid w:val="00454373"/>
    <w:rsid w:val="004558D0"/>
    <w:rsid w:val="00460FE7"/>
    <w:rsid w:val="00461974"/>
    <w:rsid w:val="0046202F"/>
    <w:rsid w:val="004623CC"/>
    <w:rsid w:val="00473775"/>
    <w:rsid w:val="00473945"/>
    <w:rsid w:val="00474F63"/>
    <w:rsid w:val="0047509D"/>
    <w:rsid w:val="004771B1"/>
    <w:rsid w:val="004860D3"/>
    <w:rsid w:val="004909E2"/>
    <w:rsid w:val="0049119F"/>
    <w:rsid w:val="0049160F"/>
    <w:rsid w:val="00491BA7"/>
    <w:rsid w:val="00494612"/>
    <w:rsid w:val="004977A0"/>
    <w:rsid w:val="004A1AB3"/>
    <w:rsid w:val="004A3279"/>
    <w:rsid w:val="004A3C4E"/>
    <w:rsid w:val="004A421C"/>
    <w:rsid w:val="004A545D"/>
    <w:rsid w:val="004A7617"/>
    <w:rsid w:val="004B0838"/>
    <w:rsid w:val="004B1C54"/>
    <w:rsid w:val="004B5CEA"/>
    <w:rsid w:val="004B70C5"/>
    <w:rsid w:val="004C0EC3"/>
    <w:rsid w:val="004C1B7D"/>
    <w:rsid w:val="004C4F99"/>
    <w:rsid w:val="004D01C1"/>
    <w:rsid w:val="004D0398"/>
    <w:rsid w:val="004D174B"/>
    <w:rsid w:val="004D216C"/>
    <w:rsid w:val="004D36C5"/>
    <w:rsid w:val="004D39D6"/>
    <w:rsid w:val="004D7785"/>
    <w:rsid w:val="004D7E54"/>
    <w:rsid w:val="004E447B"/>
    <w:rsid w:val="004E5215"/>
    <w:rsid w:val="004E5656"/>
    <w:rsid w:val="004E5D41"/>
    <w:rsid w:val="004F3FBB"/>
    <w:rsid w:val="004F6F1F"/>
    <w:rsid w:val="004F7F08"/>
    <w:rsid w:val="00500ACC"/>
    <w:rsid w:val="00511F9D"/>
    <w:rsid w:val="005134A9"/>
    <w:rsid w:val="0051400D"/>
    <w:rsid w:val="005149CF"/>
    <w:rsid w:val="00520345"/>
    <w:rsid w:val="00521A09"/>
    <w:rsid w:val="005230AD"/>
    <w:rsid w:val="0052638C"/>
    <w:rsid w:val="00526E1E"/>
    <w:rsid w:val="005313D1"/>
    <w:rsid w:val="00532274"/>
    <w:rsid w:val="00534488"/>
    <w:rsid w:val="00535CA4"/>
    <w:rsid w:val="00535CB8"/>
    <w:rsid w:val="00536444"/>
    <w:rsid w:val="005409F2"/>
    <w:rsid w:val="00540C1A"/>
    <w:rsid w:val="005450A2"/>
    <w:rsid w:val="00546B19"/>
    <w:rsid w:val="00546DC9"/>
    <w:rsid w:val="00552C6A"/>
    <w:rsid w:val="005535EA"/>
    <w:rsid w:val="0055610F"/>
    <w:rsid w:val="00556938"/>
    <w:rsid w:val="0056126F"/>
    <w:rsid w:val="00561DEC"/>
    <w:rsid w:val="00562A03"/>
    <w:rsid w:val="00563133"/>
    <w:rsid w:val="00564567"/>
    <w:rsid w:val="00564D2A"/>
    <w:rsid w:val="00571827"/>
    <w:rsid w:val="00571FB2"/>
    <w:rsid w:val="0057212D"/>
    <w:rsid w:val="00572F02"/>
    <w:rsid w:val="00574B31"/>
    <w:rsid w:val="00580AB6"/>
    <w:rsid w:val="00581C90"/>
    <w:rsid w:val="00583752"/>
    <w:rsid w:val="005843D5"/>
    <w:rsid w:val="00584A51"/>
    <w:rsid w:val="005865EF"/>
    <w:rsid w:val="00590087"/>
    <w:rsid w:val="00590B88"/>
    <w:rsid w:val="00593AA0"/>
    <w:rsid w:val="00596731"/>
    <w:rsid w:val="005A0145"/>
    <w:rsid w:val="005A1500"/>
    <w:rsid w:val="005A4731"/>
    <w:rsid w:val="005A48CD"/>
    <w:rsid w:val="005A4911"/>
    <w:rsid w:val="005A5B33"/>
    <w:rsid w:val="005B013D"/>
    <w:rsid w:val="005B0155"/>
    <w:rsid w:val="005B0960"/>
    <w:rsid w:val="005B0B8B"/>
    <w:rsid w:val="005B2B9C"/>
    <w:rsid w:val="005B4A71"/>
    <w:rsid w:val="005C1F3F"/>
    <w:rsid w:val="005C21A0"/>
    <w:rsid w:val="005C34FB"/>
    <w:rsid w:val="005C4643"/>
    <w:rsid w:val="005C6F93"/>
    <w:rsid w:val="005C7EBA"/>
    <w:rsid w:val="005D0017"/>
    <w:rsid w:val="005D2869"/>
    <w:rsid w:val="005D4EE9"/>
    <w:rsid w:val="005D578C"/>
    <w:rsid w:val="005E0397"/>
    <w:rsid w:val="005E3510"/>
    <w:rsid w:val="005E35FC"/>
    <w:rsid w:val="005E44D3"/>
    <w:rsid w:val="005E61E6"/>
    <w:rsid w:val="005E7C62"/>
    <w:rsid w:val="005F0CE7"/>
    <w:rsid w:val="005F101C"/>
    <w:rsid w:val="005F20E0"/>
    <w:rsid w:val="005F2504"/>
    <w:rsid w:val="005F2906"/>
    <w:rsid w:val="0060125F"/>
    <w:rsid w:val="00601F42"/>
    <w:rsid w:val="006028C2"/>
    <w:rsid w:val="00603970"/>
    <w:rsid w:val="00604892"/>
    <w:rsid w:val="00605D89"/>
    <w:rsid w:val="00610371"/>
    <w:rsid w:val="006128FE"/>
    <w:rsid w:val="00615309"/>
    <w:rsid w:val="00617E3C"/>
    <w:rsid w:val="0062220B"/>
    <w:rsid w:val="006230CB"/>
    <w:rsid w:val="00623C28"/>
    <w:rsid w:val="00624271"/>
    <w:rsid w:val="00624F3D"/>
    <w:rsid w:val="00631C16"/>
    <w:rsid w:val="006322D9"/>
    <w:rsid w:val="00636B8A"/>
    <w:rsid w:val="0064335B"/>
    <w:rsid w:val="0064691D"/>
    <w:rsid w:val="006505AF"/>
    <w:rsid w:val="006515E9"/>
    <w:rsid w:val="00651877"/>
    <w:rsid w:val="00652C7B"/>
    <w:rsid w:val="006533F9"/>
    <w:rsid w:val="006538DB"/>
    <w:rsid w:val="00653917"/>
    <w:rsid w:val="00663A8D"/>
    <w:rsid w:val="00664300"/>
    <w:rsid w:val="00664C3C"/>
    <w:rsid w:val="00665099"/>
    <w:rsid w:val="00666870"/>
    <w:rsid w:val="00670CD5"/>
    <w:rsid w:val="00673773"/>
    <w:rsid w:val="00676126"/>
    <w:rsid w:val="0067660F"/>
    <w:rsid w:val="006802F7"/>
    <w:rsid w:val="00680489"/>
    <w:rsid w:val="00681009"/>
    <w:rsid w:val="00685D3C"/>
    <w:rsid w:val="0068634A"/>
    <w:rsid w:val="00686C90"/>
    <w:rsid w:val="00686D05"/>
    <w:rsid w:val="00686D14"/>
    <w:rsid w:val="00687419"/>
    <w:rsid w:val="00687501"/>
    <w:rsid w:val="00687F14"/>
    <w:rsid w:val="006918AD"/>
    <w:rsid w:val="00691904"/>
    <w:rsid w:val="0069235B"/>
    <w:rsid w:val="00692365"/>
    <w:rsid w:val="00692828"/>
    <w:rsid w:val="00692A10"/>
    <w:rsid w:val="006942B6"/>
    <w:rsid w:val="00695BBA"/>
    <w:rsid w:val="00696D97"/>
    <w:rsid w:val="00697C54"/>
    <w:rsid w:val="006A0ED5"/>
    <w:rsid w:val="006A1345"/>
    <w:rsid w:val="006A1C9E"/>
    <w:rsid w:val="006A27A0"/>
    <w:rsid w:val="006A3451"/>
    <w:rsid w:val="006A615F"/>
    <w:rsid w:val="006A7094"/>
    <w:rsid w:val="006B2D7B"/>
    <w:rsid w:val="006B3278"/>
    <w:rsid w:val="006B4C3C"/>
    <w:rsid w:val="006B659D"/>
    <w:rsid w:val="006B7468"/>
    <w:rsid w:val="006B795B"/>
    <w:rsid w:val="006C0D19"/>
    <w:rsid w:val="006C3B51"/>
    <w:rsid w:val="006C3BD9"/>
    <w:rsid w:val="006C4642"/>
    <w:rsid w:val="006C5268"/>
    <w:rsid w:val="006C5F7B"/>
    <w:rsid w:val="006C7FFA"/>
    <w:rsid w:val="006D4BA2"/>
    <w:rsid w:val="006D604E"/>
    <w:rsid w:val="006D7209"/>
    <w:rsid w:val="006D73DF"/>
    <w:rsid w:val="006D7540"/>
    <w:rsid w:val="006E21AE"/>
    <w:rsid w:val="006E2AAF"/>
    <w:rsid w:val="006E3758"/>
    <w:rsid w:val="006E4080"/>
    <w:rsid w:val="006E6C55"/>
    <w:rsid w:val="006E7428"/>
    <w:rsid w:val="006F0665"/>
    <w:rsid w:val="006F16CF"/>
    <w:rsid w:val="006F293D"/>
    <w:rsid w:val="006F3221"/>
    <w:rsid w:val="006F5592"/>
    <w:rsid w:val="006F6E23"/>
    <w:rsid w:val="0070157F"/>
    <w:rsid w:val="00701C0C"/>
    <w:rsid w:val="00703B5A"/>
    <w:rsid w:val="00705D07"/>
    <w:rsid w:val="007060EB"/>
    <w:rsid w:val="00707BA4"/>
    <w:rsid w:val="00707F00"/>
    <w:rsid w:val="007100A0"/>
    <w:rsid w:val="0071059B"/>
    <w:rsid w:val="0071081B"/>
    <w:rsid w:val="00710853"/>
    <w:rsid w:val="00711AB4"/>
    <w:rsid w:val="007122DA"/>
    <w:rsid w:val="00712310"/>
    <w:rsid w:val="00716A5D"/>
    <w:rsid w:val="00721925"/>
    <w:rsid w:val="00725B3D"/>
    <w:rsid w:val="00726749"/>
    <w:rsid w:val="00726EF6"/>
    <w:rsid w:val="00730880"/>
    <w:rsid w:val="007318F3"/>
    <w:rsid w:val="00731BC3"/>
    <w:rsid w:val="00732C80"/>
    <w:rsid w:val="00733A04"/>
    <w:rsid w:val="0073698C"/>
    <w:rsid w:val="007379AF"/>
    <w:rsid w:val="007439DE"/>
    <w:rsid w:val="00744A69"/>
    <w:rsid w:val="007509B5"/>
    <w:rsid w:val="00754B7B"/>
    <w:rsid w:val="00755F85"/>
    <w:rsid w:val="00757D81"/>
    <w:rsid w:val="00764AF5"/>
    <w:rsid w:val="007659D1"/>
    <w:rsid w:val="00766A64"/>
    <w:rsid w:val="007715BA"/>
    <w:rsid w:val="00771E1E"/>
    <w:rsid w:val="0077294F"/>
    <w:rsid w:val="00773D24"/>
    <w:rsid w:val="00773F16"/>
    <w:rsid w:val="00776284"/>
    <w:rsid w:val="007804E0"/>
    <w:rsid w:val="007805FA"/>
    <w:rsid w:val="00781864"/>
    <w:rsid w:val="00782273"/>
    <w:rsid w:val="007859A1"/>
    <w:rsid w:val="00785FDE"/>
    <w:rsid w:val="007872BB"/>
    <w:rsid w:val="00787DD5"/>
    <w:rsid w:val="0079767B"/>
    <w:rsid w:val="007A37A5"/>
    <w:rsid w:val="007A463F"/>
    <w:rsid w:val="007A55D4"/>
    <w:rsid w:val="007A7FD9"/>
    <w:rsid w:val="007B2D00"/>
    <w:rsid w:val="007B4BAB"/>
    <w:rsid w:val="007B5022"/>
    <w:rsid w:val="007C0645"/>
    <w:rsid w:val="007C0F1A"/>
    <w:rsid w:val="007C14F5"/>
    <w:rsid w:val="007C2CA1"/>
    <w:rsid w:val="007C3965"/>
    <w:rsid w:val="007D00D0"/>
    <w:rsid w:val="007D2681"/>
    <w:rsid w:val="007D2CA3"/>
    <w:rsid w:val="007D4CAE"/>
    <w:rsid w:val="007D5112"/>
    <w:rsid w:val="007D534E"/>
    <w:rsid w:val="007E0495"/>
    <w:rsid w:val="007E10B7"/>
    <w:rsid w:val="007E2C23"/>
    <w:rsid w:val="007E3581"/>
    <w:rsid w:val="007E4F50"/>
    <w:rsid w:val="007E6044"/>
    <w:rsid w:val="007E66C4"/>
    <w:rsid w:val="007E6A0A"/>
    <w:rsid w:val="007E7521"/>
    <w:rsid w:val="007F5329"/>
    <w:rsid w:val="007F692B"/>
    <w:rsid w:val="007F6CE2"/>
    <w:rsid w:val="007F7052"/>
    <w:rsid w:val="007F76E9"/>
    <w:rsid w:val="007F7A33"/>
    <w:rsid w:val="007F7B37"/>
    <w:rsid w:val="008050D5"/>
    <w:rsid w:val="0080563C"/>
    <w:rsid w:val="00805E89"/>
    <w:rsid w:val="008062BC"/>
    <w:rsid w:val="00806B1E"/>
    <w:rsid w:val="00813B7F"/>
    <w:rsid w:val="0081406E"/>
    <w:rsid w:val="00814D57"/>
    <w:rsid w:val="0081625E"/>
    <w:rsid w:val="00817774"/>
    <w:rsid w:val="00820E1D"/>
    <w:rsid w:val="00821251"/>
    <w:rsid w:val="00822133"/>
    <w:rsid w:val="00822212"/>
    <w:rsid w:val="00822582"/>
    <w:rsid w:val="00823334"/>
    <w:rsid w:val="00825570"/>
    <w:rsid w:val="00826635"/>
    <w:rsid w:val="0082752F"/>
    <w:rsid w:val="00832528"/>
    <w:rsid w:val="0083267B"/>
    <w:rsid w:val="008347FE"/>
    <w:rsid w:val="00834923"/>
    <w:rsid w:val="00835052"/>
    <w:rsid w:val="0083621A"/>
    <w:rsid w:val="00840918"/>
    <w:rsid w:val="00840FD4"/>
    <w:rsid w:val="00843A4D"/>
    <w:rsid w:val="00843B64"/>
    <w:rsid w:val="008459ED"/>
    <w:rsid w:val="00845FA2"/>
    <w:rsid w:val="00846986"/>
    <w:rsid w:val="008538E3"/>
    <w:rsid w:val="00853B56"/>
    <w:rsid w:val="0085513B"/>
    <w:rsid w:val="008554B4"/>
    <w:rsid w:val="00860860"/>
    <w:rsid w:val="00865093"/>
    <w:rsid w:val="00865A3E"/>
    <w:rsid w:val="00866C89"/>
    <w:rsid w:val="00867987"/>
    <w:rsid w:val="00867DAC"/>
    <w:rsid w:val="00867F62"/>
    <w:rsid w:val="0087319E"/>
    <w:rsid w:val="0087609F"/>
    <w:rsid w:val="00880004"/>
    <w:rsid w:val="008801D8"/>
    <w:rsid w:val="00880ADE"/>
    <w:rsid w:val="008811D2"/>
    <w:rsid w:val="00882758"/>
    <w:rsid w:val="00884602"/>
    <w:rsid w:val="008846A9"/>
    <w:rsid w:val="00891FB3"/>
    <w:rsid w:val="008921A8"/>
    <w:rsid w:val="00892883"/>
    <w:rsid w:val="008930A7"/>
    <w:rsid w:val="0089597A"/>
    <w:rsid w:val="00897E56"/>
    <w:rsid w:val="008A0580"/>
    <w:rsid w:val="008A1851"/>
    <w:rsid w:val="008A188B"/>
    <w:rsid w:val="008A24E3"/>
    <w:rsid w:val="008A2D8E"/>
    <w:rsid w:val="008A4168"/>
    <w:rsid w:val="008A6918"/>
    <w:rsid w:val="008A6978"/>
    <w:rsid w:val="008A6C42"/>
    <w:rsid w:val="008B1FD7"/>
    <w:rsid w:val="008B434B"/>
    <w:rsid w:val="008B4753"/>
    <w:rsid w:val="008B4A2B"/>
    <w:rsid w:val="008B555E"/>
    <w:rsid w:val="008B6FEB"/>
    <w:rsid w:val="008B7466"/>
    <w:rsid w:val="008C060D"/>
    <w:rsid w:val="008C0AC6"/>
    <w:rsid w:val="008C3197"/>
    <w:rsid w:val="008C3445"/>
    <w:rsid w:val="008C4F80"/>
    <w:rsid w:val="008C60DA"/>
    <w:rsid w:val="008C65A8"/>
    <w:rsid w:val="008C77D2"/>
    <w:rsid w:val="008D051F"/>
    <w:rsid w:val="008D43E0"/>
    <w:rsid w:val="008D7F5E"/>
    <w:rsid w:val="008E0ABA"/>
    <w:rsid w:val="008F045B"/>
    <w:rsid w:val="008F6344"/>
    <w:rsid w:val="008F6E3E"/>
    <w:rsid w:val="00902613"/>
    <w:rsid w:val="009028A9"/>
    <w:rsid w:val="00902D80"/>
    <w:rsid w:val="00902FF6"/>
    <w:rsid w:val="0090386E"/>
    <w:rsid w:val="00904F09"/>
    <w:rsid w:val="00905F6C"/>
    <w:rsid w:val="00906754"/>
    <w:rsid w:val="00907503"/>
    <w:rsid w:val="0091572D"/>
    <w:rsid w:val="00917D76"/>
    <w:rsid w:val="00920B23"/>
    <w:rsid w:val="0092130D"/>
    <w:rsid w:val="0092270D"/>
    <w:rsid w:val="00923DAD"/>
    <w:rsid w:val="00924792"/>
    <w:rsid w:val="00925751"/>
    <w:rsid w:val="009267BD"/>
    <w:rsid w:val="00926D62"/>
    <w:rsid w:val="0093168A"/>
    <w:rsid w:val="00934797"/>
    <w:rsid w:val="00934B76"/>
    <w:rsid w:val="0094015A"/>
    <w:rsid w:val="00940490"/>
    <w:rsid w:val="00941098"/>
    <w:rsid w:val="00941D21"/>
    <w:rsid w:val="00942B66"/>
    <w:rsid w:val="009439D1"/>
    <w:rsid w:val="00944842"/>
    <w:rsid w:val="00945AED"/>
    <w:rsid w:val="00945F6C"/>
    <w:rsid w:val="00955400"/>
    <w:rsid w:val="009557D5"/>
    <w:rsid w:val="00957994"/>
    <w:rsid w:val="00961115"/>
    <w:rsid w:val="00965071"/>
    <w:rsid w:val="0096595E"/>
    <w:rsid w:val="00965D11"/>
    <w:rsid w:val="009660CD"/>
    <w:rsid w:val="009669BD"/>
    <w:rsid w:val="00967C39"/>
    <w:rsid w:val="00972595"/>
    <w:rsid w:val="009727D6"/>
    <w:rsid w:val="009729A5"/>
    <w:rsid w:val="0097327D"/>
    <w:rsid w:val="00973B20"/>
    <w:rsid w:val="009804C9"/>
    <w:rsid w:val="009828D0"/>
    <w:rsid w:val="009848C1"/>
    <w:rsid w:val="0098549C"/>
    <w:rsid w:val="0098598C"/>
    <w:rsid w:val="0099551F"/>
    <w:rsid w:val="009959F2"/>
    <w:rsid w:val="0099736E"/>
    <w:rsid w:val="00997B3C"/>
    <w:rsid w:val="00997CD5"/>
    <w:rsid w:val="009A0DE3"/>
    <w:rsid w:val="009A36E1"/>
    <w:rsid w:val="009A4C6C"/>
    <w:rsid w:val="009A6006"/>
    <w:rsid w:val="009A640C"/>
    <w:rsid w:val="009A66B0"/>
    <w:rsid w:val="009A764F"/>
    <w:rsid w:val="009B398B"/>
    <w:rsid w:val="009B56F7"/>
    <w:rsid w:val="009B78CD"/>
    <w:rsid w:val="009C1B01"/>
    <w:rsid w:val="009C3E18"/>
    <w:rsid w:val="009C5492"/>
    <w:rsid w:val="009C6C42"/>
    <w:rsid w:val="009C6D64"/>
    <w:rsid w:val="009C7854"/>
    <w:rsid w:val="009D2FE4"/>
    <w:rsid w:val="009D3A80"/>
    <w:rsid w:val="009D6C41"/>
    <w:rsid w:val="009D6E1E"/>
    <w:rsid w:val="009D7EEA"/>
    <w:rsid w:val="009E2488"/>
    <w:rsid w:val="009E2986"/>
    <w:rsid w:val="009E3AC0"/>
    <w:rsid w:val="009E401A"/>
    <w:rsid w:val="009E4B6C"/>
    <w:rsid w:val="009E5E97"/>
    <w:rsid w:val="009E6D5E"/>
    <w:rsid w:val="009E709E"/>
    <w:rsid w:val="009E77CB"/>
    <w:rsid w:val="009F5073"/>
    <w:rsid w:val="009F60A8"/>
    <w:rsid w:val="009F6F18"/>
    <w:rsid w:val="00A012D9"/>
    <w:rsid w:val="00A050D4"/>
    <w:rsid w:val="00A07E62"/>
    <w:rsid w:val="00A11B14"/>
    <w:rsid w:val="00A11E43"/>
    <w:rsid w:val="00A126B1"/>
    <w:rsid w:val="00A13F49"/>
    <w:rsid w:val="00A17718"/>
    <w:rsid w:val="00A20AC4"/>
    <w:rsid w:val="00A20F7D"/>
    <w:rsid w:val="00A2103E"/>
    <w:rsid w:val="00A211B6"/>
    <w:rsid w:val="00A23F7D"/>
    <w:rsid w:val="00A24BC0"/>
    <w:rsid w:val="00A36AEE"/>
    <w:rsid w:val="00A37B2E"/>
    <w:rsid w:val="00A4064C"/>
    <w:rsid w:val="00A409E0"/>
    <w:rsid w:val="00A42345"/>
    <w:rsid w:val="00A42626"/>
    <w:rsid w:val="00A42E2C"/>
    <w:rsid w:val="00A436A3"/>
    <w:rsid w:val="00A43DF6"/>
    <w:rsid w:val="00A462DC"/>
    <w:rsid w:val="00A47D86"/>
    <w:rsid w:val="00A50041"/>
    <w:rsid w:val="00A52C3D"/>
    <w:rsid w:val="00A564BA"/>
    <w:rsid w:val="00A57BB7"/>
    <w:rsid w:val="00A60A03"/>
    <w:rsid w:val="00A61473"/>
    <w:rsid w:val="00A61CCE"/>
    <w:rsid w:val="00A638BC"/>
    <w:rsid w:val="00A643BA"/>
    <w:rsid w:val="00A65C88"/>
    <w:rsid w:val="00A66334"/>
    <w:rsid w:val="00A676DD"/>
    <w:rsid w:val="00A704B5"/>
    <w:rsid w:val="00A71B75"/>
    <w:rsid w:val="00A76572"/>
    <w:rsid w:val="00A804DB"/>
    <w:rsid w:val="00A80547"/>
    <w:rsid w:val="00A80ABB"/>
    <w:rsid w:val="00A83927"/>
    <w:rsid w:val="00A85B17"/>
    <w:rsid w:val="00A866E4"/>
    <w:rsid w:val="00A86CCE"/>
    <w:rsid w:val="00A86E9B"/>
    <w:rsid w:val="00A87983"/>
    <w:rsid w:val="00A937A2"/>
    <w:rsid w:val="00A94BF5"/>
    <w:rsid w:val="00A95497"/>
    <w:rsid w:val="00A95B6D"/>
    <w:rsid w:val="00A97DC3"/>
    <w:rsid w:val="00AA0D1A"/>
    <w:rsid w:val="00AA0D3E"/>
    <w:rsid w:val="00AA14F3"/>
    <w:rsid w:val="00AA156D"/>
    <w:rsid w:val="00AA171F"/>
    <w:rsid w:val="00AA3D14"/>
    <w:rsid w:val="00AA5068"/>
    <w:rsid w:val="00AA72C2"/>
    <w:rsid w:val="00AA72F6"/>
    <w:rsid w:val="00AA7313"/>
    <w:rsid w:val="00AB1089"/>
    <w:rsid w:val="00AB2631"/>
    <w:rsid w:val="00AB30D0"/>
    <w:rsid w:val="00AB70D0"/>
    <w:rsid w:val="00AC125F"/>
    <w:rsid w:val="00AC24A9"/>
    <w:rsid w:val="00AC329F"/>
    <w:rsid w:val="00AD212C"/>
    <w:rsid w:val="00AD3812"/>
    <w:rsid w:val="00AD39CB"/>
    <w:rsid w:val="00AD4D06"/>
    <w:rsid w:val="00AD4F53"/>
    <w:rsid w:val="00AD53D7"/>
    <w:rsid w:val="00AD6FC3"/>
    <w:rsid w:val="00AD70CF"/>
    <w:rsid w:val="00AE0733"/>
    <w:rsid w:val="00AE0ADD"/>
    <w:rsid w:val="00AE156B"/>
    <w:rsid w:val="00AE2F1A"/>
    <w:rsid w:val="00AE3A2A"/>
    <w:rsid w:val="00AE4A25"/>
    <w:rsid w:val="00AE528A"/>
    <w:rsid w:val="00AF185E"/>
    <w:rsid w:val="00AF2508"/>
    <w:rsid w:val="00AF2A08"/>
    <w:rsid w:val="00AF59B0"/>
    <w:rsid w:val="00AF6195"/>
    <w:rsid w:val="00AF7385"/>
    <w:rsid w:val="00B02A40"/>
    <w:rsid w:val="00B04155"/>
    <w:rsid w:val="00B06647"/>
    <w:rsid w:val="00B0733F"/>
    <w:rsid w:val="00B07B7B"/>
    <w:rsid w:val="00B11EB9"/>
    <w:rsid w:val="00B1245B"/>
    <w:rsid w:val="00B1257E"/>
    <w:rsid w:val="00B15D72"/>
    <w:rsid w:val="00B16215"/>
    <w:rsid w:val="00B164D0"/>
    <w:rsid w:val="00B177C3"/>
    <w:rsid w:val="00B20E68"/>
    <w:rsid w:val="00B3067D"/>
    <w:rsid w:val="00B34B07"/>
    <w:rsid w:val="00B400F9"/>
    <w:rsid w:val="00B40980"/>
    <w:rsid w:val="00B46206"/>
    <w:rsid w:val="00B473EB"/>
    <w:rsid w:val="00B50A8C"/>
    <w:rsid w:val="00B50BA4"/>
    <w:rsid w:val="00B522ED"/>
    <w:rsid w:val="00B5406E"/>
    <w:rsid w:val="00B56013"/>
    <w:rsid w:val="00B66F45"/>
    <w:rsid w:val="00B6727A"/>
    <w:rsid w:val="00B67C3A"/>
    <w:rsid w:val="00B67E11"/>
    <w:rsid w:val="00B7022F"/>
    <w:rsid w:val="00B711F3"/>
    <w:rsid w:val="00B712C6"/>
    <w:rsid w:val="00B7145B"/>
    <w:rsid w:val="00B718C9"/>
    <w:rsid w:val="00B721FD"/>
    <w:rsid w:val="00B72E68"/>
    <w:rsid w:val="00B738F4"/>
    <w:rsid w:val="00B75EA7"/>
    <w:rsid w:val="00B767BB"/>
    <w:rsid w:val="00B818D8"/>
    <w:rsid w:val="00B85B0B"/>
    <w:rsid w:val="00B86449"/>
    <w:rsid w:val="00B878E2"/>
    <w:rsid w:val="00B91DFE"/>
    <w:rsid w:val="00B92B48"/>
    <w:rsid w:val="00B92D98"/>
    <w:rsid w:val="00B93B31"/>
    <w:rsid w:val="00B94FC5"/>
    <w:rsid w:val="00BA01E5"/>
    <w:rsid w:val="00BA270E"/>
    <w:rsid w:val="00BA310C"/>
    <w:rsid w:val="00BA3C20"/>
    <w:rsid w:val="00BA49C8"/>
    <w:rsid w:val="00BA65A3"/>
    <w:rsid w:val="00BB240D"/>
    <w:rsid w:val="00BB297C"/>
    <w:rsid w:val="00BB2FAF"/>
    <w:rsid w:val="00BB3518"/>
    <w:rsid w:val="00BB46C0"/>
    <w:rsid w:val="00BB6A80"/>
    <w:rsid w:val="00BB7F74"/>
    <w:rsid w:val="00BC0E15"/>
    <w:rsid w:val="00BC113C"/>
    <w:rsid w:val="00BC17D5"/>
    <w:rsid w:val="00BC6B5A"/>
    <w:rsid w:val="00BD1986"/>
    <w:rsid w:val="00BD1C14"/>
    <w:rsid w:val="00BD2AAA"/>
    <w:rsid w:val="00BD4B43"/>
    <w:rsid w:val="00BD5866"/>
    <w:rsid w:val="00BD6936"/>
    <w:rsid w:val="00BE0353"/>
    <w:rsid w:val="00BE15E0"/>
    <w:rsid w:val="00BE18D5"/>
    <w:rsid w:val="00BE2DDB"/>
    <w:rsid w:val="00BE5232"/>
    <w:rsid w:val="00BE5DC1"/>
    <w:rsid w:val="00BE7F73"/>
    <w:rsid w:val="00BF16FA"/>
    <w:rsid w:val="00BF1FCC"/>
    <w:rsid w:val="00C02335"/>
    <w:rsid w:val="00C06993"/>
    <w:rsid w:val="00C076F8"/>
    <w:rsid w:val="00C10A46"/>
    <w:rsid w:val="00C10D5C"/>
    <w:rsid w:val="00C1230F"/>
    <w:rsid w:val="00C12A77"/>
    <w:rsid w:val="00C14C40"/>
    <w:rsid w:val="00C203DC"/>
    <w:rsid w:val="00C20864"/>
    <w:rsid w:val="00C21006"/>
    <w:rsid w:val="00C23488"/>
    <w:rsid w:val="00C23D09"/>
    <w:rsid w:val="00C24F0E"/>
    <w:rsid w:val="00C26A18"/>
    <w:rsid w:val="00C30DE7"/>
    <w:rsid w:val="00C31431"/>
    <w:rsid w:val="00C35C84"/>
    <w:rsid w:val="00C41261"/>
    <w:rsid w:val="00C4230D"/>
    <w:rsid w:val="00C45C7B"/>
    <w:rsid w:val="00C46BCF"/>
    <w:rsid w:val="00C516AD"/>
    <w:rsid w:val="00C51C18"/>
    <w:rsid w:val="00C525FD"/>
    <w:rsid w:val="00C5287C"/>
    <w:rsid w:val="00C5622F"/>
    <w:rsid w:val="00C6262B"/>
    <w:rsid w:val="00C64240"/>
    <w:rsid w:val="00C66B32"/>
    <w:rsid w:val="00C67824"/>
    <w:rsid w:val="00C70048"/>
    <w:rsid w:val="00C70D2F"/>
    <w:rsid w:val="00C72F6D"/>
    <w:rsid w:val="00C74A50"/>
    <w:rsid w:val="00C771DA"/>
    <w:rsid w:val="00C8115D"/>
    <w:rsid w:val="00C81BF0"/>
    <w:rsid w:val="00C830A8"/>
    <w:rsid w:val="00C84B31"/>
    <w:rsid w:val="00C85714"/>
    <w:rsid w:val="00C85EC2"/>
    <w:rsid w:val="00C872B0"/>
    <w:rsid w:val="00C93697"/>
    <w:rsid w:val="00C9433B"/>
    <w:rsid w:val="00CA091F"/>
    <w:rsid w:val="00CA25E8"/>
    <w:rsid w:val="00CA2D56"/>
    <w:rsid w:val="00CA38C1"/>
    <w:rsid w:val="00CA7318"/>
    <w:rsid w:val="00CA756B"/>
    <w:rsid w:val="00CB5F88"/>
    <w:rsid w:val="00CB6B68"/>
    <w:rsid w:val="00CC0141"/>
    <w:rsid w:val="00CC50BE"/>
    <w:rsid w:val="00CC6556"/>
    <w:rsid w:val="00CC7BE5"/>
    <w:rsid w:val="00CD0396"/>
    <w:rsid w:val="00CD0F6A"/>
    <w:rsid w:val="00CD3102"/>
    <w:rsid w:val="00CD58F2"/>
    <w:rsid w:val="00CD6F20"/>
    <w:rsid w:val="00CD74EB"/>
    <w:rsid w:val="00CD7926"/>
    <w:rsid w:val="00CD7FF0"/>
    <w:rsid w:val="00CE1A5B"/>
    <w:rsid w:val="00CE1A5D"/>
    <w:rsid w:val="00CE2717"/>
    <w:rsid w:val="00CE4B24"/>
    <w:rsid w:val="00CE4B95"/>
    <w:rsid w:val="00CF08D9"/>
    <w:rsid w:val="00CF0DE8"/>
    <w:rsid w:val="00CF2746"/>
    <w:rsid w:val="00CF3D6D"/>
    <w:rsid w:val="00CF4541"/>
    <w:rsid w:val="00CF77D5"/>
    <w:rsid w:val="00D006F9"/>
    <w:rsid w:val="00D04E0A"/>
    <w:rsid w:val="00D05924"/>
    <w:rsid w:val="00D07B72"/>
    <w:rsid w:val="00D10B99"/>
    <w:rsid w:val="00D10EB9"/>
    <w:rsid w:val="00D110A0"/>
    <w:rsid w:val="00D149CE"/>
    <w:rsid w:val="00D15920"/>
    <w:rsid w:val="00D15DBA"/>
    <w:rsid w:val="00D16DF0"/>
    <w:rsid w:val="00D20827"/>
    <w:rsid w:val="00D2090D"/>
    <w:rsid w:val="00D22436"/>
    <w:rsid w:val="00D24CD0"/>
    <w:rsid w:val="00D27120"/>
    <w:rsid w:val="00D323F7"/>
    <w:rsid w:val="00D375A9"/>
    <w:rsid w:val="00D41D6A"/>
    <w:rsid w:val="00D447A2"/>
    <w:rsid w:val="00D44E2A"/>
    <w:rsid w:val="00D5046D"/>
    <w:rsid w:val="00D5105C"/>
    <w:rsid w:val="00D51D48"/>
    <w:rsid w:val="00D52414"/>
    <w:rsid w:val="00D5344F"/>
    <w:rsid w:val="00D54F52"/>
    <w:rsid w:val="00D55301"/>
    <w:rsid w:val="00D61C5A"/>
    <w:rsid w:val="00D635C5"/>
    <w:rsid w:val="00D65B22"/>
    <w:rsid w:val="00D67961"/>
    <w:rsid w:val="00D70394"/>
    <w:rsid w:val="00D70EA3"/>
    <w:rsid w:val="00D73CAC"/>
    <w:rsid w:val="00D74363"/>
    <w:rsid w:val="00D74A31"/>
    <w:rsid w:val="00D74F5E"/>
    <w:rsid w:val="00D75A0C"/>
    <w:rsid w:val="00D75A95"/>
    <w:rsid w:val="00D77FE2"/>
    <w:rsid w:val="00D80D0C"/>
    <w:rsid w:val="00D817DD"/>
    <w:rsid w:val="00D82570"/>
    <w:rsid w:val="00D82E94"/>
    <w:rsid w:val="00D844EA"/>
    <w:rsid w:val="00D85136"/>
    <w:rsid w:val="00D859FA"/>
    <w:rsid w:val="00D92C3D"/>
    <w:rsid w:val="00D92CCA"/>
    <w:rsid w:val="00D92FF2"/>
    <w:rsid w:val="00D93BC0"/>
    <w:rsid w:val="00D93CA3"/>
    <w:rsid w:val="00D9445E"/>
    <w:rsid w:val="00D94630"/>
    <w:rsid w:val="00D97C73"/>
    <w:rsid w:val="00DA18D5"/>
    <w:rsid w:val="00DA1EB8"/>
    <w:rsid w:val="00DA257B"/>
    <w:rsid w:val="00DA5F6A"/>
    <w:rsid w:val="00DA72D7"/>
    <w:rsid w:val="00DB2177"/>
    <w:rsid w:val="00DB2F0D"/>
    <w:rsid w:val="00DB3472"/>
    <w:rsid w:val="00DB3748"/>
    <w:rsid w:val="00DB3D46"/>
    <w:rsid w:val="00DB3E1E"/>
    <w:rsid w:val="00DB4F8C"/>
    <w:rsid w:val="00DB54A8"/>
    <w:rsid w:val="00DB7732"/>
    <w:rsid w:val="00DB7A3C"/>
    <w:rsid w:val="00DB7BB5"/>
    <w:rsid w:val="00DC0D0D"/>
    <w:rsid w:val="00DC282B"/>
    <w:rsid w:val="00DC41C2"/>
    <w:rsid w:val="00DC7E7D"/>
    <w:rsid w:val="00DD0E6B"/>
    <w:rsid w:val="00DD15D7"/>
    <w:rsid w:val="00DD2A87"/>
    <w:rsid w:val="00DD4CF4"/>
    <w:rsid w:val="00DD51E1"/>
    <w:rsid w:val="00DE0BD3"/>
    <w:rsid w:val="00DE0CD3"/>
    <w:rsid w:val="00DE16E1"/>
    <w:rsid w:val="00DE50BA"/>
    <w:rsid w:val="00DF0055"/>
    <w:rsid w:val="00E01138"/>
    <w:rsid w:val="00E01C52"/>
    <w:rsid w:val="00E05206"/>
    <w:rsid w:val="00E057BD"/>
    <w:rsid w:val="00E07507"/>
    <w:rsid w:val="00E07D71"/>
    <w:rsid w:val="00E11C5B"/>
    <w:rsid w:val="00E159E8"/>
    <w:rsid w:val="00E16277"/>
    <w:rsid w:val="00E171ED"/>
    <w:rsid w:val="00E1759F"/>
    <w:rsid w:val="00E176C2"/>
    <w:rsid w:val="00E20245"/>
    <w:rsid w:val="00E21278"/>
    <w:rsid w:val="00E240E0"/>
    <w:rsid w:val="00E2503F"/>
    <w:rsid w:val="00E25F2E"/>
    <w:rsid w:val="00E26638"/>
    <w:rsid w:val="00E27410"/>
    <w:rsid w:val="00E27C5A"/>
    <w:rsid w:val="00E303A7"/>
    <w:rsid w:val="00E33E6D"/>
    <w:rsid w:val="00E41410"/>
    <w:rsid w:val="00E41525"/>
    <w:rsid w:val="00E417DF"/>
    <w:rsid w:val="00E444D4"/>
    <w:rsid w:val="00E44777"/>
    <w:rsid w:val="00E523C8"/>
    <w:rsid w:val="00E53359"/>
    <w:rsid w:val="00E5338D"/>
    <w:rsid w:val="00E55144"/>
    <w:rsid w:val="00E603C8"/>
    <w:rsid w:val="00E61634"/>
    <w:rsid w:val="00E623D4"/>
    <w:rsid w:val="00E623EB"/>
    <w:rsid w:val="00E62504"/>
    <w:rsid w:val="00E641A3"/>
    <w:rsid w:val="00E644AF"/>
    <w:rsid w:val="00E723FE"/>
    <w:rsid w:val="00E73A6A"/>
    <w:rsid w:val="00E73C02"/>
    <w:rsid w:val="00E75B18"/>
    <w:rsid w:val="00E766A4"/>
    <w:rsid w:val="00E8194F"/>
    <w:rsid w:val="00E81D22"/>
    <w:rsid w:val="00E821D9"/>
    <w:rsid w:val="00E8361E"/>
    <w:rsid w:val="00E849F5"/>
    <w:rsid w:val="00E9344E"/>
    <w:rsid w:val="00E96084"/>
    <w:rsid w:val="00E96252"/>
    <w:rsid w:val="00E972D6"/>
    <w:rsid w:val="00EA0D66"/>
    <w:rsid w:val="00EA1C22"/>
    <w:rsid w:val="00EA2D97"/>
    <w:rsid w:val="00EA2EB7"/>
    <w:rsid w:val="00EA4599"/>
    <w:rsid w:val="00EA519C"/>
    <w:rsid w:val="00EA5596"/>
    <w:rsid w:val="00EA5623"/>
    <w:rsid w:val="00EA56A8"/>
    <w:rsid w:val="00EA5A29"/>
    <w:rsid w:val="00EA6439"/>
    <w:rsid w:val="00EB14F2"/>
    <w:rsid w:val="00EB1AA6"/>
    <w:rsid w:val="00EB2911"/>
    <w:rsid w:val="00EB35D5"/>
    <w:rsid w:val="00EB3F59"/>
    <w:rsid w:val="00EB41AD"/>
    <w:rsid w:val="00EB4420"/>
    <w:rsid w:val="00EB5339"/>
    <w:rsid w:val="00EB6384"/>
    <w:rsid w:val="00EB6396"/>
    <w:rsid w:val="00EB6A6B"/>
    <w:rsid w:val="00EB744E"/>
    <w:rsid w:val="00EC13E3"/>
    <w:rsid w:val="00EC3A32"/>
    <w:rsid w:val="00EC4DD9"/>
    <w:rsid w:val="00EC712C"/>
    <w:rsid w:val="00ED05CD"/>
    <w:rsid w:val="00ED0840"/>
    <w:rsid w:val="00ED45AF"/>
    <w:rsid w:val="00ED5C49"/>
    <w:rsid w:val="00ED64C3"/>
    <w:rsid w:val="00ED69EF"/>
    <w:rsid w:val="00ED78BF"/>
    <w:rsid w:val="00EE2DDE"/>
    <w:rsid w:val="00EE32EE"/>
    <w:rsid w:val="00EE380A"/>
    <w:rsid w:val="00EE5B40"/>
    <w:rsid w:val="00EE5DBA"/>
    <w:rsid w:val="00EF053B"/>
    <w:rsid w:val="00EF0A12"/>
    <w:rsid w:val="00EF1243"/>
    <w:rsid w:val="00EF5B18"/>
    <w:rsid w:val="00F0174C"/>
    <w:rsid w:val="00F01E0E"/>
    <w:rsid w:val="00F0272D"/>
    <w:rsid w:val="00F04621"/>
    <w:rsid w:val="00F055FF"/>
    <w:rsid w:val="00F0596D"/>
    <w:rsid w:val="00F113FD"/>
    <w:rsid w:val="00F1284F"/>
    <w:rsid w:val="00F142B1"/>
    <w:rsid w:val="00F17C9F"/>
    <w:rsid w:val="00F20903"/>
    <w:rsid w:val="00F20BB7"/>
    <w:rsid w:val="00F219FA"/>
    <w:rsid w:val="00F242A5"/>
    <w:rsid w:val="00F24479"/>
    <w:rsid w:val="00F251F7"/>
    <w:rsid w:val="00F3028A"/>
    <w:rsid w:val="00F31232"/>
    <w:rsid w:val="00F3216F"/>
    <w:rsid w:val="00F326D0"/>
    <w:rsid w:val="00F32707"/>
    <w:rsid w:val="00F32746"/>
    <w:rsid w:val="00F32E74"/>
    <w:rsid w:val="00F34C55"/>
    <w:rsid w:val="00F35CF8"/>
    <w:rsid w:val="00F426EC"/>
    <w:rsid w:val="00F44668"/>
    <w:rsid w:val="00F45669"/>
    <w:rsid w:val="00F46007"/>
    <w:rsid w:val="00F473C7"/>
    <w:rsid w:val="00F519B7"/>
    <w:rsid w:val="00F51BD9"/>
    <w:rsid w:val="00F521A7"/>
    <w:rsid w:val="00F533F1"/>
    <w:rsid w:val="00F559D8"/>
    <w:rsid w:val="00F55AA5"/>
    <w:rsid w:val="00F56260"/>
    <w:rsid w:val="00F564D3"/>
    <w:rsid w:val="00F56F93"/>
    <w:rsid w:val="00F6042C"/>
    <w:rsid w:val="00F63FD9"/>
    <w:rsid w:val="00F70DC3"/>
    <w:rsid w:val="00F73C5B"/>
    <w:rsid w:val="00F75004"/>
    <w:rsid w:val="00F76DCD"/>
    <w:rsid w:val="00F818AA"/>
    <w:rsid w:val="00F820F8"/>
    <w:rsid w:val="00F8507B"/>
    <w:rsid w:val="00F86415"/>
    <w:rsid w:val="00F87827"/>
    <w:rsid w:val="00F90339"/>
    <w:rsid w:val="00F90558"/>
    <w:rsid w:val="00F90DCB"/>
    <w:rsid w:val="00F911A8"/>
    <w:rsid w:val="00F9244A"/>
    <w:rsid w:val="00F9249F"/>
    <w:rsid w:val="00F94561"/>
    <w:rsid w:val="00F94836"/>
    <w:rsid w:val="00F95B61"/>
    <w:rsid w:val="00F976FC"/>
    <w:rsid w:val="00F97CCB"/>
    <w:rsid w:val="00FA0239"/>
    <w:rsid w:val="00FA115E"/>
    <w:rsid w:val="00FA58FC"/>
    <w:rsid w:val="00FA63FA"/>
    <w:rsid w:val="00FB03E3"/>
    <w:rsid w:val="00FB219C"/>
    <w:rsid w:val="00FB4F5F"/>
    <w:rsid w:val="00FC00C6"/>
    <w:rsid w:val="00FC1FA2"/>
    <w:rsid w:val="00FC2489"/>
    <w:rsid w:val="00FC4D70"/>
    <w:rsid w:val="00FC57F5"/>
    <w:rsid w:val="00FC7469"/>
    <w:rsid w:val="00FD0BBE"/>
    <w:rsid w:val="00FD477B"/>
    <w:rsid w:val="00FD64FE"/>
    <w:rsid w:val="00FE3C9C"/>
    <w:rsid w:val="00FE64B3"/>
    <w:rsid w:val="00FF0FD6"/>
    <w:rsid w:val="00FF6E07"/>
    <w:rsid w:val="00FF7D0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A86B7"/>
  <w15:docId w15:val="{AD840011-7890-48A7-9DB8-7B18C104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748"/>
    <w:pPr>
      <w:spacing w:after="0" w:line="240" w:lineRule="auto"/>
    </w:pPr>
    <w:rPr>
      <w:rFonts w:ascii="Times New Roman" w:eastAsia="Times New Roman" w:hAnsi="Times New Roman" w:cs="Times New Roman"/>
      <w:sz w:val="24"/>
      <w:szCs w:val="24"/>
      <w:lang w:eastAsia="es-ES"/>
    </w:rPr>
  </w:style>
  <w:style w:type="paragraph" w:styleId="Ttulo1">
    <w:name w:val="heading 1"/>
    <w:basedOn w:val="Prrafodelista"/>
    <w:next w:val="Normal"/>
    <w:link w:val="Ttulo1Car"/>
    <w:uiPriority w:val="9"/>
    <w:qFormat/>
    <w:rsid w:val="005A4731"/>
    <w:pPr>
      <w:numPr>
        <w:numId w:val="2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276" w:lineRule="auto"/>
      <w:ind w:left="0" w:firstLine="0"/>
      <w:outlineLvl w:val="0"/>
    </w:pPr>
    <w:rPr>
      <w:rFonts w:ascii="Calibri" w:eastAsia="Calibri" w:hAnsi="Calibri" w:cs="Calibri"/>
      <w:b/>
      <w:sz w:val="32"/>
      <w:szCs w:val="32"/>
    </w:rPr>
  </w:style>
  <w:style w:type="paragraph" w:styleId="Ttulo2">
    <w:name w:val="heading 2"/>
    <w:basedOn w:val="Normal"/>
    <w:link w:val="Ttulo2Car"/>
    <w:uiPriority w:val="9"/>
    <w:qFormat/>
    <w:rsid w:val="000250E9"/>
    <w:pPr>
      <w:spacing w:before="100" w:beforeAutospacing="1" w:after="100" w:afterAutospacing="1"/>
      <w:outlineLvl w:val="1"/>
    </w:pPr>
    <w:rPr>
      <w:b/>
      <w:bCs/>
      <w:sz w:val="36"/>
      <w:szCs w:val="36"/>
      <w:lang w:val="es-MX" w:eastAsia="es-MX"/>
    </w:rPr>
  </w:style>
  <w:style w:type="paragraph" w:styleId="Ttulo3">
    <w:name w:val="heading 3"/>
    <w:basedOn w:val="Normal"/>
    <w:link w:val="Ttulo3Car"/>
    <w:uiPriority w:val="9"/>
    <w:qFormat/>
    <w:rsid w:val="000250E9"/>
    <w:pPr>
      <w:spacing w:before="100" w:beforeAutospacing="1" w:after="100" w:afterAutospacing="1"/>
      <w:outlineLvl w:val="2"/>
    </w:pPr>
    <w:rPr>
      <w:b/>
      <w:bCs/>
      <w:sz w:val="27"/>
      <w:szCs w:val="27"/>
      <w:lang w:val="es-MX" w:eastAsia="es-MX"/>
    </w:rPr>
  </w:style>
  <w:style w:type="paragraph" w:styleId="Ttulo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902"/>
    <w:pPr>
      <w:tabs>
        <w:tab w:val="center" w:pos="4419"/>
        <w:tab w:val="right" w:pos="8838"/>
      </w:tabs>
    </w:pPr>
  </w:style>
  <w:style w:type="character" w:customStyle="1" w:styleId="EncabezadoCar">
    <w:name w:val="Encabezado Car"/>
    <w:basedOn w:val="Fuentedeprrafopredeter"/>
    <w:link w:val="Encabezado"/>
    <w:uiPriority w:val="99"/>
    <w:rsid w:val="001A2902"/>
  </w:style>
  <w:style w:type="paragraph" w:styleId="Piedepgina">
    <w:name w:val="footer"/>
    <w:basedOn w:val="Normal"/>
    <w:link w:val="PiedepginaCar"/>
    <w:uiPriority w:val="99"/>
    <w:unhideWhenUsed/>
    <w:rsid w:val="001A2902"/>
    <w:pPr>
      <w:tabs>
        <w:tab w:val="center" w:pos="4419"/>
        <w:tab w:val="right" w:pos="8838"/>
      </w:tabs>
    </w:pPr>
  </w:style>
  <w:style w:type="character" w:customStyle="1" w:styleId="PiedepginaCar">
    <w:name w:val="Pie de página Car"/>
    <w:basedOn w:val="Fuentedeprrafopredeter"/>
    <w:link w:val="Piedepgina"/>
    <w:uiPriority w:val="99"/>
    <w:rsid w:val="001A2902"/>
  </w:style>
  <w:style w:type="paragraph" w:styleId="Textodeglobo">
    <w:name w:val="Balloon Text"/>
    <w:basedOn w:val="Normal"/>
    <w:link w:val="TextodegloboCar"/>
    <w:uiPriority w:val="99"/>
    <w:semiHidden/>
    <w:unhideWhenUsed/>
    <w:rsid w:val="001A2902"/>
    <w:rPr>
      <w:rFonts w:ascii="Tahoma" w:hAnsi="Tahoma" w:cs="Tahoma"/>
      <w:sz w:val="16"/>
      <w:szCs w:val="16"/>
    </w:rPr>
  </w:style>
  <w:style w:type="character" w:customStyle="1" w:styleId="TextodegloboCar">
    <w:name w:val="Texto de globo Car"/>
    <w:basedOn w:val="Fuentedeprrafopredeter"/>
    <w:link w:val="Textodeglobo"/>
    <w:uiPriority w:val="99"/>
    <w:semiHidden/>
    <w:rsid w:val="001A2902"/>
    <w:rPr>
      <w:rFonts w:ascii="Tahoma" w:hAnsi="Tahoma" w:cs="Tahoma"/>
      <w:sz w:val="16"/>
      <w:szCs w:val="16"/>
    </w:rPr>
  </w:style>
  <w:style w:type="paragraph" w:styleId="Textoindependiente2">
    <w:name w:val="Body Text 2"/>
    <w:basedOn w:val="Normal"/>
    <w:link w:val="Textoindependiente2Car"/>
    <w:rsid w:val="001A2902"/>
    <w:pPr>
      <w:spacing w:after="120" w:line="480" w:lineRule="auto"/>
    </w:pPr>
    <w:rPr>
      <w:lang w:val="x-none" w:eastAsia="x-none"/>
    </w:rPr>
  </w:style>
  <w:style w:type="character" w:customStyle="1" w:styleId="Textoindependiente2Car">
    <w:name w:val="Texto independiente 2 Car"/>
    <w:basedOn w:val="Fuentedeprrafopredeter"/>
    <w:link w:val="Textoindependiente2"/>
    <w:rsid w:val="001A2902"/>
    <w:rPr>
      <w:rFonts w:ascii="Times New Roman" w:eastAsia="Times New Roman" w:hAnsi="Times New Roman" w:cs="Times New Roman"/>
      <w:sz w:val="24"/>
      <w:szCs w:val="24"/>
      <w:lang w:val="x-none" w:eastAsia="x-none"/>
    </w:rPr>
  </w:style>
  <w:style w:type="paragraph" w:styleId="Prrafodelista">
    <w:name w:val="List Paragraph"/>
    <w:aliases w:val="Titulo 1,Footnote,List Paragraph1,NUMBERED PARAGRAPH,List Paragraph 1,References,ReferencesCxSpLast,lp1,Fundamentacion,NIVEL ONE,Párrafo de lista1,paul2,List Paragraph,Cita Pie de Página,titulo,SubPárrafo de lista,Cuadro 2-1,Listas,b1"/>
    <w:basedOn w:val="Normal"/>
    <w:link w:val="PrrafodelistaCar"/>
    <w:uiPriority w:val="34"/>
    <w:qFormat/>
    <w:rsid w:val="001A2902"/>
    <w:pPr>
      <w:ind w:left="708"/>
    </w:pPr>
  </w:style>
  <w:style w:type="character" w:customStyle="1" w:styleId="PrrafodelistaCar">
    <w:name w:val="Párrafo de lista Car"/>
    <w:aliases w:val="Titulo 1 Car,Footnote Car,List Paragraph1 Car,NUMBERED PARAGRAPH Car,List Paragraph 1 Car,References Car,ReferencesCxSpLast Car,lp1 Car,Fundamentacion Car,NIVEL ONE Car,Párrafo de lista1 Car,paul2 Car,List Paragraph Car,titulo Car"/>
    <w:link w:val="Prrafodelista"/>
    <w:uiPriority w:val="34"/>
    <w:qFormat/>
    <w:locked/>
    <w:rsid w:val="001A2902"/>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7A55D4"/>
    <w:pPr>
      <w:spacing w:before="100" w:beforeAutospacing="1" w:after="100" w:afterAutospacing="1"/>
    </w:pPr>
    <w:rPr>
      <w:lang w:val="es-MX" w:eastAsia="es-MX"/>
    </w:rPr>
  </w:style>
  <w:style w:type="character" w:customStyle="1" w:styleId="apple-converted-space">
    <w:name w:val="apple-converted-space"/>
    <w:basedOn w:val="Fuentedeprrafopredeter"/>
    <w:rsid w:val="007A55D4"/>
  </w:style>
  <w:style w:type="character" w:customStyle="1" w:styleId="object">
    <w:name w:val="object"/>
    <w:basedOn w:val="Fuentedeprrafopredeter"/>
    <w:rsid w:val="007A55D4"/>
  </w:style>
  <w:style w:type="character" w:styleId="Textoennegrita">
    <w:name w:val="Strong"/>
    <w:basedOn w:val="Fuentedeprrafopredeter"/>
    <w:uiPriority w:val="22"/>
    <w:qFormat/>
    <w:rsid w:val="007A55D4"/>
    <w:rPr>
      <w:b/>
      <w:bCs/>
    </w:rPr>
  </w:style>
  <w:style w:type="character" w:customStyle="1" w:styleId="Ttulo2Car">
    <w:name w:val="Título 2 Car"/>
    <w:basedOn w:val="Fuentedeprrafopredeter"/>
    <w:link w:val="Ttulo2"/>
    <w:uiPriority w:val="9"/>
    <w:rsid w:val="000250E9"/>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rsid w:val="000250E9"/>
    <w:rPr>
      <w:rFonts w:ascii="Times New Roman" w:eastAsia="Times New Roman" w:hAnsi="Times New Roman" w:cs="Times New Roman"/>
      <w:b/>
      <w:bCs/>
      <w:sz w:val="27"/>
      <w:szCs w:val="27"/>
      <w:lang w:val="es-MX" w:eastAsia="es-MX"/>
    </w:rPr>
  </w:style>
  <w:style w:type="character" w:styleId="Hipervnculo">
    <w:name w:val="Hyperlink"/>
    <w:basedOn w:val="Fuentedeprrafopredeter"/>
    <w:uiPriority w:val="99"/>
    <w:unhideWhenUsed/>
    <w:rsid w:val="000250E9"/>
    <w:rPr>
      <w:color w:val="0000FF"/>
      <w:u w:val="single"/>
    </w:rPr>
  </w:style>
  <w:style w:type="character" w:customStyle="1" w:styleId="rating">
    <w:name w:val="rating"/>
    <w:basedOn w:val="Fuentedeprrafopredeter"/>
    <w:rsid w:val="000250E9"/>
  </w:style>
  <w:style w:type="character" w:customStyle="1" w:styleId="votes">
    <w:name w:val="votes"/>
    <w:basedOn w:val="Fuentedeprrafopredeter"/>
    <w:rsid w:val="000250E9"/>
  </w:style>
  <w:style w:type="character" w:customStyle="1" w:styleId="nav-previous">
    <w:name w:val="nav-previous"/>
    <w:basedOn w:val="Fuentedeprrafopredeter"/>
    <w:rsid w:val="000250E9"/>
  </w:style>
  <w:style w:type="character" w:customStyle="1" w:styleId="meta-nav">
    <w:name w:val="meta-nav"/>
    <w:basedOn w:val="Fuentedeprrafopredeter"/>
    <w:rsid w:val="000250E9"/>
  </w:style>
  <w:style w:type="character" w:customStyle="1" w:styleId="nav-next">
    <w:name w:val="nav-next"/>
    <w:basedOn w:val="Fuentedeprrafopredeter"/>
    <w:rsid w:val="000250E9"/>
  </w:style>
  <w:style w:type="character" w:styleId="CitaHTML">
    <w:name w:val="HTML Cite"/>
    <w:basedOn w:val="Fuentedeprrafopredeter"/>
    <w:uiPriority w:val="99"/>
    <w:semiHidden/>
    <w:unhideWhenUsed/>
    <w:rsid w:val="000250E9"/>
    <w:rPr>
      <w:i/>
      <w:iCs/>
    </w:rPr>
  </w:style>
  <w:style w:type="paragraph" w:styleId="z-Principiodelformulario">
    <w:name w:val="HTML Top of Form"/>
    <w:basedOn w:val="Normal"/>
    <w:next w:val="Normal"/>
    <w:link w:val="z-PrincipiodelformularioCar"/>
    <w:hidden/>
    <w:uiPriority w:val="99"/>
    <w:semiHidden/>
    <w:unhideWhenUsed/>
    <w:rsid w:val="000250E9"/>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0250E9"/>
    <w:rPr>
      <w:rFonts w:ascii="Arial" w:eastAsia="Times New Roman" w:hAnsi="Arial" w:cs="Arial"/>
      <w:vanish/>
      <w:sz w:val="16"/>
      <w:szCs w:val="16"/>
      <w:lang w:val="es-MX" w:eastAsia="es-MX"/>
    </w:rPr>
  </w:style>
  <w:style w:type="paragraph" w:customStyle="1" w:styleId="comment-notes">
    <w:name w:val="comment-notes"/>
    <w:basedOn w:val="Normal"/>
    <w:rsid w:val="000250E9"/>
    <w:pPr>
      <w:spacing w:before="100" w:beforeAutospacing="1" w:after="100" w:afterAutospacing="1"/>
    </w:pPr>
    <w:rPr>
      <w:lang w:val="es-MX" w:eastAsia="es-MX"/>
    </w:rPr>
  </w:style>
  <w:style w:type="character" w:customStyle="1" w:styleId="required">
    <w:name w:val="required"/>
    <w:basedOn w:val="Fuentedeprrafopredeter"/>
    <w:rsid w:val="000250E9"/>
  </w:style>
  <w:style w:type="paragraph" w:customStyle="1" w:styleId="comment-form-comment">
    <w:name w:val="comment-form-comment"/>
    <w:basedOn w:val="Normal"/>
    <w:rsid w:val="000250E9"/>
    <w:pPr>
      <w:spacing w:before="100" w:beforeAutospacing="1" w:after="100" w:afterAutospacing="1"/>
    </w:pPr>
    <w:rPr>
      <w:lang w:val="es-MX" w:eastAsia="es-MX"/>
    </w:rPr>
  </w:style>
  <w:style w:type="paragraph" w:customStyle="1" w:styleId="comment-form-author">
    <w:name w:val="comment-form-author"/>
    <w:basedOn w:val="Normal"/>
    <w:rsid w:val="000250E9"/>
    <w:pPr>
      <w:spacing w:before="100" w:beforeAutospacing="1" w:after="100" w:afterAutospacing="1"/>
    </w:pPr>
    <w:rPr>
      <w:lang w:val="es-MX" w:eastAsia="es-MX"/>
    </w:rPr>
  </w:style>
  <w:style w:type="paragraph" w:customStyle="1" w:styleId="comment-form-email">
    <w:name w:val="comment-form-email"/>
    <w:basedOn w:val="Normal"/>
    <w:rsid w:val="000250E9"/>
    <w:pPr>
      <w:spacing w:before="100" w:beforeAutospacing="1" w:after="100" w:afterAutospacing="1"/>
    </w:pPr>
    <w:rPr>
      <w:lang w:val="es-MX" w:eastAsia="es-MX"/>
    </w:rPr>
  </w:style>
  <w:style w:type="paragraph" w:customStyle="1" w:styleId="comment-form-url">
    <w:name w:val="comment-form-url"/>
    <w:basedOn w:val="Normal"/>
    <w:rsid w:val="000250E9"/>
    <w:pPr>
      <w:spacing w:before="100" w:beforeAutospacing="1" w:after="100" w:afterAutospacing="1"/>
    </w:pPr>
    <w:rPr>
      <w:lang w:val="es-MX" w:eastAsia="es-MX"/>
    </w:rPr>
  </w:style>
  <w:style w:type="paragraph" w:customStyle="1" w:styleId="form-submit">
    <w:name w:val="form-submit"/>
    <w:basedOn w:val="Normal"/>
    <w:rsid w:val="000250E9"/>
    <w:pPr>
      <w:spacing w:before="100" w:beforeAutospacing="1" w:after="100" w:afterAutospacing="1"/>
    </w:pPr>
    <w:rPr>
      <w:lang w:val="es-MX" w:eastAsia="es-MX"/>
    </w:rPr>
  </w:style>
  <w:style w:type="paragraph" w:styleId="z-Finaldelformulario">
    <w:name w:val="HTML Bottom of Form"/>
    <w:basedOn w:val="Normal"/>
    <w:next w:val="Normal"/>
    <w:link w:val="z-FinaldelformularioCar"/>
    <w:hidden/>
    <w:uiPriority w:val="99"/>
    <w:semiHidden/>
    <w:unhideWhenUsed/>
    <w:rsid w:val="000250E9"/>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0250E9"/>
    <w:rPr>
      <w:rFonts w:ascii="Arial" w:eastAsia="Times New Roman" w:hAnsi="Arial" w:cs="Arial"/>
      <w:vanish/>
      <w:sz w:val="16"/>
      <w:szCs w:val="16"/>
      <w:lang w:val="es-MX" w:eastAsia="es-MX"/>
    </w:rPr>
  </w:style>
  <w:style w:type="paragraph" w:styleId="Revisin">
    <w:name w:val="Revision"/>
    <w:hidden/>
    <w:uiPriority w:val="99"/>
    <w:semiHidden/>
    <w:rsid w:val="00327721"/>
    <w:pPr>
      <w:spacing w:after="0" w:line="240" w:lineRule="auto"/>
    </w:pPr>
    <w:rPr>
      <w:rFonts w:ascii="Times New Roman" w:eastAsia="Times New Roman" w:hAnsi="Times New Roman" w:cs="Times New Roman"/>
      <w:sz w:val="24"/>
      <w:szCs w:val="24"/>
      <w:lang w:val="es-ES" w:eastAsia="es-ES"/>
    </w:rPr>
  </w:style>
  <w:style w:type="paragraph" w:styleId="Textonotapie">
    <w:name w:val="footnote text"/>
    <w:aliases w:val="Geneva 9,Font: Geneva 9,Boston 10,Fußnotentextr,single space,footnote text,fn,FOOTNOTES,Footnote Text Char Char Char Char Char Char,single space Char Char,single space Char,single space Char Car Car Car Car,single space Char Car Car Car"/>
    <w:basedOn w:val="Normal"/>
    <w:link w:val="TextonotapieCar"/>
    <w:uiPriority w:val="99"/>
    <w:rsid w:val="009E401A"/>
    <w:pPr>
      <w:suppressAutoHyphens/>
    </w:pPr>
    <w:rPr>
      <w:sz w:val="20"/>
      <w:szCs w:val="20"/>
      <w:lang w:eastAsia="ar-SA"/>
    </w:rPr>
  </w:style>
  <w:style w:type="character" w:customStyle="1" w:styleId="TextonotapieCar">
    <w:name w:val="Texto nota pie Car"/>
    <w:aliases w:val="Geneva 9 Car,Font: Geneva 9 Car,Boston 10 Car,Fußnotentextr Car,single space Car,footnote text Car,fn Car,FOOTNOTES Car,Footnote Text Char Char Char Char Char Char Car,single space Char Char Car,single space Char Car"/>
    <w:basedOn w:val="Fuentedeprrafopredeter"/>
    <w:link w:val="Textonotapie"/>
    <w:uiPriority w:val="99"/>
    <w:rsid w:val="009E401A"/>
    <w:rPr>
      <w:rFonts w:ascii="Times New Roman" w:eastAsia="Times New Roman" w:hAnsi="Times New Roman" w:cs="Times New Roman"/>
      <w:sz w:val="20"/>
      <w:szCs w:val="20"/>
      <w:lang w:val="es-ES" w:eastAsia="ar-SA"/>
    </w:rPr>
  </w:style>
  <w:style w:type="character" w:styleId="Refdenotaalpie">
    <w:name w:val="footnote reference"/>
    <w:aliases w:val="Footnote Reference.SES,16 Point,Superscript 6 Point"/>
    <w:uiPriority w:val="99"/>
    <w:rsid w:val="009E401A"/>
    <w:rPr>
      <w:rFonts w:cs="Times New Roman"/>
      <w:vertAlign w:val="superscript"/>
    </w:rPr>
  </w:style>
  <w:style w:type="character" w:styleId="Refdecomentario">
    <w:name w:val="annotation reference"/>
    <w:basedOn w:val="Fuentedeprrafopredeter"/>
    <w:uiPriority w:val="99"/>
    <w:semiHidden/>
    <w:unhideWhenUsed/>
    <w:rsid w:val="007122DA"/>
    <w:rPr>
      <w:sz w:val="16"/>
      <w:szCs w:val="16"/>
    </w:rPr>
  </w:style>
  <w:style w:type="paragraph" w:styleId="Textocomentario">
    <w:name w:val="annotation text"/>
    <w:basedOn w:val="Normal"/>
    <w:link w:val="TextocomentarioCar"/>
    <w:uiPriority w:val="99"/>
    <w:semiHidden/>
    <w:unhideWhenUsed/>
    <w:rsid w:val="007122DA"/>
    <w:rPr>
      <w:sz w:val="20"/>
      <w:szCs w:val="20"/>
    </w:rPr>
  </w:style>
  <w:style w:type="character" w:customStyle="1" w:styleId="TextocomentarioCar">
    <w:name w:val="Texto comentario Car"/>
    <w:basedOn w:val="Fuentedeprrafopredeter"/>
    <w:link w:val="Textocomentario"/>
    <w:uiPriority w:val="99"/>
    <w:semiHidden/>
    <w:rsid w:val="007122DA"/>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semiHidden/>
    <w:unhideWhenUsed/>
    <w:rsid w:val="0012344D"/>
    <w:pPr>
      <w:spacing w:after="120"/>
    </w:pPr>
  </w:style>
  <w:style w:type="character" w:customStyle="1" w:styleId="TextoindependienteCar">
    <w:name w:val="Texto independiente Car"/>
    <w:basedOn w:val="Fuentedeprrafopredeter"/>
    <w:link w:val="Textoindependiente"/>
    <w:uiPriority w:val="99"/>
    <w:semiHidden/>
    <w:rsid w:val="0012344D"/>
    <w:rPr>
      <w:rFonts w:ascii="Times New Roman" w:eastAsia="Times New Roman" w:hAnsi="Times New Roman" w:cs="Times New Roman"/>
      <w:sz w:val="24"/>
      <w:szCs w:val="24"/>
      <w:lang w:val="es-ES" w:eastAsia="es-ES"/>
    </w:rPr>
  </w:style>
  <w:style w:type="paragraph" w:styleId="Sinespaciado">
    <w:name w:val="No Spacing"/>
    <w:uiPriority w:val="1"/>
    <w:qFormat/>
    <w:rsid w:val="00D04E0A"/>
    <w:pPr>
      <w:spacing w:after="0" w:line="240" w:lineRule="auto"/>
    </w:pPr>
    <w:rPr>
      <w:lang w:val="es-MX"/>
    </w:rPr>
  </w:style>
  <w:style w:type="character" w:styleId="nfasis">
    <w:name w:val="Emphasis"/>
    <w:basedOn w:val="Fuentedeprrafopredeter"/>
    <w:uiPriority w:val="20"/>
    <w:qFormat/>
    <w:rsid w:val="00393AB3"/>
    <w:rPr>
      <w:i/>
      <w:iCs/>
    </w:rPr>
  </w:style>
  <w:style w:type="paragraph" w:customStyle="1" w:styleId="Textonotapie1">
    <w:name w:val="Texto nota pie1"/>
    <w:aliases w:val="Car2,Car Car Car,Car2 Car Car Car Car Car Car1,Car1 Car Car2,Car Car1,Car2 Car Car1,Car2 Car2,Car1 Car Car Car1,Car3 Car1,Car1 Car Car Car Car Car Car1,Car1 Car Car Car Car Car2,Car2 Car Car Car Car,Car Car4,Car,Car1,Car2 Car,C"/>
    <w:basedOn w:val="Normal"/>
    <w:rsid w:val="005C1F3F"/>
    <w:rPr>
      <w:sz w:val="20"/>
      <w:szCs w:val="20"/>
    </w:rPr>
  </w:style>
  <w:style w:type="table" w:styleId="Tablaconcuadrcula">
    <w:name w:val="Table Grid"/>
    <w:basedOn w:val="Tablanormal"/>
    <w:uiPriority w:val="39"/>
    <w:rsid w:val="00934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uentedeprrafopredeter"/>
    <w:link w:val="Textoindependiente20"/>
    <w:rsid w:val="00934797"/>
    <w:rPr>
      <w:rFonts w:ascii="Microsoft Sans Serif" w:eastAsia="Microsoft Sans Serif" w:hAnsi="Microsoft Sans Serif" w:cs="Microsoft Sans Serif"/>
      <w:sz w:val="20"/>
      <w:szCs w:val="20"/>
      <w:shd w:val="clear" w:color="auto" w:fill="FFFFFF"/>
    </w:rPr>
  </w:style>
  <w:style w:type="character" w:customStyle="1" w:styleId="BodytextSegoeUI">
    <w:name w:val="Body text + Segoe UI"/>
    <w:aliases w:val="8 pt,Bold,9 pt,8.5 pt,Italic,Spacing -1 pt"/>
    <w:basedOn w:val="Bodytext"/>
    <w:rsid w:val="00934797"/>
    <w:rPr>
      <w:rFonts w:ascii="Segoe UI" w:eastAsia="Segoe UI" w:hAnsi="Segoe UI" w:cs="Segoe UI"/>
      <w:b/>
      <w:bCs/>
      <w:color w:val="000000"/>
      <w:spacing w:val="0"/>
      <w:w w:val="100"/>
      <w:position w:val="0"/>
      <w:sz w:val="16"/>
      <w:szCs w:val="16"/>
      <w:shd w:val="clear" w:color="auto" w:fill="FFFFFF"/>
      <w:lang w:val="es-ES"/>
    </w:rPr>
  </w:style>
  <w:style w:type="paragraph" w:customStyle="1" w:styleId="Textoindependiente20">
    <w:name w:val="Texto independiente2"/>
    <w:basedOn w:val="Normal"/>
    <w:link w:val="Bodytext"/>
    <w:rsid w:val="00934797"/>
    <w:pPr>
      <w:widowControl w:val="0"/>
      <w:shd w:val="clear" w:color="auto" w:fill="FFFFFF"/>
      <w:spacing w:after="240" w:line="0" w:lineRule="atLeast"/>
      <w:jc w:val="right"/>
    </w:pPr>
    <w:rPr>
      <w:rFonts w:ascii="Microsoft Sans Serif" w:eastAsia="Microsoft Sans Serif" w:hAnsi="Microsoft Sans Serif" w:cs="Microsoft Sans Serif"/>
      <w:sz w:val="20"/>
      <w:szCs w:val="20"/>
      <w:lang w:eastAsia="en-US"/>
    </w:rPr>
  </w:style>
  <w:style w:type="paragraph" w:customStyle="1" w:styleId="yiv2667454538msolistparagraph">
    <w:name w:val="yiv2667454538msolistparagraph"/>
    <w:basedOn w:val="Normal"/>
    <w:rsid w:val="00897E56"/>
    <w:pPr>
      <w:spacing w:before="100" w:beforeAutospacing="1" w:after="100" w:afterAutospacing="1"/>
    </w:pPr>
    <w:rPr>
      <w:lang w:val="en-US" w:eastAsia="en-US"/>
    </w:rPr>
  </w:style>
  <w:style w:type="character" w:customStyle="1" w:styleId="Fecha1">
    <w:name w:val="Fecha1"/>
    <w:basedOn w:val="Fuentedeprrafopredeter"/>
    <w:rsid w:val="00E62504"/>
  </w:style>
  <w:style w:type="character" w:customStyle="1" w:styleId="f">
    <w:name w:val="f"/>
    <w:basedOn w:val="Fuentedeprrafopredeter"/>
    <w:rsid w:val="00E62504"/>
  </w:style>
  <w:style w:type="paragraph" w:customStyle="1" w:styleId="parrafo">
    <w:name w:val="parrafo"/>
    <w:basedOn w:val="Normal"/>
    <w:rsid w:val="0024301A"/>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5A4731"/>
    <w:rPr>
      <w:rFonts w:ascii="Calibri" w:eastAsia="Calibri" w:hAnsi="Calibri" w:cs="Calibri"/>
      <w:b/>
      <w:sz w:val="32"/>
      <w:szCs w:val="32"/>
      <w:shd w:val="clear" w:color="auto" w:fill="D9D9D9" w:themeFill="background1" w:themeFillShade="D9"/>
      <w:lang w:eastAsia="es-ES"/>
    </w:rPr>
  </w:style>
  <w:style w:type="character" w:customStyle="1" w:styleId="st1">
    <w:name w:val="st1"/>
    <w:rsid w:val="00733A04"/>
  </w:style>
  <w:style w:type="paragraph" w:customStyle="1" w:styleId="Textoindependiente31">
    <w:name w:val="Texto independiente 31"/>
    <w:basedOn w:val="Normal"/>
    <w:rsid w:val="00B56013"/>
    <w:pPr>
      <w:suppressAutoHyphens/>
      <w:jc w:val="both"/>
    </w:pPr>
    <w:rPr>
      <w:rFonts w:ascii="Arial" w:hAnsi="Arial"/>
      <w:sz w:val="22"/>
      <w:szCs w:val="20"/>
      <w:lang w:val="es-ES" w:eastAsia="ar-SA"/>
    </w:rPr>
  </w:style>
  <w:style w:type="paragraph" w:customStyle="1" w:styleId="ng-binding">
    <w:name w:val="ng-binding"/>
    <w:basedOn w:val="Normal"/>
    <w:rsid w:val="00F976FC"/>
    <w:pPr>
      <w:spacing w:before="100" w:beforeAutospacing="1" w:after="100" w:afterAutospacing="1"/>
    </w:pPr>
    <w:rPr>
      <w:lang w:eastAsia="es-PE"/>
    </w:rPr>
  </w:style>
  <w:style w:type="paragraph" w:customStyle="1" w:styleId="Puesto">
    <w:name w:val="Puesto"/>
    <w:basedOn w:val="Normal"/>
    <w:next w:val="Subttulo"/>
    <w:link w:val="TtuloCar"/>
    <w:qFormat/>
    <w:rsid w:val="00E523C8"/>
    <w:pPr>
      <w:suppressAutoHyphens/>
      <w:jc w:val="center"/>
    </w:pPr>
    <w:rPr>
      <w:rFonts w:ascii="Albertus Medium" w:eastAsia="MS Mincho" w:hAnsi="Albertus Medium" w:cs="Arial"/>
      <w:b/>
      <w:bCs/>
      <w:szCs w:val="20"/>
      <w:u w:val="single"/>
      <w:lang w:val="es-ES" w:eastAsia="ar-SA"/>
    </w:rPr>
  </w:style>
  <w:style w:type="character" w:customStyle="1" w:styleId="TtuloCar">
    <w:name w:val="Título Car"/>
    <w:link w:val="Puesto"/>
    <w:rsid w:val="00E523C8"/>
    <w:rPr>
      <w:rFonts w:ascii="Albertus Medium" w:eastAsia="MS Mincho" w:hAnsi="Albertus Medium" w:cs="Arial"/>
      <w:b/>
      <w:bCs/>
      <w:sz w:val="24"/>
      <w:szCs w:val="20"/>
      <w:u w:val="single"/>
      <w:lang w:val="es-ES" w:eastAsia="ar-SA"/>
    </w:rPr>
  </w:style>
  <w:style w:type="paragraph" w:styleId="Subttulo">
    <w:name w:val="Subtitle"/>
    <w:basedOn w:val="Normal"/>
    <w:next w:val="Normal"/>
    <w:link w:val="SubttuloCar"/>
    <w:uiPriority w:val="11"/>
    <w:qFormat/>
    <w:rsid w:val="00E523C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523C8"/>
    <w:rPr>
      <w:rFonts w:eastAsiaTheme="minorEastAsia"/>
      <w:color w:val="5A5A5A" w:themeColor="text1" w:themeTint="A5"/>
      <w:spacing w:val="15"/>
      <w:lang w:eastAsia="es-ES"/>
    </w:rPr>
  </w:style>
  <w:style w:type="character" w:styleId="Mencinsinresolver">
    <w:name w:val="Unresolved Mention"/>
    <w:basedOn w:val="Fuentedeprrafopredeter"/>
    <w:uiPriority w:val="99"/>
    <w:semiHidden/>
    <w:unhideWhenUsed/>
    <w:rsid w:val="00536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2349">
      <w:bodyDiv w:val="1"/>
      <w:marLeft w:val="0"/>
      <w:marRight w:val="0"/>
      <w:marTop w:val="0"/>
      <w:marBottom w:val="0"/>
      <w:divBdr>
        <w:top w:val="none" w:sz="0" w:space="0" w:color="auto"/>
        <w:left w:val="none" w:sz="0" w:space="0" w:color="auto"/>
        <w:bottom w:val="none" w:sz="0" w:space="0" w:color="auto"/>
        <w:right w:val="none" w:sz="0" w:space="0" w:color="auto"/>
      </w:divBdr>
    </w:div>
    <w:div w:id="60251628">
      <w:bodyDiv w:val="1"/>
      <w:marLeft w:val="0"/>
      <w:marRight w:val="0"/>
      <w:marTop w:val="0"/>
      <w:marBottom w:val="0"/>
      <w:divBdr>
        <w:top w:val="none" w:sz="0" w:space="0" w:color="auto"/>
        <w:left w:val="none" w:sz="0" w:space="0" w:color="auto"/>
        <w:bottom w:val="none" w:sz="0" w:space="0" w:color="auto"/>
        <w:right w:val="none" w:sz="0" w:space="0" w:color="auto"/>
      </w:divBdr>
    </w:div>
    <w:div w:id="76363742">
      <w:bodyDiv w:val="1"/>
      <w:marLeft w:val="0"/>
      <w:marRight w:val="0"/>
      <w:marTop w:val="0"/>
      <w:marBottom w:val="0"/>
      <w:divBdr>
        <w:top w:val="none" w:sz="0" w:space="0" w:color="auto"/>
        <w:left w:val="none" w:sz="0" w:space="0" w:color="auto"/>
        <w:bottom w:val="none" w:sz="0" w:space="0" w:color="auto"/>
        <w:right w:val="none" w:sz="0" w:space="0" w:color="auto"/>
      </w:divBdr>
    </w:div>
    <w:div w:id="94787382">
      <w:bodyDiv w:val="1"/>
      <w:marLeft w:val="0"/>
      <w:marRight w:val="0"/>
      <w:marTop w:val="0"/>
      <w:marBottom w:val="0"/>
      <w:divBdr>
        <w:top w:val="none" w:sz="0" w:space="0" w:color="auto"/>
        <w:left w:val="none" w:sz="0" w:space="0" w:color="auto"/>
        <w:bottom w:val="none" w:sz="0" w:space="0" w:color="auto"/>
        <w:right w:val="none" w:sz="0" w:space="0" w:color="auto"/>
      </w:divBdr>
    </w:div>
    <w:div w:id="95558561">
      <w:bodyDiv w:val="1"/>
      <w:marLeft w:val="0"/>
      <w:marRight w:val="0"/>
      <w:marTop w:val="0"/>
      <w:marBottom w:val="0"/>
      <w:divBdr>
        <w:top w:val="none" w:sz="0" w:space="0" w:color="auto"/>
        <w:left w:val="none" w:sz="0" w:space="0" w:color="auto"/>
        <w:bottom w:val="none" w:sz="0" w:space="0" w:color="auto"/>
        <w:right w:val="none" w:sz="0" w:space="0" w:color="auto"/>
      </w:divBdr>
    </w:div>
    <w:div w:id="131025117">
      <w:bodyDiv w:val="1"/>
      <w:marLeft w:val="0"/>
      <w:marRight w:val="0"/>
      <w:marTop w:val="0"/>
      <w:marBottom w:val="0"/>
      <w:divBdr>
        <w:top w:val="none" w:sz="0" w:space="0" w:color="auto"/>
        <w:left w:val="none" w:sz="0" w:space="0" w:color="auto"/>
        <w:bottom w:val="none" w:sz="0" w:space="0" w:color="auto"/>
        <w:right w:val="none" w:sz="0" w:space="0" w:color="auto"/>
      </w:divBdr>
    </w:div>
    <w:div w:id="144589214">
      <w:bodyDiv w:val="1"/>
      <w:marLeft w:val="0"/>
      <w:marRight w:val="0"/>
      <w:marTop w:val="0"/>
      <w:marBottom w:val="0"/>
      <w:divBdr>
        <w:top w:val="none" w:sz="0" w:space="0" w:color="auto"/>
        <w:left w:val="none" w:sz="0" w:space="0" w:color="auto"/>
        <w:bottom w:val="none" w:sz="0" w:space="0" w:color="auto"/>
        <w:right w:val="none" w:sz="0" w:space="0" w:color="auto"/>
      </w:divBdr>
    </w:div>
    <w:div w:id="158886297">
      <w:bodyDiv w:val="1"/>
      <w:marLeft w:val="0"/>
      <w:marRight w:val="0"/>
      <w:marTop w:val="0"/>
      <w:marBottom w:val="0"/>
      <w:divBdr>
        <w:top w:val="none" w:sz="0" w:space="0" w:color="auto"/>
        <w:left w:val="none" w:sz="0" w:space="0" w:color="auto"/>
        <w:bottom w:val="none" w:sz="0" w:space="0" w:color="auto"/>
        <w:right w:val="none" w:sz="0" w:space="0" w:color="auto"/>
      </w:divBdr>
    </w:div>
    <w:div w:id="160511206">
      <w:bodyDiv w:val="1"/>
      <w:marLeft w:val="0"/>
      <w:marRight w:val="0"/>
      <w:marTop w:val="0"/>
      <w:marBottom w:val="0"/>
      <w:divBdr>
        <w:top w:val="none" w:sz="0" w:space="0" w:color="auto"/>
        <w:left w:val="none" w:sz="0" w:space="0" w:color="auto"/>
        <w:bottom w:val="none" w:sz="0" w:space="0" w:color="auto"/>
        <w:right w:val="none" w:sz="0" w:space="0" w:color="auto"/>
      </w:divBdr>
    </w:div>
    <w:div w:id="191652233">
      <w:bodyDiv w:val="1"/>
      <w:marLeft w:val="0"/>
      <w:marRight w:val="0"/>
      <w:marTop w:val="0"/>
      <w:marBottom w:val="0"/>
      <w:divBdr>
        <w:top w:val="none" w:sz="0" w:space="0" w:color="auto"/>
        <w:left w:val="none" w:sz="0" w:space="0" w:color="auto"/>
        <w:bottom w:val="none" w:sz="0" w:space="0" w:color="auto"/>
        <w:right w:val="none" w:sz="0" w:space="0" w:color="auto"/>
      </w:divBdr>
    </w:div>
    <w:div w:id="195893561">
      <w:bodyDiv w:val="1"/>
      <w:marLeft w:val="0"/>
      <w:marRight w:val="0"/>
      <w:marTop w:val="0"/>
      <w:marBottom w:val="0"/>
      <w:divBdr>
        <w:top w:val="none" w:sz="0" w:space="0" w:color="auto"/>
        <w:left w:val="none" w:sz="0" w:space="0" w:color="auto"/>
        <w:bottom w:val="none" w:sz="0" w:space="0" w:color="auto"/>
        <w:right w:val="none" w:sz="0" w:space="0" w:color="auto"/>
      </w:divBdr>
    </w:div>
    <w:div w:id="212625159">
      <w:bodyDiv w:val="1"/>
      <w:marLeft w:val="0"/>
      <w:marRight w:val="0"/>
      <w:marTop w:val="0"/>
      <w:marBottom w:val="0"/>
      <w:divBdr>
        <w:top w:val="none" w:sz="0" w:space="0" w:color="auto"/>
        <w:left w:val="none" w:sz="0" w:space="0" w:color="auto"/>
        <w:bottom w:val="none" w:sz="0" w:space="0" w:color="auto"/>
        <w:right w:val="none" w:sz="0" w:space="0" w:color="auto"/>
      </w:divBdr>
    </w:div>
    <w:div w:id="221605231">
      <w:bodyDiv w:val="1"/>
      <w:marLeft w:val="0"/>
      <w:marRight w:val="0"/>
      <w:marTop w:val="0"/>
      <w:marBottom w:val="0"/>
      <w:divBdr>
        <w:top w:val="none" w:sz="0" w:space="0" w:color="auto"/>
        <w:left w:val="none" w:sz="0" w:space="0" w:color="auto"/>
        <w:bottom w:val="none" w:sz="0" w:space="0" w:color="auto"/>
        <w:right w:val="none" w:sz="0" w:space="0" w:color="auto"/>
      </w:divBdr>
    </w:div>
    <w:div w:id="261307211">
      <w:bodyDiv w:val="1"/>
      <w:marLeft w:val="0"/>
      <w:marRight w:val="0"/>
      <w:marTop w:val="0"/>
      <w:marBottom w:val="0"/>
      <w:divBdr>
        <w:top w:val="none" w:sz="0" w:space="0" w:color="auto"/>
        <w:left w:val="none" w:sz="0" w:space="0" w:color="auto"/>
        <w:bottom w:val="none" w:sz="0" w:space="0" w:color="auto"/>
        <w:right w:val="none" w:sz="0" w:space="0" w:color="auto"/>
      </w:divBdr>
    </w:div>
    <w:div w:id="262999138">
      <w:bodyDiv w:val="1"/>
      <w:marLeft w:val="0"/>
      <w:marRight w:val="0"/>
      <w:marTop w:val="0"/>
      <w:marBottom w:val="0"/>
      <w:divBdr>
        <w:top w:val="none" w:sz="0" w:space="0" w:color="auto"/>
        <w:left w:val="none" w:sz="0" w:space="0" w:color="auto"/>
        <w:bottom w:val="none" w:sz="0" w:space="0" w:color="auto"/>
        <w:right w:val="none" w:sz="0" w:space="0" w:color="auto"/>
      </w:divBdr>
    </w:div>
    <w:div w:id="263729276">
      <w:bodyDiv w:val="1"/>
      <w:marLeft w:val="0"/>
      <w:marRight w:val="0"/>
      <w:marTop w:val="0"/>
      <w:marBottom w:val="0"/>
      <w:divBdr>
        <w:top w:val="none" w:sz="0" w:space="0" w:color="auto"/>
        <w:left w:val="none" w:sz="0" w:space="0" w:color="auto"/>
        <w:bottom w:val="none" w:sz="0" w:space="0" w:color="auto"/>
        <w:right w:val="none" w:sz="0" w:space="0" w:color="auto"/>
      </w:divBdr>
    </w:div>
    <w:div w:id="293602045">
      <w:bodyDiv w:val="1"/>
      <w:marLeft w:val="0"/>
      <w:marRight w:val="0"/>
      <w:marTop w:val="0"/>
      <w:marBottom w:val="0"/>
      <w:divBdr>
        <w:top w:val="none" w:sz="0" w:space="0" w:color="auto"/>
        <w:left w:val="none" w:sz="0" w:space="0" w:color="auto"/>
        <w:bottom w:val="none" w:sz="0" w:space="0" w:color="auto"/>
        <w:right w:val="none" w:sz="0" w:space="0" w:color="auto"/>
      </w:divBdr>
    </w:div>
    <w:div w:id="299384569">
      <w:bodyDiv w:val="1"/>
      <w:marLeft w:val="0"/>
      <w:marRight w:val="0"/>
      <w:marTop w:val="0"/>
      <w:marBottom w:val="0"/>
      <w:divBdr>
        <w:top w:val="none" w:sz="0" w:space="0" w:color="auto"/>
        <w:left w:val="none" w:sz="0" w:space="0" w:color="auto"/>
        <w:bottom w:val="none" w:sz="0" w:space="0" w:color="auto"/>
        <w:right w:val="none" w:sz="0" w:space="0" w:color="auto"/>
      </w:divBdr>
    </w:div>
    <w:div w:id="338385373">
      <w:bodyDiv w:val="1"/>
      <w:marLeft w:val="0"/>
      <w:marRight w:val="0"/>
      <w:marTop w:val="0"/>
      <w:marBottom w:val="0"/>
      <w:divBdr>
        <w:top w:val="none" w:sz="0" w:space="0" w:color="auto"/>
        <w:left w:val="none" w:sz="0" w:space="0" w:color="auto"/>
        <w:bottom w:val="none" w:sz="0" w:space="0" w:color="auto"/>
        <w:right w:val="none" w:sz="0" w:space="0" w:color="auto"/>
      </w:divBdr>
      <w:divsChild>
        <w:div w:id="974914711">
          <w:marLeft w:val="0"/>
          <w:marRight w:val="0"/>
          <w:marTop w:val="0"/>
          <w:marBottom w:val="150"/>
          <w:divBdr>
            <w:top w:val="none" w:sz="0" w:space="0" w:color="auto"/>
            <w:left w:val="none" w:sz="0" w:space="0" w:color="auto"/>
            <w:bottom w:val="none" w:sz="0" w:space="0" w:color="auto"/>
            <w:right w:val="none" w:sz="0" w:space="0" w:color="auto"/>
          </w:divBdr>
        </w:div>
      </w:divsChild>
    </w:div>
    <w:div w:id="399714150">
      <w:bodyDiv w:val="1"/>
      <w:marLeft w:val="0"/>
      <w:marRight w:val="0"/>
      <w:marTop w:val="0"/>
      <w:marBottom w:val="0"/>
      <w:divBdr>
        <w:top w:val="none" w:sz="0" w:space="0" w:color="auto"/>
        <w:left w:val="none" w:sz="0" w:space="0" w:color="auto"/>
        <w:bottom w:val="none" w:sz="0" w:space="0" w:color="auto"/>
        <w:right w:val="none" w:sz="0" w:space="0" w:color="auto"/>
      </w:divBdr>
    </w:div>
    <w:div w:id="468745624">
      <w:bodyDiv w:val="1"/>
      <w:marLeft w:val="0"/>
      <w:marRight w:val="0"/>
      <w:marTop w:val="0"/>
      <w:marBottom w:val="0"/>
      <w:divBdr>
        <w:top w:val="none" w:sz="0" w:space="0" w:color="auto"/>
        <w:left w:val="none" w:sz="0" w:space="0" w:color="auto"/>
        <w:bottom w:val="none" w:sz="0" w:space="0" w:color="auto"/>
        <w:right w:val="none" w:sz="0" w:space="0" w:color="auto"/>
      </w:divBdr>
    </w:div>
    <w:div w:id="515389530">
      <w:bodyDiv w:val="1"/>
      <w:marLeft w:val="0"/>
      <w:marRight w:val="0"/>
      <w:marTop w:val="0"/>
      <w:marBottom w:val="0"/>
      <w:divBdr>
        <w:top w:val="none" w:sz="0" w:space="0" w:color="auto"/>
        <w:left w:val="none" w:sz="0" w:space="0" w:color="auto"/>
        <w:bottom w:val="none" w:sz="0" w:space="0" w:color="auto"/>
        <w:right w:val="none" w:sz="0" w:space="0" w:color="auto"/>
      </w:divBdr>
    </w:div>
    <w:div w:id="599916982">
      <w:bodyDiv w:val="1"/>
      <w:marLeft w:val="0"/>
      <w:marRight w:val="0"/>
      <w:marTop w:val="0"/>
      <w:marBottom w:val="0"/>
      <w:divBdr>
        <w:top w:val="none" w:sz="0" w:space="0" w:color="auto"/>
        <w:left w:val="none" w:sz="0" w:space="0" w:color="auto"/>
        <w:bottom w:val="none" w:sz="0" w:space="0" w:color="auto"/>
        <w:right w:val="none" w:sz="0" w:space="0" w:color="auto"/>
      </w:divBdr>
    </w:div>
    <w:div w:id="618609906">
      <w:bodyDiv w:val="1"/>
      <w:marLeft w:val="0"/>
      <w:marRight w:val="0"/>
      <w:marTop w:val="0"/>
      <w:marBottom w:val="0"/>
      <w:divBdr>
        <w:top w:val="none" w:sz="0" w:space="0" w:color="auto"/>
        <w:left w:val="none" w:sz="0" w:space="0" w:color="auto"/>
        <w:bottom w:val="none" w:sz="0" w:space="0" w:color="auto"/>
        <w:right w:val="none" w:sz="0" w:space="0" w:color="auto"/>
      </w:divBdr>
    </w:div>
    <w:div w:id="648486173">
      <w:bodyDiv w:val="1"/>
      <w:marLeft w:val="0"/>
      <w:marRight w:val="0"/>
      <w:marTop w:val="0"/>
      <w:marBottom w:val="0"/>
      <w:divBdr>
        <w:top w:val="none" w:sz="0" w:space="0" w:color="auto"/>
        <w:left w:val="none" w:sz="0" w:space="0" w:color="auto"/>
        <w:bottom w:val="none" w:sz="0" w:space="0" w:color="auto"/>
        <w:right w:val="none" w:sz="0" w:space="0" w:color="auto"/>
      </w:divBdr>
    </w:div>
    <w:div w:id="680161443">
      <w:bodyDiv w:val="1"/>
      <w:marLeft w:val="0"/>
      <w:marRight w:val="0"/>
      <w:marTop w:val="0"/>
      <w:marBottom w:val="0"/>
      <w:divBdr>
        <w:top w:val="none" w:sz="0" w:space="0" w:color="auto"/>
        <w:left w:val="none" w:sz="0" w:space="0" w:color="auto"/>
        <w:bottom w:val="none" w:sz="0" w:space="0" w:color="auto"/>
        <w:right w:val="none" w:sz="0" w:space="0" w:color="auto"/>
      </w:divBdr>
    </w:div>
    <w:div w:id="712576110">
      <w:bodyDiv w:val="1"/>
      <w:marLeft w:val="0"/>
      <w:marRight w:val="0"/>
      <w:marTop w:val="0"/>
      <w:marBottom w:val="0"/>
      <w:divBdr>
        <w:top w:val="none" w:sz="0" w:space="0" w:color="auto"/>
        <w:left w:val="none" w:sz="0" w:space="0" w:color="auto"/>
        <w:bottom w:val="none" w:sz="0" w:space="0" w:color="auto"/>
        <w:right w:val="none" w:sz="0" w:space="0" w:color="auto"/>
      </w:divBdr>
    </w:div>
    <w:div w:id="714625467">
      <w:bodyDiv w:val="1"/>
      <w:marLeft w:val="0"/>
      <w:marRight w:val="0"/>
      <w:marTop w:val="0"/>
      <w:marBottom w:val="0"/>
      <w:divBdr>
        <w:top w:val="none" w:sz="0" w:space="0" w:color="auto"/>
        <w:left w:val="none" w:sz="0" w:space="0" w:color="auto"/>
        <w:bottom w:val="none" w:sz="0" w:space="0" w:color="auto"/>
        <w:right w:val="none" w:sz="0" w:space="0" w:color="auto"/>
      </w:divBdr>
      <w:divsChild>
        <w:div w:id="1589803788">
          <w:marLeft w:val="0"/>
          <w:marRight w:val="0"/>
          <w:marTop w:val="0"/>
          <w:marBottom w:val="0"/>
          <w:divBdr>
            <w:top w:val="none" w:sz="0" w:space="0" w:color="auto"/>
            <w:left w:val="none" w:sz="0" w:space="0" w:color="auto"/>
            <w:bottom w:val="none" w:sz="0" w:space="0" w:color="auto"/>
            <w:right w:val="none" w:sz="0" w:space="0" w:color="auto"/>
          </w:divBdr>
        </w:div>
        <w:div w:id="1935673684">
          <w:marLeft w:val="0"/>
          <w:marRight w:val="0"/>
          <w:marTop w:val="0"/>
          <w:marBottom w:val="0"/>
          <w:divBdr>
            <w:top w:val="none" w:sz="0" w:space="0" w:color="auto"/>
            <w:left w:val="none" w:sz="0" w:space="0" w:color="auto"/>
            <w:bottom w:val="none" w:sz="0" w:space="0" w:color="auto"/>
            <w:right w:val="none" w:sz="0" w:space="0" w:color="auto"/>
          </w:divBdr>
        </w:div>
      </w:divsChild>
    </w:div>
    <w:div w:id="728310635">
      <w:bodyDiv w:val="1"/>
      <w:marLeft w:val="0"/>
      <w:marRight w:val="0"/>
      <w:marTop w:val="0"/>
      <w:marBottom w:val="0"/>
      <w:divBdr>
        <w:top w:val="none" w:sz="0" w:space="0" w:color="auto"/>
        <w:left w:val="none" w:sz="0" w:space="0" w:color="auto"/>
        <w:bottom w:val="none" w:sz="0" w:space="0" w:color="auto"/>
        <w:right w:val="none" w:sz="0" w:space="0" w:color="auto"/>
      </w:divBdr>
    </w:div>
    <w:div w:id="802118020">
      <w:bodyDiv w:val="1"/>
      <w:marLeft w:val="0"/>
      <w:marRight w:val="0"/>
      <w:marTop w:val="0"/>
      <w:marBottom w:val="0"/>
      <w:divBdr>
        <w:top w:val="none" w:sz="0" w:space="0" w:color="auto"/>
        <w:left w:val="none" w:sz="0" w:space="0" w:color="auto"/>
        <w:bottom w:val="none" w:sz="0" w:space="0" w:color="auto"/>
        <w:right w:val="none" w:sz="0" w:space="0" w:color="auto"/>
      </w:divBdr>
    </w:div>
    <w:div w:id="860777011">
      <w:bodyDiv w:val="1"/>
      <w:marLeft w:val="0"/>
      <w:marRight w:val="0"/>
      <w:marTop w:val="0"/>
      <w:marBottom w:val="0"/>
      <w:divBdr>
        <w:top w:val="none" w:sz="0" w:space="0" w:color="auto"/>
        <w:left w:val="none" w:sz="0" w:space="0" w:color="auto"/>
        <w:bottom w:val="none" w:sz="0" w:space="0" w:color="auto"/>
        <w:right w:val="none" w:sz="0" w:space="0" w:color="auto"/>
      </w:divBdr>
      <w:divsChild>
        <w:div w:id="99182581">
          <w:marLeft w:val="0"/>
          <w:marRight w:val="0"/>
          <w:marTop w:val="0"/>
          <w:marBottom w:val="0"/>
          <w:divBdr>
            <w:top w:val="none" w:sz="0" w:space="0" w:color="auto"/>
            <w:left w:val="none" w:sz="0" w:space="0" w:color="auto"/>
            <w:bottom w:val="none" w:sz="0" w:space="0" w:color="auto"/>
            <w:right w:val="none" w:sz="0" w:space="0" w:color="auto"/>
          </w:divBdr>
          <w:divsChild>
            <w:div w:id="1047753586">
              <w:marLeft w:val="0"/>
              <w:marRight w:val="0"/>
              <w:marTop w:val="0"/>
              <w:marBottom w:val="0"/>
              <w:divBdr>
                <w:top w:val="none" w:sz="0" w:space="0" w:color="auto"/>
                <w:left w:val="none" w:sz="0" w:space="0" w:color="auto"/>
                <w:bottom w:val="none" w:sz="0" w:space="0" w:color="auto"/>
                <w:right w:val="none" w:sz="0" w:space="0" w:color="auto"/>
              </w:divBdr>
              <w:divsChild>
                <w:div w:id="847671530">
                  <w:marLeft w:val="0"/>
                  <w:marRight w:val="0"/>
                  <w:marTop w:val="0"/>
                  <w:marBottom w:val="0"/>
                  <w:divBdr>
                    <w:top w:val="none" w:sz="0" w:space="0" w:color="auto"/>
                    <w:left w:val="none" w:sz="0" w:space="0" w:color="auto"/>
                    <w:bottom w:val="none" w:sz="0" w:space="0" w:color="auto"/>
                    <w:right w:val="none" w:sz="0" w:space="0" w:color="auto"/>
                  </w:divBdr>
                  <w:divsChild>
                    <w:div w:id="527722560">
                      <w:marLeft w:val="0"/>
                      <w:marRight w:val="0"/>
                      <w:marTop w:val="0"/>
                      <w:marBottom w:val="0"/>
                      <w:divBdr>
                        <w:top w:val="none" w:sz="0" w:space="0" w:color="auto"/>
                        <w:left w:val="none" w:sz="0" w:space="0" w:color="auto"/>
                        <w:bottom w:val="none" w:sz="0" w:space="0" w:color="auto"/>
                        <w:right w:val="none" w:sz="0" w:space="0" w:color="auto"/>
                      </w:divBdr>
                    </w:div>
                    <w:div w:id="942570045">
                      <w:marLeft w:val="0"/>
                      <w:marRight w:val="0"/>
                      <w:marTop w:val="0"/>
                      <w:marBottom w:val="0"/>
                      <w:divBdr>
                        <w:top w:val="none" w:sz="0" w:space="0" w:color="auto"/>
                        <w:left w:val="none" w:sz="0" w:space="0" w:color="auto"/>
                        <w:bottom w:val="none" w:sz="0" w:space="0" w:color="auto"/>
                        <w:right w:val="none" w:sz="0" w:space="0" w:color="auto"/>
                      </w:divBdr>
                      <w:divsChild>
                        <w:div w:id="19802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9700">
                  <w:marLeft w:val="0"/>
                  <w:marRight w:val="0"/>
                  <w:marTop w:val="0"/>
                  <w:marBottom w:val="0"/>
                  <w:divBdr>
                    <w:top w:val="none" w:sz="0" w:space="0" w:color="auto"/>
                    <w:left w:val="none" w:sz="0" w:space="0" w:color="auto"/>
                    <w:bottom w:val="none" w:sz="0" w:space="0" w:color="auto"/>
                    <w:right w:val="none" w:sz="0" w:space="0" w:color="auto"/>
                  </w:divBdr>
                  <w:divsChild>
                    <w:div w:id="37360670">
                      <w:marLeft w:val="0"/>
                      <w:marRight w:val="0"/>
                      <w:marTop w:val="0"/>
                      <w:marBottom w:val="0"/>
                      <w:divBdr>
                        <w:top w:val="none" w:sz="0" w:space="0" w:color="auto"/>
                        <w:left w:val="none" w:sz="0" w:space="0" w:color="auto"/>
                        <w:bottom w:val="none" w:sz="0" w:space="0" w:color="auto"/>
                        <w:right w:val="none" w:sz="0" w:space="0" w:color="auto"/>
                      </w:divBdr>
                    </w:div>
                    <w:div w:id="129983666">
                      <w:marLeft w:val="0"/>
                      <w:marRight w:val="0"/>
                      <w:marTop w:val="0"/>
                      <w:marBottom w:val="0"/>
                      <w:divBdr>
                        <w:top w:val="none" w:sz="0" w:space="0" w:color="auto"/>
                        <w:left w:val="none" w:sz="0" w:space="0" w:color="auto"/>
                        <w:bottom w:val="none" w:sz="0" w:space="0" w:color="auto"/>
                        <w:right w:val="none" w:sz="0" w:space="0" w:color="auto"/>
                      </w:divBdr>
                    </w:div>
                    <w:div w:id="424154555">
                      <w:marLeft w:val="0"/>
                      <w:marRight w:val="0"/>
                      <w:marTop w:val="0"/>
                      <w:marBottom w:val="0"/>
                      <w:divBdr>
                        <w:top w:val="none" w:sz="0" w:space="0" w:color="auto"/>
                        <w:left w:val="none" w:sz="0" w:space="0" w:color="auto"/>
                        <w:bottom w:val="none" w:sz="0" w:space="0" w:color="auto"/>
                        <w:right w:val="none" w:sz="0" w:space="0" w:color="auto"/>
                      </w:divBdr>
                    </w:div>
                    <w:div w:id="439882056">
                      <w:marLeft w:val="0"/>
                      <w:marRight w:val="0"/>
                      <w:marTop w:val="0"/>
                      <w:marBottom w:val="0"/>
                      <w:divBdr>
                        <w:top w:val="none" w:sz="0" w:space="0" w:color="auto"/>
                        <w:left w:val="none" w:sz="0" w:space="0" w:color="auto"/>
                        <w:bottom w:val="none" w:sz="0" w:space="0" w:color="auto"/>
                        <w:right w:val="none" w:sz="0" w:space="0" w:color="auto"/>
                      </w:divBdr>
                    </w:div>
                    <w:div w:id="601953773">
                      <w:marLeft w:val="0"/>
                      <w:marRight w:val="0"/>
                      <w:marTop w:val="0"/>
                      <w:marBottom w:val="0"/>
                      <w:divBdr>
                        <w:top w:val="none" w:sz="0" w:space="0" w:color="auto"/>
                        <w:left w:val="none" w:sz="0" w:space="0" w:color="auto"/>
                        <w:bottom w:val="none" w:sz="0" w:space="0" w:color="auto"/>
                        <w:right w:val="none" w:sz="0" w:space="0" w:color="auto"/>
                      </w:divBdr>
                      <w:divsChild>
                        <w:div w:id="1287082981">
                          <w:marLeft w:val="0"/>
                          <w:marRight w:val="0"/>
                          <w:marTop w:val="0"/>
                          <w:marBottom w:val="0"/>
                          <w:divBdr>
                            <w:top w:val="none" w:sz="0" w:space="0" w:color="auto"/>
                            <w:left w:val="none" w:sz="0" w:space="0" w:color="auto"/>
                            <w:bottom w:val="none" w:sz="0" w:space="0" w:color="auto"/>
                            <w:right w:val="none" w:sz="0" w:space="0" w:color="auto"/>
                          </w:divBdr>
                          <w:divsChild>
                            <w:div w:id="15675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44853">
                      <w:marLeft w:val="0"/>
                      <w:marRight w:val="0"/>
                      <w:marTop w:val="0"/>
                      <w:marBottom w:val="0"/>
                      <w:divBdr>
                        <w:top w:val="none" w:sz="0" w:space="0" w:color="auto"/>
                        <w:left w:val="none" w:sz="0" w:space="0" w:color="auto"/>
                        <w:bottom w:val="none" w:sz="0" w:space="0" w:color="auto"/>
                        <w:right w:val="none" w:sz="0" w:space="0" w:color="auto"/>
                      </w:divBdr>
                    </w:div>
                    <w:div w:id="805125071">
                      <w:marLeft w:val="0"/>
                      <w:marRight w:val="0"/>
                      <w:marTop w:val="0"/>
                      <w:marBottom w:val="0"/>
                      <w:divBdr>
                        <w:top w:val="none" w:sz="0" w:space="0" w:color="auto"/>
                        <w:left w:val="none" w:sz="0" w:space="0" w:color="auto"/>
                        <w:bottom w:val="none" w:sz="0" w:space="0" w:color="auto"/>
                        <w:right w:val="none" w:sz="0" w:space="0" w:color="auto"/>
                      </w:divBdr>
                    </w:div>
                    <w:div w:id="876505595">
                      <w:marLeft w:val="0"/>
                      <w:marRight w:val="0"/>
                      <w:marTop w:val="0"/>
                      <w:marBottom w:val="0"/>
                      <w:divBdr>
                        <w:top w:val="none" w:sz="0" w:space="0" w:color="auto"/>
                        <w:left w:val="none" w:sz="0" w:space="0" w:color="auto"/>
                        <w:bottom w:val="none" w:sz="0" w:space="0" w:color="auto"/>
                        <w:right w:val="none" w:sz="0" w:space="0" w:color="auto"/>
                      </w:divBdr>
                    </w:div>
                    <w:div w:id="1062367994">
                      <w:marLeft w:val="0"/>
                      <w:marRight w:val="0"/>
                      <w:marTop w:val="0"/>
                      <w:marBottom w:val="0"/>
                      <w:divBdr>
                        <w:top w:val="none" w:sz="0" w:space="0" w:color="auto"/>
                        <w:left w:val="none" w:sz="0" w:space="0" w:color="auto"/>
                        <w:bottom w:val="none" w:sz="0" w:space="0" w:color="auto"/>
                        <w:right w:val="none" w:sz="0" w:space="0" w:color="auto"/>
                      </w:divBdr>
                    </w:div>
                    <w:div w:id="1164856986">
                      <w:marLeft w:val="0"/>
                      <w:marRight w:val="0"/>
                      <w:marTop w:val="0"/>
                      <w:marBottom w:val="0"/>
                      <w:divBdr>
                        <w:top w:val="none" w:sz="0" w:space="0" w:color="auto"/>
                        <w:left w:val="none" w:sz="0" w:space="0" w:color="auto"/>
                        <w:bottom w:val="none" w:sz="0" w:space="0" w:color="auto"/>
                        <w:right w:val="none" w:sz="0" w:space="0" w:color="auto"/>
                      </w:divBdr>
                    </w:div>
                    <w:div w:id="1378776903">
                      <w:marLeft w:val="0"/>
                      <w:marRight w:val="0"/>
                      <w:marTop w:val="0"/>
                      <w:marBottom w:val="0"/>
                      <w:divBdr>
                        <w:top w:val="none" w:sz="0" w:space="0" w:color="auto"/>
                        <w:left w:val="none" w:sz="0" w:space="0" w:color="auto"/>
                        <w:bottom w:val="none" w:sz="0" w:space="0" w:color="auto"/>
                        <w:right w:val="none" w:sz="0" w:space="0" w:color="auto"/>
                      </w:divBdr>
                    </w:div>
                    <w:div w:id="1768039108">
                      <w:marLeft w:val="0"/>
                      <w:marRight w:val="0"/>
                      <w:marTop w:val="0"/>
                      <w:marBottom w:val="0"/>
                      <w:divBdr>
                        <w:top w:val="none" w:sz="0" w:space="0" w:color="auto"/>
                        <w:left w:val="none" w:sz="0" w:space="0" w:color="auto"/>
                        <w:bottom w:val="none" w:sz="0" w:space="0" w:color="auto"/>
                        <w:right w:val="none" w:sz="0" w:space="0" w:color="auto"/>
                      </w:divBdr>
                    </w:div>
                    <w:div w:id="19996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0692">
          <w:marLeft w:val="0"/>
          <w:marRight w:val="0"/>
          <w:marTop w:val="0"/>
          <w:marBottom w:val="0"/>
          <w:divBdr>
            <w:top w:val="none" w:sz="0" w:space="0" w:color="auto"/>
            <w:left w:val="none" w:sz="0" w:space="0" w:color="auto"/>
            <w:bottom w:val="none" w:sz="0" w:space="0" w:color="auto"/>
            <w:right w:val="none" w:sz="0" w:space="0" w:color="auto"/>
          </w:divBdr>
          <w:divsChild>
            <w:div w:id="14947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7230">
      <w:bodyDiv w:val="1"/>
      <w:marLeft w:val="0"/>
      <w:marRight w:val="0"/>
      <w:marTop w:val="0"/>
      <w:marBottom w:val="0"/>
      <w:divBdr>
        <w:top w:val="none" w:sz="0" w:space="0" w:color="auto"/>
        <w:left w:val="none" w:sz="0" w:space="0" w:color="auto"/>
        <w:bottom w:val="none" w:sz="0" w:space="0" w:color="auto"/>
        <w:right w:val="none" w:sz="0" w:space="0" w:color="auto"/>
      </w:divBdr>
    </w:div>
    <w:div w:id="906497000">
      <w:bodyDiv w:val="1"/>
      <w:marLeft w:val="0"/>
      <w:marRight w:val="0"/>
      <w:marTop w:val="0"/>
      <w:marBottom w:val="0"/>
      <w:divBdr>
        <w:top w:val="none" w:sz="0" w:space="0" w:color="auto"/>
        <w:left w:val="none" w:sz="0" w:space="0" w:color="auto"/>
        <w:bottom w:val="none" w:sz="0" w:space="0" w:color="auto"/>
        <w:right w:val="none" w:sz="0" w:space="0" w:color="auto"/>
      </w:divBdr>
    </w:div>
    <w:div w:id="1022362652">
      <w:bodyDiv w:val="1"/>
      <w:marLeft w:val="0"/>
      <w:marRight w:val="0"/>
      <w:marTop w:val="0"/>
      <w:marBottom w:val="0"/>
      <w:divBdr>
        <w:top w:val="none" w:sz="0" w:space="0" w:color="auto"/>
        <w:left w:val="none" w:sz="0" w:space="0" w:color="auto"/>
        <w:bottom w:val="none" w:sz="0" w:space="0" w:color="auto"/>
        <w:right w:val="none" w:sz="0" w:space="0" w:color="auto"/>
      </w:divBdr>
    </w:div>
    <w:div w:id="1027097266">
      <w:bodyDiv w:val="1"/>
      <w:marLeft w:val="0"/>
      <w:marRight w:val="0"/>
      <w:marTop w:val="0"/>
      <w:marBottom w:val="0"/>
      <w:divBdr>
        <w:top w:val="none" w:sz="0" w:space="0" w:color="auto"/>
        <w:left w:val="none" w:sz="0" w:space="0" w:color="auto"/>
        <w:bottom w:val="none" w:sz="0" w:space="0" w:color="auto"/>
        <w:right w:val="none" w:sz="0" w:space="0" w:color="auto"/>
      </w:divBdr>
    </w:div>
    <w:div w:id="1032730229">
      <w:bodyDiv w:val="1"/>
      <w:marLeft w:val="0"/>
      <w:marRight w:val="0"/>
      <w:marTop w:val="0"/>
      <w:marBottom w:val="0"/>
      <w:divBdr>
        <w:top w:val="none" w:sz="0" w:space="0" w:color="auto"/>
        <w:left w:val="none" w:sz="0" w:space="0" w:color="auto"/>
        <w:bottom w:val="none" w:sz="0" w:space="0" w:color="auto"/>
        <w:right w:val="none" w:sz="0" w:space="0" w:color="auto"/>
      </w:divBdr>
    </w:div>
    <w:div w:id="1052118009">
      <w:bodyDiv w:val="1"/>
      <w:marLeft w:val="0"/>
      <w:marRight w:val="0"/>
      <w:marTop w:val="0"/>
      <w:marBottom w:val="0"/>
      <w:divBdr>
        <w:top w:val="none" w:sz="0" w:space="0" w:color="auto"/>
        <w:left w:val="none" w:sz="0" w:space="0" w:color="auto"/>
        <w:bottom w:val="none" w:sz="0" w:space="0" w:color="auto"/>
        <w:right w:val="none" w:sz="0" w:space="0" w:color="auto"/>
      </w:divBdr>
    </w:div>
    <w:div w:id="1056273964">
      <w:bodyDiv w:val="1"/>
      <w:marLeft w:val="0"/>
      <w:marRight w:val="0"/>
      <w:marTop w:val="0"/>
      <w:marBottom w:val="0"/>
      <w:divBdr>
        <w:top w:val="none" w:sz="0" w:space="0" w:color="auto"/>
        <w:left w:val="none" w:sz="0" w:space="0" w:color="auto"/>
        <w:bottom w:val="none" w:sz="0" w:space="0" w:color="auto"/>
        <w:right w:val="none" w:sz="0" w:space="0" w:color="auto"/>
      </w:divBdr>
    </w:div>
    <w:div w:id="1104692128">
      <w:bodyDiv w:val="1"/>
      <w:marLeft w:val="0"/>
      <w:marRight w:val="0"/>
      <w:marTop w:val="0"/>
      <w:marBottom w:val="0"/>
      <w:divBdr>
        <w:top w:val="none" w:sz="0" w:space="0" w:color="auto"/>
        <w:left w:val="none" w:sz="0" w:space="0" w:color="auto"/>
        <w:bottom w:val="none" w:sz="0" w:space="0" w:color="auto"/>
        <w:right w:val="none" w:sz="0" w:space="0" w:color="auto"/>
      </w:divBdr>
    </w:div>
    <w:div w:id="1173835610">
      <w:bodyDiv w:val="1"/>
      <w:marLeft w:val="0"/>
      <w:marRight w:val="0"/>
      <w:marTop w:val="0"/>
      <w:marBottom w:val="0"/>
      <w:divBdr>
        <w:top w:val="none" w:sz="0" w:space="0" w:color="auto"/>
        <w:left w:val="none" w:sz="0" w:space="0" w:color="auto"/>
        <w:bottom w:val="none" w:sz="0" w:space="0" w:color="auto"/>
        <w:right w:val="none" w:sz="0" w:space="0" w:color="auto"/>
      </w:divBdr>
    </w:div>
    <w:div w:id="1183739933">
      <w:bodyDiv w:val="1"/>
      <w:marLeft w:val="0"/>
      <w:marRight w:val="0"/>
      <w:marTop w:val="0"/>
      <w:marBottom w:val="0"/>
      <w:divBdr>
        <w:top w:val="none" w:sz="0" w:space="0" w:color="auto"/>
        <w:left w:val="none" w:sz="0" w:space="0" w:color="auto"/>
        <w:bottom w:val="none" w:sz="0" w:space="0" w:color="auto"/>
        <w:right w:val="none" w:sz="0" w:space="0" w:color="auto"/>
      </w:divBdr>
    </w:div>
    <w:div w:id="1189179301">
      <w:bodyDiv w:val="1"/>
      <w:marLeft w:val="0"/>
      <w:marRight w:val="0"/>
      <w:marTop w:val="0"/>
      <w:marBottom w:val="0"/>
      <w:divBdr>
        <w:top w:val="none" w:sz="0" w:space="0" w:color="auto"/>
        <w:left w:val="none" w:sz="0" w:space="0" w:color="auto"/>
        <w:bottom w:val="none" w:sz="0" w:space="0" w:color="auto"/>
        <w:right w:val="none" w:sz="0" w:space="0" w:color="auto"/>
      </w:divBdr>
    </w:div>
    <w:div w:id="1291403113">
      <w:bodyDiv w:val="1"/>
      <w:marLeft w:val="0"/>
      <w:marRight w:val="0"/>
      <w:marTop w:val="0"/>
      <w:marBottom w:val="0"/>
      <w:divBdr>
        <w:top w:val="none" w:sz="0" w:space="0" w:color="auto"/>
        <w:left w:val="none" w:sz="0" w:space="0" w:color="auto"/>
        <w:bottom w:val="none" w:sz="0" w:space="0" w:color="auto"/>
        <w:right w:val="none" w:sz="0" w:space="0" w:color="auto"/>
      </w:divBdr>
    </w:div>
    <w:div w:id="1352027499">
      <w:bodyDiv w:val="1"/>
      <w:marLeft w:val="0"/>
      <w:marRight w:val="0"/>
      <w:marTop w:val="0"/>
      <w:marBottom w:val="0"/>
      <w:divBdr>
        <w:top w:val="none" w:sz="0" w:space="0" w:color="auto"/>
        <w:left w:val="none" w:sz="0" w:space="0" w:color="auto"/>
        <w:bottom w:val="none" w:sz="0" w:space="0" w:color="auto"/>
        <w:right w:val="none" w:sz="0" w:space="0" w:color="auto"/>
      </w:divBdr>
    </w:div>
    <w:div w:id="1439981836">
      <w:bodyDiv w:val="1"/>
      <w:marLeft w:val="0"/>
      <w:marRight w:val="0"/>
      <w:marTop w:val="0"/>
      <w:marBottom w:val="0"/>
      <w:divBdr>
        <w:top w:val="none" w:sz="0" w:space="0" w:color="auto"/>
        <w:left w:val="none" w:sz="0" w:space="0" w:color="auto"/>
        <w:bottom w:val="none" w:sz="0" w:space="0" w:color="auto"/>
        <w:right w:val="none" w:sz="0" w:space="0" w:color="auto"/>
      </w:divBdr>
    </w:div>
    <w:div w:id="1495295254">
      <w:bodyDiv w:val="1"/>
      <w:marLeft w:val="0"/>
      <w:marRight w:val="0"/>
      <w:marTop w:val="0"/>
      <w:marBottom w:val="0"/>
      <w:divBdr>
        <w:top w:val="none" w:sz="0" w:space="0" w:color="auto"/>
        <w:left w:val="none" w:sz="0" w:space="0" w:color="auto"/>
        <w:bottom w:val="none" w:sz="0" w:space="0" w:color="auto"/>
        <w:right w:val="none" w:sz="0" w:space="0" w:color="auto"/>
      </w:divBdr>
    </w:div>
    <w:div w:id="1498959284">
      <w:bodyDiv w:val="1"/>
      <w:marLeft w:val="0"/>
      <w:marRight w:val="0"/>
      <w:marTop w:val="0"/>
      <w:marBottom w:val="0"/>
      <w:divBdr>
        <w:top w:val="none" w:sz="0" w:space="0" w:color="auto"/>
        <w:left w:val="none" w:sz="0" w:space="0" w:color="auto"/>
        <w:bottom w:val="none" w:sz="0" w:space="0" w:color="auto"/>
        <w:right w:val="none" w:sz="0" w:space="0" w:color="auto"/>
      </w:divBdr>
    </w:div>
    <w:div w:id="1575122691">
      <w:bodyDiv w:val="1"/>
      <w:marLeft w:val="0"/>
      <w:marRight w:val="0"/>
      <w:marTop w:val="0"/>
      <w:marBottom w:val="0"/>
      <w:divBdr>
        <w:top w:val="none" w:sz="0" w:space="0" w:color="auto"/>
        <w:left w:val="none" w:sz="0" w:space="0" w:color="auto"/>
        <w:bottom w:val="none" w:sz="0" w:space="0" w:color="auto"/>
        <w:right w:val="none" w:sz="0" w:space="0" w:color="auto"/>
      </w:divBdr>
    </w:div>
    <w:div w:id="1580361443">
      <w:bodyDiv w:val="1"/>
      <w:marLeft w:val="0"/>
      <w:marRight w:val="0"/>
      <w:marTop w:val="0"/>
      <w:marBottom w:val="0"/>
      <w:divBdr>
        <w:top w:val="none" w:sz="0" w:space="0" w:color="auto"/>
        <w:left w:val="none" w:sz="0" w:space="0" w:color="auto"/>
        <w:bottom w:val="none" w:sz="0" w:space="0" w:color="auto"/>
        <w:right w:val="none" w:sz="0" w:space="0" w:color="auto"/>
      </w:divBdr>
    </w:div>
    <w:div w:id="1601526828">
      <w:bodyDiv w:val="1"/>
      <w:marLeft w:val="0"/>
      <w:marRight w:val="0"/>
      <w:marTop w:val="0"/>
      <w:marBottom w:val="0"/>
      <w:divBdr>
        <w:top w:val="none" w:sz="0" w:space="0" w:color="auto"/>
        <w:left w:val="none" w:sz="0" w:space="0" w:color="auto"/>
        <w:bottom w:val="none" w:sz="0" w:space="0" w:color="auto"/>
        <w:right w:val="none" w:sz="0" w:space="0" w:color="auto"/>
      </w:divBdr>
    </w:div>
    <w:div w:id="1621180758">
      <w:bodyDiv w:val="1"/>
      <w:marLeft w:val="0"/>
      <w:marRight w:val="0"/>
      <w:marTop w:val="0"/>
      <w:marBottom w:val="0"/>
      <w:divBdr>
        <w:top w:val="none" w:sz="0" w:space="0" w:color="auto"/>
        <w:left w:val="none" w:sz="0" w:space="0" w:color="auto"/>
        <w:bottom w:val="none" w:sz="0" w:space="0" w:color="auto"/>
        <w:right w:val="none" w:sz="0" w:space="0" w:color="auto"/>
      </w:divBdr>
    </w:div>
    <w:div w:id="1629779819">
      <w:bodyDiv w:val="1"/>
      <w:marLeft w:val="0"/>
      <w:marRight w:val="0"/>
      <w:marTop w:val="0"/>
      <w:marBottom w:val="0"/>
      <w:divBdr>
        <w:top w:val="none" w:sz="0" w:space="0" w:color="auto"/>
        <w:left w:val="none" w:sz="0" w:space="0" w:color="auto"/>
        <w:bottom w:val="none" w:sz="0" w:space="0" w:color="auto"/>
        <w:right w:val="none" w:sz="0" w:space="0" w:color="auto"/>
      </w:divBdr>
    </w:div>
    <w:div w:id="1705055208">
      <w:bodyDiv w:val="1"/>
      <w:marLeft w:val="0"/>
      <w:marRight w:val="0"/>
      <w:marTop w:val="0"/>
      <w:marBottom w:val="0"/>
      <w:divBdr>
        <w:top w:val="none" w:sz="0" w:space="0" w:color="auto"/>
        <w:left w:val="none" w:sz="0" w:space="0" w:color="auto"/>
        <w:bottom w:val="none" w:sz="0" w:space="0" w:color="auto"/>
        <w:right w:val="none" w:sz="0" w:space="0" w:color="auto"/>
      </w:divBdr>
    </w:div>
    <w:div w:id="1726291683">
      <w:bodyDiv w:val="1"/>
      <w:marLeft w:val="0"/>
      <w:marRight w:val="0"/>
      <w:marTop w:val="0"/>
      <w:marBottom w:val="0"/>
      <w:divBdr>
        <w:top w:val="none" w:sz="0" w:space="0" w:color="auto"/>
        <w:left w:val="none" w:sz="0" w:space="0" w:color="auto"/>
        <w:bottom w:val="none" w:sz="0" w:space="0" w:color="auto"/>
        <w:right w:val="none" w:sz="0" w:space="0" w:color="auto"/>
      </w:divBdr>
    </w:div>
    <w:div w:id="1759205483">
      <w:bodyDiv w:val="1"/>
      <w:marLeft w:val="0"/>
      <w:marRight w:val="0"/>
      <w:marTop w:val="0"/>
      <w:marBottom w:val="0"/>
      <w:divBdr>
        <w:top w:val="none" w:sz="0" w:space="0" w:color="auto"/>
        <w:left w:val="none" w:sz="0" w:space="0" w:color="auto"/>
        <w:bottom w:val="none" w:sz="0" w:space="0" w:color="auto"/>
        <w:right w:val="none" w:sz="0" w:space="0" w:color="auto"/>
      </w:divBdr>
    </w:div>
    <w:div w:id="1766876603">
      <w:bodyDiv w:val="1"/>
      <w:marLeft w:val="0"/>
      <w:marRight w:val="0"/>
      <w:marTop w:val="0"/>
      <w:marBottom w:val="0"/>
      <w:divBdr>
        <w:top w:val="none" w:sz="0" w:space="0" w:color="auto"/>
        <w:left w:val="none" w:sz="0" w:space="0" w:color="auto"/>
        <w:bottom w:val="none" w:sz="0" w:space="0" w:color="auto"/>
        <w:right w:val="none" w:sz="0" w:space="0" w:color="auto"/>
      </w:divBdr>
    </w:div>
    <w:div w:id="1786462432">
      <w:bodyDiv w:val="1"/>
      <w:marLeft w:val="0"/>
      <w:marRight w:val="0"/>
      <w:marTop w:val="0"/>
      <w:marBottom w:val="0"/>
      <w:divBdr>
        <w:top w:val="none" w:sz="0" w:space="0" w:color="auto"/>
        <w:left w:val="none" w:sz="0" w:space="0" w:color="auto"/>
        <w:bottom w:val="none" w:sz="0" w:space="0" w:color="auto"/>
        <w:right w:val="none" w:sz="0" w:space="0" w:color="auto"/>
      </w:divBdr>
    </w:div>
    <w:div w:id="1792281216">
      <w:bodyDiv w:val="1"/>
      <w:marLeft w:val="0"/>
      <w:marRight w:val="0"/>
      <w:marTop w:val="0"/>
      <w:marBottom w:val="0"/>
      <w:divBdr>
        <w:top w:val="none" w:sz="0" w:space="0" w:color="auto"/>
        <w:left w:val="none" w:sz="0" w:space="0" w:color="auto"/>
        <w:bottom w:val="none" w:sz="0" w:space="0" w:color="auto"/>
        <w:right w:val="none" w:sz="0" w:space="0" w:color="auto"/>
      </w:divBdr>
    </w:div>
    <w:div w:id="1836408970">
      <w:bodyDiv w:val="1"/>
      <w:marLeft w:val="0"/>
      <w:marRight w:val="0"/>
      <w:marTop w:val="0"/>
      <w:marBottom w:val="0"/>
      <w:divBdr>
        <w:top w:val="none" w:sz="0" w:space="0" w:color="auto"/>
        <w:left w:val="none" w:sz="0" w:space="0" w:color="auto"/>
        <w:bottom w:val="none" w:sz="0" w:space="0" w:color="auto"/>
        <w:right w:val="none" w:sz="0" w:space="0" w:color="auto"/>
      </w:divBdr>
    </w:div>
    <w:div w:id="1844468589">
      <w:bodyDiv w:val="1"/>
      <w:marLeft w:val="0"/>
      <w:marRight w:val="0"/>
      <w:marTop w:val="0"/>
      <w:marBottom w:val="0"/>
      <w:divBdr>
        <w:top w:val="none" w:sz="0" w:space="0" w:color="auto"/>
        <w:left w:val="none" w:sz="0" w:space="0" w:color="auto"/>
        <w:bottom w:val="none" w:sz="0" w:space="0" w:color="auto"/>
        <w:right w:val="none" w:sz="0" w:space="0" w:color="auto"/>
      </w:divBdr>
    </w:div>
    <w:div w:id="1882941562">
      <w:bodyDiv w:val="1"/>
      <w:marLeft w:val="0"/>
      <w:marRight w:val="0"/>
      <w:marTop w:val="0"/>
      <w:marBottom w:val="0"/>
      <w:divBdr>
        <w:top w:val="none" w:sz="0" w:space="0" w:color="auto"/>
        <w:left w:val="none" w:sz="0" w:space="0" w:color="auto"/>
        <w:bottom w:val="none" w:sz="0" w:space="0" w:color="auto"/>
        <w:right w:val="none" w:sz="0" w:space="0" w:color="auto"/>
      </w:divBdr>
    </w:div>
    <w:div w:id="1922134010">
      <w:bodyDiv w:val="1"/>
      <w:marLeft w:val="0"/>
      <w:marRight w:val="0"/>
      <w:marTop w:val="0"/>
      <w:marBottom w:val="0"/>
      <w:divBdr>
        <w:top w:val="none" w:sz="0" w:space="0" w:color="auto"/>
        <w:left w:val="none" w:sz="0" w:space="0" w:color="auto"/>
        <w:bottom w:val="none" w:sz="0" w:space="0" w:color="auto"/>
        <w:right w:val="none" w:sz="0" w:space="0" w:color="auto"/>
      </w:divBdr>
    </w:div>
    <w:div w:id="1945070984">
      <w:bodyDiv w:val="1"/>
      <w:marLeft w:val="0"/>
      <w:marRight w:val="0"/>
      <w:marTop w:val="0"/>
      <w:marBottom w:val="0"/>
      <w:divBdr>
        <w:top w:val="none" w:sz="0" w:space="0" w:color="auto"/>
        <w:left w:val="none" w:sz="0" w:space="0" w:color="auto"/>
        <w:bottom w:val="none" w:sz="0" w:space="0" w:color="auto"/>
        <w:right w:val="none" w:sz="0" w:space="0" w:color="auto"/>
      </w:divBdr>
    </w:div>
    <w:div w:id="1961764033">
      <w:bodyDiv w:val="1"/>
      <w:marLeft w:val="0"/>
      <w:marRight w:val="0"/>
      <w:marTop w:val="0"/>
      <w:marBottom w:val="0"/>
      <w:divBdr>
        <w:top w:val="none" w:sz="0" w:space="0" w:color="auto"/>
        <w:left w:val="none" w:sz="0" w:space="0" w:color="auto"/>
        <w:bottom w:val="none" w:sz="0" w:space="0" w:color="auto"/>
        <w:right w:val="none" w:sz="0" w:space="0" w:color="auto"/>
      </w:divBdr>
    </w:div>
    <w:div w:id="1987858140">
      <w:bodyDiv w:val="1"/>
      <w:marLeft w:val="0"/>
      <w:marRight w:val="0"/>
      <w:marTop w:val="0"/>
      <w:marBottom w:val="0"/>
      <w:divBdr>
        <w:top w:val="none" w:sz="0" w:space="0" w:color="auto"/>
        <w:left w:val="none" w:sz="0" w:space="0" w:color="auto"/>
        <w:bottom w:val="none" w:sz="0" w:space="0" w:color="auto"/>
        <w:right w:val="none" w:sz="0" w:space="0" w:color="auto"/>
      </w:divBdr>
    </w:div>
    <w:div w:id="2056003073">
      <w:bodyDiv w:val="1"/>
      <w:marLeft w:val="0"/>
      <w:marRight w:val="0"/>
      <w:marTop w:val="0"/>
      <w:marBottom w:val="0"/>
      <w:divBdr>
        <w:top w:val="none" w:sz="0" w:space="0" w:color="auto"/>
        <w:left w:val="none" w:sz="0" w:space="0" w:color="auto"/>
        <w:bottom w:val="none" w:sz="0" w:space="0" w:color="auto"/>
        <w:right w:val="none" w:sz="0" w:space="0" w:color="auto"/>
      </w:divBdr>
    </w:div>
    <w:div w:id="211401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chart" Target="charts/chart1.xml"/><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b.pe/institucion/conadis/informes-publicaciones/2053729-resumenes-ejecutivos-regionales-en-materia-de-discapacidad" TargetMode="External"/><Relationship Id="rId29" Type="http://schemas.openxmlformats.org/officeDocument/2006/relationships/image" Target="media/image21.jpeg"/><Relationship Id="rId11" Type="http://schemas.openxmlformats.org/officeDocument/2006/relationships/image" Target="media/image4.sv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chart" Target="charts/chart2.xm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hart" Target="charts/chart3.xml"/><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footer" Target="footer1.xml"/><Relationship Id="rId5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4.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haro\Downloads\Informes%20Anuales%202020_DPD%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9148148148147"/>
          <c:y val="0.14351851851851852"/>
          <c:w val="0.80043722222222224"/>
          <c:h val="0.490608778069408"/>
        </c:manualLayout>
      </c:layout>
      <c:barChart>
        <c:barDir val="col"/>
        <c:grouping val="clustered"/>
        <c:varyColors val="0"/>
        <c:ser>
          <c:idx val="0"/>
          <c:order val="0"/>
          <c:tx>
            <c:v>SIAF: 0.5% DEL PIM 2020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'Síntesis GORES'!$D$8:$D$19</c:f>
              <c:strCache>
                <c:ptCount val="7"/>
                <c:pt idx="0">
                  <c:v>Gobierno Regional La Libertad</c:v>
                </c:pt>
                <c:pt idx="1">
                  <c:v>Gobierno Regional de Cajamarca</c:v>
                </c:pt>
                <c:pt idx="2">
                  <c:v>Gobierno Regional de Pasco</c:v>
                </c:pt>
                <c:pt idx="3">
                  <c:v>Gobierno Regional de Junín</c:v>
                </c:pt>
                <c:pt idx="4">
                  <c:v>Gobierno Regional de Apurímac</c:v>
                </c:pt>
                <c:pt idx="5">
                  <c:v>Gobierno Regional de Ayacucho</c:v>
                </c:pt>
                <c:pt idx="6">
                  <c:v>Gobierno Regional del Callao</c:v>
                </c:pt>
              </c:strCache>
            </c:strRef>
          </c:cat>
          <c:val>
            <c:numRef>
              <c:f>'Síntesis GORES'!$G$8:$G$19</c:f>
              <c:numCache>
                <c:formatCode>_-* #,##0_-;\-* #,##0_-;_-* "-"??_-;_-@_-</c:formatCode>
                <c:ptCount val="7"/>
                <c:pt idx="0">
                  <c:v>12005792.515000001</c:v>
                </c:pt>
                <c:pt idx="1">
                  <c:v>13183507.98</c:v>
                </c:pt>
                <c:pt idx="2">
                  <c:v>3489857.0449999999</c:v>
                </c:pt>
                <c:pt idx="3">
                  <c:v>10953127.925000001</c:v>
                </c:pt>
                <c:pt idx="4">
                  <c:v>6068838.9249999998</c:v>
                </c:pt>
                <c:pt idx="5">
                  <c:v>9320204.5649999995</c:v>
                </c:pt>
                <c:pt idx="6">
                  <c:v>6633727.8700000001</c:v>
                </c:pt>
              </c:numCache>
            </c:numRef>
          </c:val>
          <c:extLst>
            <c:ext xmlns:c16="http://schemas.microsoft.com/office/drawing/2014/chart" uri="{C3380CC4-5D6E-409C-BE32-E72D297353CC}">
              <c16:uniqueId val="{00000000-F98C-4FD3-BF43-142D155A1BF6}"/>
            </c:ext>
          </c:extLst>
        </c:ser>
        <c:ser>
          <c:idx val="1"/>
          <c:order val="1"/>
          <c:tx>
            <c:v>Monto Ejecutado - Gastos operativos OREDIS</c:v>
          </c:tx>
          <c:spPr>
            <a:solidFill>
              <a:schemeClr val="accent3"/>
            </a:solidFill>
            <a:ln>
              <a:noFill/>
            </a:ln>
            <a:effectLst/>
          </c:spPr>
          <c:invertIfNegative val="0"/>
          <c:dLbls>
            <c:dLbl>
              <c:idx val="0"/>
              <c:layout>
                <c:manualLayout>
                  <c:x val="1.1948168362995532E-2"/>
                  <c:y val="1.3889065278130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8C-4FD3-BF43-142D155A1BF6}"/>
                </c:ext>
              </c:extLst>
            </c:dLbl>
            <c:dLbl>
              <c:idx val="1"/>
              <c:layout>
                <c:manualLayout>
                  <c:x val="7.05633305892033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8C-4FD3-BF43-142D155A1BF6}"/>
                </c:ext>
              </c:extLst>
            </c:dLbl>
            <c:dLbl>
              <c:idx val="2"/>
              <c:layout>
                <c:manualLayout>
                  <c:x val="9.4084440785605072E-3"/>
                  <c:y val="-1.0080645161290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8C-4FD3-BF43-142D155A1BF6}"/>
                </c:ext>
              </c:extLst>
            </c:dLbl>
            <c:dLbl>
              <c:idx val="3"/>
              <c:layout>
                <c:manualLayout>
                  <c:x val="1.269841269841269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8C-4FD3-BF43-142D155A1BF6}"/>
                </c:ext>
              </c:extLst>
            </c:dLbl>
            <c:dLbl>
              <c:idx val="4"/>
              <c:layout>
                <c:manualLayout>
                  <c:x val="1.777777777777768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8C-4FD3-BF43-142D155A1BF6}"/>
                </c:ext>
              </c:extLst>
            </c:dLbl>
            <c:dLbl>
              <c:idx val="5"/>
              <c:layout>
                <c:manualLayout>
                  <c:x val="1.01587301587301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8C-4FD3-BF43-142D155A1BF6}"/>
                </c:ext>
              </c:extLst>
            </c:dLbl>
            <c:dLbl>
              <c:idx val="6"/>
              <c:layout>
                <c:manualLayout>
                  <c:x val="2.2857142857142857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8C-4FD3-BF43-142D155A1BF6}"/>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'Síntesis GORES'!$D$8:$D$19</c:f>
              <c:strCache>
                <c:ptCount val="7"/>
                <c:pt idx="0">
                  <c:v>Gobierno Regional La Libertad</c:v>
                </c:pt>
                <c:pt idx="1">
                  <c:v>Gobierno Regional de Cajamarca</c:v>
                </c:pt>
                <c:pt idx="2">
                  <c:v>Gobierno Regional de Pasco</c:v>
                </c:pt>
                <c:pt idx="3">
                  <c:v>Gobierno Regional de Junín</c:v>
                </c:pt>
                <c:pt idx="4">
                  <c:v>Gobierno Regional de Apurímac</c:v>
                </c:pt>
                <c:pt idx="5">
                  <c:v>Gobierno Regional de Ayacucho</c:v>
                </c:pt>
                <c:pt idx="6">
                  <c:v>Gobierno Regional del Callao</c:v>
                </c:pt>
              </c:strCache>
            </c:strRef>
          </c:cat>
          <c:val>
            <c:numRef>
              <c:f>'Síntesis GORES'!$H$8:$H$19</c:f>
              <c:numCache>
                <c:formatCode>_-* #,##0_-;\-* #,##0_-;_-* "-"??_-;_-@_-</c:formatCode>
                <c:ptCount val="7"/>
                <c:pt idx="0">
                  <c:v>10029332.529999999</c:v>
                </c:pt>
                <c:pt idx="1">
                  <c:v>124777</c:v>
                </c:pt>
                <c:pt idx="2">
                  <c:v>199395</c:v>
                </c:pt>
                <c:pt idx="3">
                  <c:v>42222</c:v>
                </c:pt>
                <c:pt idx="4">
                  <c:v>5118523</c:v>
                </c:pt>
                <c:pt idx="5">
                  <c:v>99413</c:v>
                </c:pt>
                <c:pt idx="6">
                  <c:v>1188242</c:v>
                </c:pt>
              </c:numCache>
            </c:numRef>
          </c:val>
          <c:extLst>
            <c:ext xmlns:c16="http://schemas.microsoft.com/office/drawing/2014/chart" uri="{C3380CC4-5D6E-409C-BE32-E72D297353CC}">
              <c16:uniqueId val="{00000008-F98C-4FD3-BF43-142D155A1BF6}"/>
            </c:ext>
          </c:extLst>
        </c:ser>
        <c:dLbls>
          <c:showLegendKey val="0"/>
          <c:showVal val="0"/>
          <c:showCatName val="0"/>
          <c:showSerName val="0"/>
          <c:showPercent val="0"/>
          <c:showBubbleSize val="0"/>
        </c:dLbls>
        <c:gapWidth val="219"/>
        <c:overlap val="-27"/>
        <c:axId val="51654720"/>
        <c:axId val="51655552"/>
      </c:barChart>
      <c:scatterChart>
        <c:scatterStyle val="lineMarker"/>
        <c:varyColors val="0"/>
        <c:ser>
          <c:idx val="2"/>
          <c:order val="2"/>
          <c:tx>
            <c:v>Porcentaje Ejecutado sobre 0.5% del PIM</c:v>
          </c:tx>
          <c:spPr>
            <a:ln w="25400" cap="rnd">
              <a:noFill/>
              <a:round/>
            </a:ln>
            <a:effectLst/>
          </c:spPr>
          <c:marker>
            <c:symbol val="circle"/>
            <c:size val="5"/>
            <c:spPr>
              <a:solidFill>
                <a:srgbClr val="C00000"/>
              </a:solidFill>
              <a:ln w="9525">
                <a:solidFill>
                  <a:schemeClr val="accent3"/>
                </a:solidFill>
              </a:ln>
              <a:effectLst/>
            </c:spPr>
          </c:marker>
          <c:dLbls>
            <c:dLbl>
              <c:idx val="0"/>
              <c:layout>
                <c:manualLayout>
                  <c:x val="-3.6629580180982071E-2"/>
                  <c:y val="-0.187465368912219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8C-4FD3-BF43-142D155A1BF6}"/>
                </c:ext>
              </c:extLst>
            </c:dLbl>
            <c:dLbl>
              <c:idx val="1"/>
              <c:layout>
                <c:manualLayout>
                  <c:x val="-3.3009382880878207E-2"/>
                  <c:y val="-0.594872776319626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8C-4FD3-BF43-142D155A1BF6}"/>
                </c:ext>
              </c:extLst>
            </c:dLbl>
            <c:dLbl>
              <c:idx val="2"/>
              <c:layout>
                <c:manualLayout>
                  <c:x val="-3.0839081738614448E-2"/>
                  <c:y val="-0.571724628171478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8C-4FD3-BF43-142D155A1BF6}"/>
                </c:ext>
              </c:extLst>
            </c:dLbl>
            <c:dLbl>
              <c:idx val="3"/>
              <c:layout>
                <c:manualLayout>
                  <c:x val="-3.046979127609049E-2"/>
                  <c:y val="-0.599502405949256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8C-4FD3-BF43-142D155A1BF6}"/>
                </c:ext>
              </c:extLst>
            </c:dLbl>
            <c:dLbl>
              <c:idx val="4"/>
              <c:layout>
                <c:manualLayout>
                  <c:x val="-3.644488948227266E-2"/>
                  <c:y val="-0.187465368912219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8C-4FD3-BF43-142D155A1BF6}"/>
                </c:ext>
              </c:extLst>
            </c:dLbl>
            <c:dLbl>
              <c:idx val="5"/>
              <c:layout>
                <c:manualLayout>
                  <c:x val="-3.3009382880878381E-2"/>
                  <c:y val="-0.594872776319626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8C-4FD3-BF43-142D155A1BF6}"/>
                </c:ext>
              </c:extLst>
            </c:dLbl>
            <c:dLbl>
              <c:idx val="6"/>
              <c:layout>
                <c:manualLayout>
                  <c:x val="-3.898457202195537E-2"/>
                  <c:y val="-0.511539442986293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8C-4FD3-BF43-142D155A1B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alpha val="48000"/>
                        </a:schemeClr>
                      </a:solidFill>
                      <a:prstDash val="sysDot"/>
                      <a:round/>
                    </a:ln>
                    <a:effectLst/>
                  </c:spPr>
                </c15:leaderLines>
              </c:ext>
            </c:extLst>
          </c:dLbls>
          <c:xVal>
            <c:strRef>
              <c:f>'Síntesis GORES'!$D$8:$D$19</c:f>
              <c:strCache>
                <c:ptCount val="7"/>
                <c:pt idx="0">
                  <c:v>Gobierno Regional La Libertad</c:v>
                </c:pt>
                <c:pt idx="1">
                  <c:v>Gobierno Regional de Cajamarca</c:v>
                </c:pt>
                <c:pt idx="2">
                  <c:v>Gobierno Regional de Pasco</c:v>
                </c:pt>
                <c:pt idx="3">
                  <c:v>Gobierno Regional de Junín</c:v>
                </c:pt>
                <c:pt idx="4">
                  <c:v>Gobierno Regional de Apurímac</c:v>
                </c:pt>
                <c:pt idx="5">
                  <c:v>Gobierno Regional de Ayacucho</c:v>
                </c:pt>
                <c:pt idx="6">
                  <c:v>Gobierno Regional del Callao</c:v>
                </c:pt>
              </c:strCache>
            </c:strRef>
          </c:xVal>
          <c:yVal>
            <c:numRef>
              <c:f>'Síntesis GORES'!$I$8:$I$19</c:f>
              <c:numCache>
                <c:formatCode>0%</c:formatCode>
                <c:ptCount val="7"/>
                <c:pt idx="0">
                  <c:v>0.83537446757216416</c:v>
                </c:pt>
                <c:pt idx="1">
                  <c:v>9.4646280936221648E-3</c:v>
                </c:pt>
                <c:pt idx="2">
                  <c:v>5.7135578170939089E-2</c:v>
                </c:pt>
                <c:pt idx="3">
                  <c:v>3.8547892701618382E-3</c:v>
                </c:pt>
                <c:pt idx="4">
                  <c:v>0.84341058697648663</c:v>
                </c:pt>
                <c:pt idx="5">
                  <c:v>1.0666396784178311E-2</c:v>
                </c:pt>
                <c:pt idx="6">
                  <c:v>0.17912130604175658</c:v>
                </c:pt>
              </c:numCache>
            </c:numRef>
          </c:yVal>
          <c:smooth val="0"/>
          <c:extLst>
            <c:ext xmlns:c16="http://schemas.microsoft.com/office/drawing/2014/chart" uri="{C3380CC4-5D6E-409C-BE32-E72D297353CC}">
              <c16:uniqueId val="{00000010-F98C-4FD3-BF43-142D155A1BF6}"/>
            </c:ext>
          </c:extLst>
        </c:ser>
        <c:dLbls>
          <c:showLegendKey val="0"/>
          <c:showVal val="0"/>
          <c:showCatName val="0"/>
          <c:showSerName val="0"/>
          <c:showPercent val="0"/>
          <c:showBubbleSize val="0"/>
        </c:dLbls>
        <c:axId val="244896928"/>
        <c:axId val="244896512"/>
      </c:scatterChart>
      <c:catAx>
        <c:axId val="5165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crossAx val="51655552"/>
        <c:crosses val="autoZero"/>
        <c:auto val="1"/>
        <c:lblAlgn val="ctr"/>
        <c:lblOffset val="100"/>
        <c:noMultiLvlLbl val="0"/>
      </c:catAx>
      <c:valAx>
        <c:axId val="51655552"/>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s-PE"/>
          </a:p>
        </c:txPr>
        <c:crossAx val="51654720"/>
        <c:crosses val="autoZero"/>
        <c:crossBetween val="between"/>
      </c:valAx>
      <c:valAx>
        <c:axId val="244896512"/>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FF7D7D"/>
                </a:solidFill>
                <a:latin typeface="+mn-lt"/>
                <a:ea typeface="+mn-ea"/>
                <a:cs typeface="+mn-cs"/>
              </a:defRPr>
            </a:pPr>
            <a:endParaRPr lang="es-PE"/>
          </a:p>
        </c:txPr>
        <c:crossAx val="244896928"/>
        <c:crosses val="max"/>
        <c:crossBetween val="midCat"/>
        <c:majorUnit val="0.2"/>
      </c:valAx>
      <c:valAx>
        <c:axId val="244896928"/>
        <c:scaling>
          <c:orientation val="minMax"/>
        </c:scaling>
        <c:delete val="1"/>
        <c:axPos val="b"/>
        <c:numFmt formatCode="General" sourceLinked="1"/>
        <c:majorTickMark val="out"/>
        <c:minorTickMark val="none"/>
        <c:tickLblPos val="nextTo"/>
        <c:crossAx val="244896512"/>
        <c:crosses val="autoZero"/>
        <c:crossBetween val="midCat"/>
      </c:valAx>
      <c:spPr>
        <a:noFill/>
        <a:ln>
          <a:noFill/>
        </a:ln>
        <a:effectLst/>
      </c:spPr>
    </c:plotArea>
    <c:legend>
      <c:legendPos val="b"/>
      <c:layout>
        <c:manualLayout>
          <c:xMode val="edge"/>
          <c:yMode val="edge"/>
          <c:x val="8.6315000000000017E-2"/>
          <c:y val="0.85069335083114606"/>
          <c:w val="0.82266629629629628"/>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P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9148148148147"/>
          <c:y val="9.7222222222222224E-2"/>
          <c:w val="0.80043722222222224"/>
          <c:h val="0.54609507144940217"/>
        </c:manualLayout>
      </c:layout>
      <c:barChart>
        <c:barDir val="col"/>
        <c:grouping val="clustered"/>
        <c:varyColors val="0"/>
        <c:ser>
          <c:idx val="0"/>
          <c:order val="0"/>
          <c:tx>
            <c:v>SIAF: 0.5% del PIM 2020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'Síntesis GORES'!$D$8:$D$19</c:f>
              <c:strCache>
                <c:ptCount val="7"/>
                <c:pt idx="0">
                  <c:v>Gobierno Regional La Libertad</c:v>
                </c:pt>
                <c:pt idx="1">
                  <c:v>Gobierno Regional de Cajamarca</c:v>
                </c:pt>
                <c:pt idx="2">
                  <c:v>Gobierno Regional de Pasco</c:v>
                </c:pt>
                <c:pt idx="3">
                  <c:v>Gobierno Regional de Junín</c:v>
                </c:pt>
                <c:pt idx="4">
                  <c:v>Gobierno Regional de Apurímac</c:v>
                </c:pt>
                <c:pt idx="5">
                  <c:v>Gobierno Regional de Ayacucho</c:v>
                </c:pt>
                <c:pt idx="6">
                  <c:v>Gobierno Regional del Callao</c:v>
                </c:pt>
              </c:strCache>
            </c:strRef>
          </c:cat>
          <c:val>
            <c:numRef>
              <c:f>'Síntesis GORES'!$G$8:$G$19</c:f>
              <c:numCache>
                <c:formatCode>_-* #,##0_-;\-* #,##0_-;_-* "-"??_-;_-@_-</c:formatCode>
                <c:ptCount val="7"/>
                <c:pt idx="0">
                  <c:v>12005792.515000001</c:v>
                </c:pt>
                <c:pt idx="1">
                  <c:v>13183507.98</c:v>
                </c:pt>
                <c:pt idx="2">
                  <c:v>3489857.0449999999</c:v>
                </c:pt>
                <c:pt idx="3">
                  <c:v>10953127.925000001</c:v>
                </c:pt>
                <c:pt idx="4">
                  <c:v>6068838.9249999998</c:v>
                </c:pt>
                <c:pt idx="5">
                  <c:v>9320204.5649999995</c:v>
                </c:pt>
                <c:pt idx="6">
                  <c:v>6633727.8700000001</c:v>
                </c:pt>
              </c:numCache>
            </c:numRef>
          </c:val>
          <c:extLst>
            <c:ext xmlns:c16="http://schemas.microsoft.com/office/drawing/2014/chart" uri="{C3380CC4-5D6E-409C-BE32-E72D297353CC}">
              <c16:uniqueId val="{00000000-420F-47CC-B8F8-8C2F6716FBC0}"/>
            </c:ext>
          </c:extLst>
        </c:ser>
        <c:ser>
          <c:idx val="1"/>
          <c:order val="1"/>
          <c:tx>
            <c:v>Monto Ejecutado - Inversiones accesibilidad</c:v>
          </c:tx>
          <c:spPr>
            <a:solidFill>
              <a:schemeClr val="accent3"/>
            </a:solidFill>
            <a:ln>
              <a:noFill/>
            </a:ln>
            <a:effectLst/>
          </c:spPr>
          <c:invertIfNegative val="0"/>
          <c:dLbls>
            <c:dLbl>
              <c:idx val="4"/>
              <c:layout>
                <c:manualLayout>
                  <c:x val="-8.6233571723655416E-17"/>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0F-47CC-B8F8-8C2F6716FBC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'Síntesis GORES'!$D$8:$D$19</c:f>
              <c:strCache>
                <c:ptCount val="7"/>
                <c:pt idx="0">
                  <c:v>Gobierno Regional La Libertad</c:v>
                </c:pt>
                <c:pt idx="1">
                  <c:v>Gobierno Regional de Cajamarca</c:v>
                </c:pt>
                <c:pt idx="2">
                  <c:v>Gobierno Regional de Pasco</c:v>
                </c:pt>
                <c:pt idx="3">
                  <c:v>Gobierno Regional de Junín</c:v>
                </c:pt>
                <c:pt idx="4">
                  <c:v>Gobierno Regional de Apurímac</c:v>
                </c:pt>
                <c:pt idx="5">
                  <c:v>Gobierno Regional de Ayacucho</c:v>
                </c:pt>
                <c:pt idx="6">
                  <c:v>Gobierno Regional del Callao</c:v>
                </c:pt>
              </c:strCache>
            </c:strRef>
          </c:cat>
          <c:val>
            <c:numRef>
              <c:f>'Síntesis GORES'!$J$8:$J$19</c:f>
              <c:numCache>
                <c:formatCode>_-* #,##0_-;\-* #,##0_-;_-* "-"??_-;_-@_-</c:formatCode>
                <c:ptCount val="7"/>
                <c:pt idx="0">
                  <c:v>99006.36</c:v>
                </c:pt>
                <c:pt idx="1">
                  <c:v>0</c:v>
                </c:pt>
                <c:pt idx="2">
                  <c:v>16000</c:v>
                </c:pt>
                <c:pt idx="3">
                  <c:v>70079.3</c:v>
                </c:pt>
                <c:pt idx="4">
                  <c:v>3214373.73</c:v>
                </c:pt>
                <c:pt idx="5">
                  <c:v>5695061</c:v>
                </c:pt>
                <c:pt idx="6">
                  <c:v>11239233</c:v>
                </c:pt>
              </c:numCache>
            </c:numRef>
          </c:val>
          <c:extLst>
            <c:ext xmlns:c16="http://schemas.microsoft.com/office/drawing/2014/chart" uri="{C3380CC4-5D6E-409C-BE32-E72D297353CC}">
              <c16:uniqueId val="{00000002-420F-47CC-B8F8-8C2F6716FBC0}"/>
            </c:ext>
          </c:extLst>
        </c:ser>
        <c:dLbls>
          <c:showLegendKey val="0"/>
          <c:showVal val="0"/>
          <c:showCatName val="0"/>
          <c:showSerName val="0"/>
          <c:showPercent val="0"/>
          <c:showBubbleSize val="0"/>
        </c:dLbls>
        <c:gapWidth val="219"/>
        <c:overlap val="-27"/>
        <c:axId val="611372016"/>
        <c:axId val="611374512"/>
      </c:barChart>
      <c:scatterChart>
        <c:scatterStyle val="lineMarker"/>
        <c:varyColors val="0"/>
        <c:ser>
          <c:idx val="2"/>
          <c:order val="2"/>
          <c:tx>
            <c:v>Porcentaje Ejecutado sobre 0.5% del PIM</c:v>
          </c:tx>
          <c:spPr>
            <a:ln w="25400" cap="rnd">
              <a:noFill/>
              <a:round/>
            </a:ln>
            <a:effectLst/>
          </c:spPr>
          <c:marker>
            <c:symbol val="circle"/>
            <c:size val="5"/>
            <c:spPr>
              <a:solidFill>
                <a:srgbClr val="C00000"/>
              </a:solidFill>
              <a:ln w="9525">
                <a:solidFill>
                  <a:schemeClr val="accent3"/>
                </a:solidFill>
              </a:ln>
              <a:effectLst/>
            </c:spPr>
          </c:marker>
          <c:dLbls>
            <c:dLbl>
              <c:idx val="0"/>
              <c:layout>
                <c:manualLayout>
                  <c:x val="-2.9262962962962984E-2"/>
                  <c:y val="-0.652233887430737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0F-47CC-B8F8-8C2F6716FBC0}"/>
                </c:ext>
              </c:extLst>
            </c:dLbl>
            <c:dLbl>
              <c:idx val="1"/>
              <c:layout>
                <c:manualLayout>
                  <c:x val="-3.1614814814814818E-2"/>
                  <c:y val="-0.652233887430737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0F-47CC-B8F8-8C2F6716FBC0}"/>
                </c:ext>
              </c:extLst>
            </c:dLbl>
            <c:dLbl>
              <c:idx val="2"/>
              <c:layout>
                <c:manualLayout>
                  <c:x val="-3.1614814814814901E-2"/>
                  <c:y val="-0.652233887430737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0F-47CC-B8F8-8C2F6716FBC0}"/>
                </c:ext>
              </c:extLst>
            </c:dLbl>
            <c:dLbl>
              <c:idx val="3"/>
              <c:layout>
                <c:manualLayout>
                  <c:x val="-3.1614814814814818E-2"/>
                  <c:y val="-0.652233887430737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0F-47CC-B8F8-8C2F6716FBC0}"/>
                </c:ext>
              </c:extLst>
            </c:dLbl>
            <c:dLbl>
              <c:idx val="4"/>
              <c:layout>
                <c:manualLayout>
                  <c:x val="-3.6383148148148151E-2"/>
                  <c:y val="-0.490196850393700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0F-47CC-B8F8-8C2F6716FBC0}"/>
                </c:ext>
              </c:extLst>
            </c:dLbl>
            <c:dLbl>
              <c:idx val="5"/>
              <c:layout>
                <c:manualLayout>
                  <c:x val="-3.6383148148148324E-2"/>
                  <c:y val="-0.4670487022455526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0F-47CC-B8F8-8C2F6716FBC0}"/>
                </c:ext>
              </c:extLst>
            </c:dLbl>
            <c:dLbl>
              <c:idx val="6"/>
              <c:layout>
                <c:manualLayout>
                  <c:x val="-4.115166666666667E-2"/>
                  <c:y val="-0.13371536891221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0F-47CC-B8F8-8C2F6716FBC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alpha val="48000"/>
                        </a:schemeClr>
                      </a:solidFill>
                      <a:prstDash val="sysDot"/>
                      <a:round/>
                    </a:ln>
                    <a:effectLst/>
                  </c:spPr>
                </c15:leaderLines>
              </c:ext>
            </c:extLst>
          </c:dLbls>
          <c:xVal>
            <c:strRef>
              <c:f>'Síntesis GORES'!$D$8:$D$19</c:f>
              <c:strCache>
                <c:ptCount val="7"/>
                <c:pt idx="0">
                  <c:v>Gobierno Regional La Libertad</c:v>
                </c:pt>
                <c:pt idx="1">
                  <c:v>Gobierno Regional de Cajamarca</c:v>
                </c:pt>
                <c:pt idx="2">
                  <c:v>Gobierno Regional de Pasco</c:v>
                </c:pt>
                <c:pt idx="3">
                  <c:v>Gobierno Regional de Junín</c:v>
                </c:pt>
                <c:pt idx="4">
                  <c:v>Gobierno Regional de Apurímac</c:v>
                </c:pt>
                <c:pt idx="5">
                  <c:v>Gobierno Regional de Ayacucho</c:v>
                </c:pt>
                <c:pt idx="6">
                  <c:v>Gobierno Regional del Callao</c:v>
                </c:pt>
              </c:strCache>
            </c:strRef>
          </c:xVal>
          <c:yVal>
            <c:numRef>
              <c:f>'Síntesis GORES'!$K$8:$K$19</c:f>
              <c:numCache>
                <c:formatCode>0%</c:formatCode>
                <c:ptCount val="7"/>
                <c:pt idx="0">
                  <c:v>8.2465493116178502E-3</c:v>
                </c:pt>
                <c:pt idx="1">
                  <c:v>0</c:v>
                </c:pt>
                <c:pt idx="2">
                  <c:v>4.5847150166003431E-3</c:v>
                </c:pt>
                <c:pt idx="3">
                  <c:v>6.3981084197918744E-3</c:v>
                </c:pt>
                <c:pt idx="4">
                  <c:v>0.52965217395352115</c:v>
                </c:pt>
                <c:pt idx="5">
                  <c:v>0.61104463537061859</c:v>
                </c:pt>
                <c:pt idx="6">
                  <c:v>1.6942559628994851</c:v>
                </c:pt>
              </c:numCache>
            </c:numRef>
          </c:yVal>
          <c:smooth val="0"/>
          <c:extLst>
            <c:ext xmlns:c16="http://schemas.microsoft.com/office/drawing/2014/chart" uri="{C3380CC4-5D6E-409C-BE32-E72D297353CC}">
              <c16:uniqueId val="{0000000A-420F-47CC-B8F8-8C2F6716FBC0}"/>
            </c:ext>
          </c:extLst>
        </c:ser>
        <c:dLbls>
          <c:showLegendKey val="0"/>
          <c:showVal val="0"/>
          <c:showCatName val="0"/>
          <c:showSerName val="0"/>
          <c:showPercent val="0"/>
          <c:showBubbleSize val="0"/>
        </c:dLbls>
        <c:axId val="611369104"/>
        <c:axId val="611379920"/>
      </c:scatterChart>
      <c:catAx>
        <c:axId val="61137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611374512"/>
        <c:crosses val="autoZero"/>
        <c:auto val="1"/>
        <c:lblAlgn val="ctr"/>
        <c:lblOffset val="100"/>
        <c:noMultiLvlLbl val="0"/>
      </c:catAx>
      <c:valAx>
        <c:axId val="611374512"/>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s-PE"/>
          </a:p>
        </c:txPr>
        <c:crossAx val="611372016"/>
        <c:crosses val="autoZero"/>
        <c:crossBetween val="between"/>
      </c:valAx>
      <c:valAx>
        <c:axId val="6113799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FF7D7D"/>
                </a:solidFill>
                <a:latin typeface="+mn-lt"/>
                <a:ea typeface="+mn-ea"/>
                <a:cs typeface="+mn-cs"/>
              </a:defRPr>
            </a:pPr>
            <a:endParaRPr lang="es-PE"/>
          </a:p>
        </c:txPr>
        <c:crossAx val="611369104"/>
        <c:crosses val="max"/>
        <c:crossBetween val="midCat"/>
      </c:valAx>
      <c:valAx>
        <c:axId val="611369104"/>
        <c:scaling>
          <c:orientation val="minMax"/>
        </c:scaling>
        <c:delete val="1"/>
        <c:axPos val="b"/>
        <c:numFmt formatCode="General" sourceLinked="1"/>
        <c:majorTickMark val="out"/>
        <c:minorTickMark val="none"/>
        <c:tickLblPos val="nextTo"/>
        <c:crossAx val="611379920"/>
        <c:crosses val="autoZero"/>
        <c:crossBetween val="midCat"/>
      </c:valAx>
      <c:spPr>
        <a:noFill/>
        <a:ln>
          <a:noFill/>
        </a:ln>
        <a:effectLst/>
      </c:spPr>
    </c:plotArea>
    <c:legend>
      <c:legendPos val="b"/>
      <c:layout>
        <c:manualLayout>
          <c:xMode val="edge"/>
          <c:yMode val="edge"/>
          <c:x val="9.8803703703703727E-2"/>
          <c:y val="0.85069335083114606"/>
          <c:w val="0.80239259259259255"/>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P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4974074074074"/>
          <c:y val="3.897063492063492E-2"/>
          <c:w val="0.44210481481481484"/>
          <c:h val="0.87355158730158733"/>
        </c:manualLayout>
      </c:layout>
      <c:barChart>
        <c:barDir val="bar"/>
        <c:grouping val="clustered"/>
        <c:varyColors val="0"/>
        <c:ser>
          <c:idx val="0"/>
          <c:order val="0"/>
          <c:tx>
            <c:v>SIAF: 0.5% del PIM 2020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'Síntesis GLs'!$D$5:$D$27</c:f>
              <c:strCache>
                <c:ptCount val="16"/>
                <c:pt idx="0">
                  <c:v>Municipalidad Distrital Carmen de La Legua - Reynoso</c:v>
                </c:pt>
                <c:pt idx="1">
                  <c:v>Municipalidad Distrital de Villa El Salvador</c:v>
                </c:pt>
                <c:pt idx="2">
                  <c:v>Municipalidad Distrital de San Bartolo</c:v>
                </c:pt>
                <c:pt idx="3">
                  <c:v>Municipalidad Distrital de Cieneguilla</c:v>
                </c:pt>
                <c:pt idx="4">
                  <c:v>Municipalidad Distrital de La Molina</c:v>
                </c:pt>
                <c:pt idx="5">
                  <c:v>Municipalidad Distrital de Ancón</c:v>
                </c:pt>
                <c:pt idx="6">
                  <c:v>Municipalidad Distrital de Punta Hermosa</c:v>
                </c:pt>
                <c:pt idx="7">
                  <c:v>Municipalidad Distrital de Puente Piedra</c:v>
                </c:pt>
                <c:pt idx="8">
                  <c:v>Municipalidad Distrital de Chavín de Huántar</c:v>
                </c:pt>
                <c:pt idx="9">
                  <c:v>Municipalidad Distrital de Independencia</c:v>
                </c:pt>
                <c:pt idx="10">
                  <c:v>Municipalidad Provincial del Callao</c:v>
                </c:pt>
                <c:pt idx="11">
                  <c:v>Municipalidad Distrital de Villa María del Triunfo</c:v>
                </c:pt>
                <c:pt idx="12">
                  <c:v>Municipalidad Distrital de San Martín de Porres</c:v>
                </c:pt>
                <c:pt idx="13">
                  <c:v>Municipalidad Distrital de Santa Rosa</c:v>
                </c:pt>
                <c:pt idx="14">
                  <c:v>Municipalidad Distrital de San Isidro</c:v>
                </c:pt>
                <c:pt idx="15">
                  <c:v>Municipalidad Provincial 
de Ica</c:v>
                </c:pt>
              </c:strCache>
            </c:strRef>
          </c:cat>
          <c:val>
            <c:numRef>
              <c:f>'Síntesis GLs'!$G$5:$G$27</c:f>
              <c:numCache>
                <c:formatCode>_-* #,##0_-;\-* #,##0_-;_-* "-"??_-;_-@_-</c:formatCode>
                <c:ptCount val="16"/>
                <c:pt idx="0">
                  <c:v>196197.995</c:v>
                </c:pt>
                <c:pt idx="1">
                  <c:v>837881.55</c:v>
                </c:pt>
                <c:pt idx="2">
                  <c:v>71436.854999999996</c:v>
                </c:pt>
                <c:pt idx="3">
                  <c:v>200144.935</c:v>
                </c:pt>
                <c:pt idx="4">
                  <c:v>980619.495</c:v>
                </c:pt>
                <c:pt idx="5">
                  <c:v>202391.17</c:v>
                </c:pt>
                <c:pt idx="6">
                  <c:v>116069.52500000001</c:v>
                </c:pt>
                <c:pt idx="7">
                  <c:v>729215.32000000007</c:v>
                </c:pt>
                <c:pt idx="8">
                  <c:v>544544.66</c:v>
                </c:pt>
                <c:pt idx="9">
                  <c:v>493916.09</c:v>
                </c:pt>
                <c:pt idx="10">
                  <c:v>2449445.2000000002</c:v>
                </c:pt>
                <c:pt idx="11">
                  <c:v>645998.68000000005</c:v>
                </c:pt>
                <c:pt idx="12">
                  <c:v>979253.38</c:v>
                </c:pt>
                <c:pt idx="13">
                  <c:v>67759.035000000003</c:v>
                </c:pt>
                <c:pt idx="14">
                  <c:v>1439723.9650000001</c:v>
                </c:pt>
                <c:pt idx="15">
                  <c:v>798528.51</c:v>
                </c:pt>
              </c:numCache>
            </c:numRef>
          </c:val>
          <c:extLst>
            <c:ext xmlns:c16="http://schemas.microsoft.com/office/drawing/2014/chart" uri="{C3380CC4-5D6E-409C-BE32-E72D297353CC}">
              <c16:uniqueId val="{00000000-075C-4599-A42D-CDF93223AB2C}"/>
            </c:ext>
          </c:extLst>
        </c:ser>
        <c:ser>
          <c:idx val="1"/>
          <c:order val="1"/>
          <c:tx>
            <c:v>Monto Ejecutado - Gastos operativos OMAPED</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'Síntesis GLs'!$D$5:$D$27</c:f>
              <c:strCache>
                <c:ptCount val="16"/>
                <c:pt idx="0">
                  <c:v>Municipalidad Distrital Carmen de La Legua - Reynoso</c:v>
                </c:pt>
                <c:pt idx="1">
                  <c:v>Municipalidad Distrital de Villa El Salvador</c:v>
                </c:pt>
                <c:pt idx="2">
                  <c:v>Municipalidad Distrital de San Bartolo</c:v>
                </c:pt>
                <c:pt idx="3">
                  <c:v>Municipalidad Distrital de Cieneguilla</c:v>
                </c:pt>
                <c:pt idx="4">
                  <c:v>Municipalidad Distrital de La Molina</c:v>
                </c:pt>
                <c:pt idx="5">
                  <c:v>Municipalidad Distrital de Ancón</c:v>
                </c:pt>
                <c:pt idx="6">
                  <c:v>Municipalidad Distrital de Punta Hermosa</c:v>
                </c:pt>
                <c:pt idx="7">
                  <c:v>Municipalidad Distrital de Puente Piedra</c:v>
                </c:pt>
                <c:pt idx="8">
                  <c:v>Municipalidad Distrital de Chavín de Huántar</c:v>
                </c:pt>
                <c:pt idx="9">
                  <c:v>Municipalidad Distrital de Independencia</c:v>
                </c:pt>
                <c:pt idx="10">
                  <c:v>Municipalidad Provincial del Callao</c:v>
                </c:pt>
                <c:pt idx="11">
                  <c:v>Municipalidad Distrital de Villa María del Triunfo</c:v>
                </c:pt>
                <c:pt idx="12">
                  <c:v>Municipalidad Distrital de San Martín de Porres</c:v>
                </c:pt>
                <c:pt idx="13">
                  <c:v>Municipalidad Distrital de Santa Rosa</c:v>
                </c:pt>
                <c:pt idx="14">
                  <c:v>Municipalidad Distrital de San Isidro</c:v>
                </c:pt>
                <c:pt idx="15">
                  <c:v>Municipalidad Provincial 
de Ica</c:v>
                </c:pt>
              </c:strCache>
            </c:strRef>
          </c:cat>
          <c:val>
            <c:numRef>
              <c:f>'Síntesis GLs'!$H$5:$H$27</c:f>
              <c:numCache>
                <c:formatCode>_-* #,##0_-;\-* #,##0_-;_-* "-"??_-;_-@_-</c:formatCode>
                <c:ptCount val="16"/>
                <c:pt idx="0">
                  <c:v>205191.28</c:v>
                </c:pt>
                <c:pt idx="1">
                  <c:v>489209</c:v>
                </c:pt>
                <c:pt idx="2">
                  <c:v>13787.5</c:v>
                </c:pt>
                <c:pt idx="3">
                  <c:v>83000</c:v>
                </c:pt>
                <c:pt idx="4">
                  <c:v>33455</c:v>
                </c:pt>
                <c:pt idx="5">
                  <c:v>188014</c:v>
                </c:pt>
                <c:pt idx="6">
                  <c:v>75366.73</c:v>
                </c:pt>
                <c:pt idx="7">
                  <c:v>680959</c:v>
                </c:pt>
                <c:pt idx="8">
                  <c:v>185818.48</c:v>
                </c:pt>
                <c:pt idx="9">
                  <c:v>296225</c:v>
                </c:pt>
                <c:pt idx="10">
                  <c:v>428524</c:v>
                </c:pt>
                <c:pt idx="11">
                  <c:v>24097</c:v>
                </c:pt>
                <c:pt idx="12">
                  <c:v>793227</c:v>
                </c:pt>
                <c:pt idx="13">
                  <c:v>72000</c:v>
                </c:pt>
                <c:pt idx="14">
                  <c:v>2710797.74</c:v>
                </c:pt>
                <c:pt idx="15">
                  <c:v>0</c:v>
                </c:pt>
              </c:numCache>
            </c:numRef>
          </c:val>
          <c:extLst>
            <c:ext xmlns:c16="http://schemas.microsoft.com/office/drawing/2014/chart" uri="{C3380CC4-5D6E-409C-BE32-E72D297353CC}">
              <c16:uniqueId val="{00000001-075C-4599-A42D-CDF93223AB2C}"/>
            </c:ext>
          </c:extLst>
        </c:ser>
        <c:dLbls>
          <c:showLegendKey val="0"/>
          <c:showVal val="0"/>
          <c:showCatName val="0"/>
          <c:showSerName val="0"/>
          <c:showPercent val="0"/>
          <c:showBubbleSize val="0"/>
        </c:dLbls>
        <c:gapWidth val="219"/>
        <c:axId val="618767088"/>
        <c:axId val="618771664"/>
      </c:barChart>
      <c:barChart>
        <c:barDir val="bar"/>
        <c:grouping val="clustered"/>
        <c:varyColors val="0"/>
        <c:ser>
          <c:idx val="2"/>
          <c:order val="2"/>
          <c:tx>
            <c:v>Porcentaje Ejecutado sobre 0.5% del PIM</c:v>
          </c:tx>
          <c:spPr>
            <a:noFill/>
            <a:ln>
              <a:noFill/>
            </a:ln>
            <a:effectLst/>
          </c:spPr>
          <c:invertIfNegative val="0"/>
          <c:dLbls>
            <c:dLbl>
              <c:idx val="0"/>
              <c:layout>
                <c:manualLayout>
                  <c:x val="0.24694444444444444"/>
                  <c:y val="-3.35978835978848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5C-4599-A42D-CDF93223AB2C}"/>
                </c:ext>
              </c:extLst>
            </c:dLbl>
            <c:dLbl>
              <c:idx val="1"/>
              <c:layout>
                <c:manualLayout>
                  <c:x val="0.35983333333333334"/>
                  <c:y val="-1.231908167480791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5C-4599-A42D-CDF93223AB2C}"/>
                </c:ext>
              </c:extLst>
            </c:dLbl>
            <c:dLbl>
              <c:idx val="2"/>
              <c:layout>
                <c:manualLayout>
                  <c:x val="0.44450000000000001"/>
                  <c:y val="-1.231908167480791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5C-4599-A42D-CDF93223AB2C}"/>
                </c:ext>
              </c:extLst>
            </c:dLbl>
            <c:dLbl>
              <c:idx val="3"/>
              <c:layout>
                <c:manualLayout>
                  <c:x val="0.3974629629629629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5C-4599-A42D-CDF93223AB2C}"/>
                </c:ext>
              </c:extLst>
            </c:dLbl>
            <c:dLbl>
              <c:idx val="4"/>
              <c:layout>
                <c:manualLayout>
                  <c:x val="0.49153703703703705"/>
                  <c:y val="-1.67989417989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5C-4599-A42D-CDF93223AB2C}"/>
                </c:ext>
              </c:extLst>
            </c:dLbl>
            <c:dLbl>
              <c:idx val="5"/>
              <c:layout>
                <c:manualLayout>
                  <c:x val="0.28457407407407409"/>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5C-4599-A42D-CDF93223AB2C}"/>
                </c:ext>
              </c:extLst>
            </c:dLbl>
            <c:dLbl>
              <c:idx val="6"/>
              <c:layout>
                <c:manualLayout>
                  <c:x val="0.34572222222222221"/>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5C-4599-A42D-CDF93223AB2C}"/>
                </c:ext>
              </c:extLst>
            </c:dLbl>
            <c:dLbl>
              <c:idx val="7"/>
              <c:layout>
                <c:manualLayout>
                  <c:x val="0.28222222222222204"/>
                  <c:y val="6.159540837403958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5C-4599-A42D-CDF93223AB2C}"/>
                </c:ext>
              </c:extLst>
            </c:dLbl>
            <c:dLbl>
              <c:idx val="8"/>
              <c:layout>
                <c:manualLayout>
                  <c:x val="0.4139259259259259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5C-4599-A42D-CDF93223AB2C}"/>
                </c:ext>
              </c:extLst>
            </c:dLbl>
            <c:dLbl>
              <c:idx val="9"/>
              <c:layout>
                <c:manualLayout>
                  <c:x val="0.35748148148148146"/>
                  <c:y val="-6.159540837403958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5C-4599-A42D-CDF93223AB2C}"/>
                </c:ext>
              </c:extLst>
            </c:dLbl>
            <c:dLbl>
              <c:idx val="10"/>
              <c:layout>
                <c:manualLayout>
                  <c:x val="0.45155555555555554"/>
                  <c:y val="-1.67989417989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5C-4599-A42D-CDF93223AB2C}"/>
                </c:ext>
              </c:extLst>
            </c:dLbl>
            <c:dLbl>
              <c:idx val="11"/>
              <c:layout>
                <c:manualLayout>
                  <c:x val="0.49153703703703688"/>
                  <c:y val="-1.67989417989414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5C-4599-A42D-CDF93223AB2C}"/>
                </c:ext>
              </c:extLst>
            </c:dLbl>
            <c:dLbl>
              <c:idx val="12"/>
              <c:layout>
                <c:manualLayout>
                  <c:x val="0.31044444444444447"/>
                  <c:y val="-1.6798941798942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5C-4599-A42D-CDF93223AB2C}"/>
                </c:ext>
              </c:extLst>
            </c:dLbl>
            <c:dLbl>
              <c:idx val="13"/>
              <c:layout>
                <c:manualLayout>
                  <c:x val="0.24459259259259258"/>
                  <c:y val="-1.6798941798942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75C-4599-A42D-CDF93223AB2C}"/>
                </c:ext>
              </c:extLst>
            </c:dLbl>
            <c:dLbl>
              <c:idx val="14"/>
              <c:layout>
                <c:manualLayout>
                  <c:x val="6.34999999999998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75C-4599-A42D-CDF93223AB2C}"/>
                </c:ext>
              </c:extLst>
            </c:dLbl>
            <c:dLbl>
              <c:idx val="15"/>
              <c:layout>
                <c:manualLayout>
                  <c:x val="0.50094444444444441"/>
                  <c:y val="1.67989417989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5C-4599-A42D-CDF93223AB2C}"/>
                </c:ext>
              </c:extLst>
            </c:dLbl>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alpha val="50000"/>
                        </a:schemeClr>
                      </a:solidFill>
                      <a:prstDash val="sysDot"/>
                      <a:round/>
                    </a:ln>
                    <a:effectLst/>
                  </c:spPr>
                </c15:leaderLines>
              </c:ext>
            </c:extLst>
          </c:dLbls>
          <c:cat>
            <c:strRef>
              <c:f>'Síntesis GLs'!$D$5:$D$27</c:f>
              <c:strCache>
                <c:ptCount val="16"/>
                <c:pt idx="0">
                  <c:v>Municipalidad Distrital Carmen de La Legua - Reynoso</c:v>
                </c:pt>
                <c:pt idx="1">
                  <c:v>Municipalidad Distrital de Villa El Salvador</c:v>
                </c:pt>
                <c:pt idx="2">
                  <c:v>Municipalidad Distrital de San Bartolo</c:v>
                </c:pt>
                <c:pt idx="3">
                  <c:v>Municipalidad Distrital de Cieneguilla</c:v>
                </c:pt>
                <c:pt idx="4">
                  <c:v>Municipalidad Distrital de La Molina</c:v>
                </c:pt>
                <c:pt idx="5">
                  <c:v>Municipalidad Distrital de Ancón</c:v>
                </c:pt>
                <c:pt idx="6">
                  <c:v>Municipalidad Distrital de Punta Hermosa</c:v>
                </c:pt>
                <c:pt idx="7">
                  <c:v>Municipalidad Distrital de Puente Piedra</c:v>
                </c:pt>
                <c:pt idx="8">
                  <c:v>Municipalidad Distrital de Chavín de Huántar</c:v>
                </c:pt>
                <c:pt idx="9">
                  <c:v>Municipalidad Distrital de Independencia</c:v>
                </c:pt>
                <c:pt idx="10">
                  <c:v>Municipalidad Provincial del Callao</c:v>
                </c:pt>
                <c:pt idx="11">
                  <c:v>Municipalidad Distrital de Villa María del Triunfo</c:v>
                </c:pt>
                <c:pt idx="12">
                  <c:v>Municipalidad Distrital de San Martín de Porres</c:v>
                </c:pt>
                <c:pt idx="13">
                  <c:v>Municipalidad Distrital de Santa Rosa</c:v>
                </c:pt>
                <c:pt idx="14">
                  <c:v>Municipalidad Distrital de San Isidro</c:v>
                </c:pt>
                <c:pt idx="15">
                  <c:v>Municipalidad Provincial 
de Ica</c:v>
                </c:pt>
              </c:strCache>
            </c:strRef>
          </c:cat>
          <c:val>
            <c:numRef>
              <c:f>'Síntesis GLs'!$I$5:$I$27</c:f>
              <c:numCache>
                <c:formatCode>0%</c:formatCode>
                <c:ptCount val="16"/>
                <c:pt idx="0">
                  <c:v>1.0458378027767308</c:v>
                </c:pt>
                <c:pt idx="1">
                  <c:v>0.58386415120371127</c:v>
                </c:pt>
                <c:pt idx="2">
                  <c:v>0.19300261748645012</c:v>
                </c:pt>
                <c:pt idx="3">
                  <c:v>0.4146994776560296</c:v>
                </c:pt>
                <c:pt idx="4">
                  <c:v>3.4116188970932097E-2</c:v>
                </c:pt>
                <c:pt idx="5">
                  <c:v>0.9289634523087148</c:v>
                </c:pt>
                <c:pt idx="6">
                  <c:v>0.64932401506769322</c:v>
                </c:pt>
                <c:pt idx="7">
                  <c:v>0.93382431954391731</c:v>
                </c:pt>
                <c:pt idx="8">
                  <c:v>0.34123643779740676</c:v>
                </c:pt>
                <c:pt idx="9">
                  <c:v>0.59974762109896029</c:v>
                </c:pt>
                <c:pt idx="10">
                  <c:v>0.1749473717558572</c:v>
                </c:pt>
                <c:pt idx="11">
                  <c:v>3.7301933805809012E-2</c:v>
                </c:pt>
                <c:pt idx="12">
                  <c:v>0.8100324351190904</c:v>
                </c:pt>
                <c:pt idx="13">
                  <c:v>1.062588922643305</c:v>
                </c:pt>
                <c:pt idx="14">
                  <c:v>1.8828593576963901</c:v>
                </c:pt>
                <c:pt idx="15">
                  <c:v>0</c:v>
                </c:pt>
              </c:numCache>
            </c:numRef>
          </c:val>
          <c:extLst>
            <c:ext xmlns:c16="http://schemas.microsoft.com/office/drawing/2014/chart" uri="{C3380CC4-5D6E-409C-BE32-E72D297353CC}">
              <c16:uniqueId val="{00000012-075C-4599-A42D-CDF93223AB2C}"/>
            </c:ext>
          </c:extLst>
        </c:ser>
        <c:dLbls>
          <c:showLegendKey val="0"/>
          <c:showVal val="0"/>
          <c:showCatName val="0"/>
          <c:showSerName val="0"/>
          <c:showPercent val="0"/>
          <c:showBubbleSize val="0"/>
        </c:dLbls>
        <c:gapWidth val="219"/>
        <c:axId val="618779984"/>
        <c:axId val="618784144"/>
      </c:barChart>
      <c:catAx>
        <c:axId val="61876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618771664"/>
        <c:crosses val="autoZero"/>
        <c:auto val="1"/>
        <c:lblAlgn val="ctr"/>
        <c:lblOffset val="100"/>
        <c:noMultiLvlLbl val="0"/>
      </c:catAx>
      <c:valAx>
        <c:axId val="618771664"/>
        <c:scaling>
          <c:orientation val="minMax"/>
        </c:scaling>
        <c:delete val="0"/>
        <c:axPos val="b"/>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PE"/>
          </a:p>
        </c:txPr>
        <c:crossAx val="618767088"/>
        <c:crosses val="autoZero"/>
        <c:crossBetween val="between"/>
      </c:valAx>
      <c:valAx>
        <c:axId val="618784144"/>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PE"/>
          </a:p>
        </c:txPr>
        <c:crossAx val="618779984"/>
        <c:crosses val="max"/>
        <c:crossBetween val="between"/>
      </c:valAx>
      <c:catAx>
        <c:axId val="618779984"/>
        <c:scaling>
          <c:orientation val="minMax"/>
        </c:scaling>
        <c:delete val="1"/>
        <c:axPos val="l"/>
        <c:numFmt formatCode="General" sourceLinked="1"/>
        <c:majorTickMark val="out"/>
        <c:minorTickMark val="none"/>
        <c:tickLblPos val="nextTo"/>
        <c:crossAx val="618784144"/>
        <c:crosses val="autoZero"/>
        <c:auto val="1"/>
        <c:lblAlgn val="ctr"/>
        <c:lblOffset val="100"/>
        <c:noMultiLvlLbl val="0"/>
      </c:catAx>
      <c:spPr>
        <a:noFill/>
        <a:ln>
          <a:noFill/>
        </a:ln>
        <a:effectLst/>
      </c:spPr>
    </c:plotArea>
    <c:legend>
      <c:legendPos val="b"/>
      <c:layout>
        <c:manualLayout>
          <c:xMode val="edge"/>
          <c:yMode val="edge"/>
          <c:x val="0.3182490740740741"/>
          <c:y val="0.92461455026455031"/>
          <c:w val="0.43876092592592592"/>
          <c:h val="7.53854497354497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P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SIAF: 0.5% del PIM 2020</c:v>
          </c:tx>
          <c:spPr>
            <a:solidFill>
              <a:schemeClr val="accent1"/>
            </a:solidFill>
            <a:ln>
              <a:noFill/>
            </a:ln>
            <a:effectLst/>
          </c:spPr>
          <c:invertIfNegative val="0"/>
          <c:dLbls>
            <c:dLbl>
              <c:idx val="0"/>
              <c:layout>
                <c:manualLayout>
                  <c:x val="7.0555555555555554E-3"/>
                  <c:y val="5.0396825396825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E4-4C8F-B56D-27279994A2EC}"/>
                </c:ext>
              </c:extLst>
            </c:dLbl>
            <c:dLbl>
              <c:idx val="1"/>
              <c:layout>
                <c:manualLayout>
                  <c:x val="-4.7037037037037039E-3"/>
                  <c:y val="1.67989417989405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E4-4C8F-B56D-27279994A2EC}"/>
                </c:ext>
              </c:extLst>
            </c:dLbl>
            <c:dLbl>
              <c:idx val="2"/>
              <c:layout>
                <c:manualLayout>
                  <c:x val="7.0555555555555554E-3"/>
                  <c:y val="3.35978835978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E4-4C8F-B56D-27279994A2EC}"/>
                </c:ext>
              </c:extLst>
            </c:dLbl>
            <c:dLbl>
              <c:idx val="5"/>
              <c:layout>
                <c:manualLayout>
                  <c:x val="4.70370370370370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E4-4C8F-B56D-27279994A2EC}"/>
                </c:ext>
              </c:extLst>
            </c:dLbl>
            <c:dLbl>
              <c:idx val="6"/>
              <c:layout>
                <c:manualLayout>
                  <c:x val="7.0555555555555554E-3"/>
                  <c:y val="5.0396825396824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E4-4C8F-B56D-27279994A2EC}"/>
                </c:ext>
              </c:extLst>
            </c:dLbl>
            <c:dLbl>
              <c:idx val="8"/>
              <c:layout>
                <c:manualLayout>
                  <c:x val="0"/>
                  <c:y val="1.67989417989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E4-4C8F-B56D-27279994A2EC}"/>
                </c:ext>
              </c:extLst>
            </c:dLbl>
            <c:dLbl>
              <c:idx val="13"/>
              <c:layout>
                <c:manualLayout>
                  <c:x val="7.0555555555555554E-3"/>
                  <c:y val="3.35978835978832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E4-4C8F-B56D-27279994A2E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accent1"/>
                      </a:solidFill>
                      <a:prstDash val="solid"/>
                      <a:miter lim="800000"/>
                    </a:ln>
                    <a:effectLst/>
                  </c:spPr>
                </c15:leaderLines>
              </c:ext>
            </c:extLst>
          </c:dLbls>
          <c:cat>
            <c:strRef>
              <c:f>'Síntesis GLs'!$D$5:$D$27</c:f>
              <c:strCache>
                <c:ptCount val="16"/>
                <c:pt idx="0">
                  <c:v>Municipalidad Distrital Carmen de La Legua - Reynoso</c:v>
                </c:pt>
                <c:pt idx="1">
                  <c:v>Municipalidad Distrital de Villa El Salvador</c:v>
                </c:pt>
                <c:pt idx="2">
                  <c:v>Municipalidad Distrital de San Bartolo</c:v>
                </c:pt>
                <c:pt idx="3">
                  <c:v>Municipalidad Distrital de Cieneguilla</c:v>
                </c:pt>
                <c:pt idx="4">
                  <c:v>Municipalidad Distrital de La Molina</c:v>
                </c:pt>
                <c:pt idx="5">
                  <c:v>Municipalidad Distrital de Ancón</c:v>
                </c:pt>
                <c:pt idx="6">
                  <c:v>Municipalidad Distrital de Punta Hermosa</c:v>
                </c:pt>
                <c:pt idx="7">
                  <c:v>Municipalidad Distrital de Puente Piedra</c:v>
                </c:pt>
                <c:pt idx="8">
                  <c:v>Municipalidad Distrital de Chavín de Huántar</c:v>
                </c:pt>
                <c:pt idx="9">
                  <c:v>Municipalidad Distrital de Independencia</c:v>
                </c:pt>
                <c:pt idx="10">
                  <c:v>Municipalidad Provincial del Callao</c:v>
                </c:pt>
                <c:pt idx="11">
                  <c:v>Municipalidad Distrital de Villa María del Triunfo</c:v>
                </c:pt>
                <c:pt idx="12">
                  <c:v>Municipalidad Distrital de San Martín de Porres</c:v>
                </c:pt>
                <c:pt idx="13">
                  <c:v>Municipalidad Distrital de Santa Rosa</c:v>
                </c:pt>
                <c:pt idx="14">
                  <c:v>Municipalidad Distrital de San Isidro</c:v>
                </c:pt>
                <c:pt idx="15">
                  <c:v>Municipalidad Provincial 
de Ica</c:v>
                </c:pt>
              </c:strCache>
            </c:strRef>
          </c:cat>
          <c:val>
            <c:numRef>
              <c:f>'Síntesis GLs'!$G$5:$G$27</c:f>
              <c:numCache>
                <c:formatCode>_-* #,##0_-;\-* #,##0_-;_-* "-"??_-;_-@_-</c:formatCode>
                <c:ptCount val="16"/>
                <c:pt idx="0">
                  <c:v>196197.995</c:v>
                </c:pt>
                <c:pt idx="1">
                  <c:v>837881.55</c:v>
                </c:pt>
                <c:pt idx="2">
                  <c:v>71436.854999999996</c:v>
                </c:pt>
                <c:pt idx="3">
                  <c:v>200144.935</c:v>
                </c:pt>
                <c:pt idx="4">
                  <c:v>980619.495</c:v>
                </c:pt>
                <c:pt idx="5">
                  <c:v>202391.17</c:v>
                </c:pt>
                <c:pt idx="6">
                  <c:v>116069.52500000001</c:v>
                </c:pt>
                <c:pt idx="7">
                  <c:v>729215.32000000007</c:v>
                </c:pt>
                <c:pt idx="8">
                  <c:v>544544.66</c:v>
                </c:pt>
                <c:pt idx="9">
                  <c:v>493916.09</c:v>
                </c:pt>
                <c:pt idx="10">
                  <c:v>2449445.2000000002</c:v>
                </c:pt>
                <c:pt idx="11">
                  <c:v>645998.68000000005</c:v>
                </c:pt>
                <c:pt idx="12">
                  <c:v>979253.38</c:v>
                </c:pt>
                <c:pt idx="13">
                  <c:v>67759.035000000003</c:v>
                </c:pt>
                <c:pt idx="14">
                  <c:v>1439723.9650000001</c:v>
                </c:pt>
                <c:pt idx="15">
                  <c:v>798528.51</c:v>
                </c:pt>
              </c:numCache>
            </c:numRef>
          </c:val>
          <c:extLst>
            <c:ext xmlns:c16="http://schemas.microsoft.com/office/drawing/2014/chart" uri="{C3380CC4-5D6E-409C-BE32-E72D297353CC}">
              <c16:uniqueId val="{00000007-80E4-4C8F-B56D-27279994A2EC}"/>
            </c:ext>
          </c:extLst>
        </c:ser>
        <c:ser>
          <c:idx val="1"/>
          <c:order val="1"/>
          <c:tx>
            <c:v>Monto Ejecutado - Gastos operativos OMAPED</c:v>
          </c:tx>
          <c:spPr>
            <a:solidFill>
              <a:schemeClr val="accent3"/>
            </a:solidFill>
            <a:ln>
              <a:noFill/>
            </a:ln>
            <a:effectLst/>
          </c:spPr>
          <c:invertIfNegative val="0"/>
          <c:dLbls>
            <c:dLbl>
              <c:idx val="0"/>
              <c:layout>
                <c:manualLayout>
                  <c:x val="4.7037037037036171E-3"/>
                  <c:y val="-6.71957671957671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E4-4C8F-B56D-27279994A2EC}"/>
                </c:ext>
              </c:extLst>
            </c:dLbl>
            <c:dLbl>
              <c:idx val="1"/>
              <c:layout>
                <c:manualLayout>
                  <c:x val="0"/>
                  <c:y val="-1.67989417989430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E4-4C8F-B56D-27279994A2EC}"/>
                </c:ext>
              </c:extLst>
            </c:dLbl>
            <c:dLbl>
              <c:idx val="3"/>
              <c:layout>
                <c:manualLayout>
                  <c:x val="7.0555555555554695E-3"/>
                  <c:y val="-1.67989417989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E4-4C8F-B56D-27279994A2EC}"/>
                </c:ext>
              </c:extLst>
            </c:dLbl>
            <c:dLbl>
              <c:idx val="4"/>
              <c:layout>
                <c:manualLayout>
                  <c:x val="1.4111111111111111E-2"/>
                  <c:y val="-3.35978835978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E4-4C8F-B56D-27279994A2EC}"/>
                </c:ext>
              </c:extLst>
            </c:dLbl>
            <c:dLbl>
              <c:idx val="5"/>
              <c:layout>
                <c:manualLayout>
                  <c:x val="4.7037037037036171E-3"/>
                  <c:y val="-3.35978835978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E4-4C8F-B56D-27279994A2EC}"/>
                </c:ext>
              </c:extLst>
            </c:dLbl>
            <c:dLbl>
              <c:idx val="6"/>
              <c:layout>
                <c:manualLayout>
                  <c:x val="7.0555555555555554E-3"/>
                  <c:y val="-3.35978835978842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E4-4C8F-B56D-27279994A2EC}"/>
                </c:ext>
              </c:extLst>
            </c:dLbl>
            <c:dLbl>
              <c:idx val="7"/>
              <c:layout>
                <c:manualLayout>
                  <c:x val="-7.0563330589203813E-3"/>
                  <c:y val="-6.226003943135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D0-43FC-A188-14EE73C639F4}"/>
                </c:ext>
              </c:extLst>
            </c:dLbl>
            <c:dLbl>
              <c:idx val="13"/>
              <c:layout>
                <c:manualLayout>
                  <c:x val="4.7037037037037039E-3"/>
                  <c:y val="-5.0396825396825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E4-4C8F-B56D-27279994A2E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'Síntesis GLs'!$D$5:$D$27</c:f>
              <c:strCache>
                <c:ptCount val="16"/>
                <c:pt idx="0">
                  <c:v>Municipalidad Distrital Carmen de La Legua - Reynoso</c:v>
                </c:pt>
                <c:pt idx="1">
                  <c:v>Municipalidad Distrital de Villa El Salvador</c:v>
                </c:pt>
                <c:pt idx="2">
                  <c:v>Municipalidad Distrital de San Bartolo</c:v>
                </c:pt>
                <c:pt idx="3">
                  <c:v>Municipalidad Distrital de Cieneguilla</c:v>
                </c:pt>
                <c:pt idx="4">
                  <c:v>Municipalidad Distrital de La Molina</c:v>
                </c:pt>
                <c:pt idx="5">
                  <c:v>Municipalidad Distrital de Ancón</c:v>
                </c:pt>
                <c:pt idx="6">
                  <c:v>Municipalidad Distrital de Punta Hermosa</c:v>
                </c:pt>
                <c:pt idx="7">
                  <c:v>Municipalidad Distrital de Puente Piedra</c:v>
                </c:pt>
                <c:pt idx="8">
                  <c:v>Municipalidad Distrital de Chavín de Huántar</c:v>
                </c:pt>
                <c:pt idx="9">
                  <c:v>Municipalidad Distrital de Independencia</c:v>
                </c:pt>
                <c:pt idx="10">
                  <c:v>Municipalidad Provincial del Callao</c:v>
                </c:pt>
                <c:pt idx="11">
                  <c:v>Municipalidad Distrital de Villa María del Triunfo</c:v>
                </c:pt>
                <c:pt idx="12">
                  <c:v>Municipalidad Distrital de San Martín de Porres</c:v>
                </c:pt>
                <c:pt idx="13">
                  <c:v>Municipalidad Distrital de Santa Rosa</c:v>
                </c:pt>
                <c:pt idx="14">
                  <c:v>Municipalidad Distrital de San Isidro</c:v>
                </c:pt>
                <c:pt idx="15">
                  <c:v>Municipalidad Provincial 
de Ica</c:v>
                </c:pt>
              </c:strCache>
            </c:strRef>
          </c:cat>
          <c:val>
            <c:numRef>
              <c:f>'Síntesis GLs'!$J$5:$J$27</c:f>
              <c:numCache>
                <c:formatCode>_-* #,##0_-;\-* #,##0_-;_-* "-"??_-;_-@_-</c:formatCode>
                <c:ptCount val="16"/>
                <c:pt idx="0">
                  <c:v>218316.37</c:v>
                </c:pt>
                <c:pt idx="1">
                  <c:v>489209</c:v>
                </c:pt>
                <c:pt idx="2">
                  <c:v>714809.66</c:v>
                </c:pt>
                <c:pt idx="3">
                  <c:v>16631.849999999999</c:v>
                </c:pt>
                <c:pt idx="4">
                  <c:v>21736.05</c:v>
                </c:pt>
                <c:pt idx="5">
                  <c:v>122375.58</c:v>
                </c:pt>
                <c:pt idx="6">
                  <c:v>11648.48</c:v>
                </c:pt>
                <c:pt idx="7">
                  <c:v>27196940</c:v>
                </c:pt>
                <c:pt idx="8">
                  <c:v>0</c:v>
                </c:pt>
                <c:pt idx="9">
                  <c:v>6136181</c:v>
                </c:pt>
                <c:pt idx="10">
                  <c:v>0</c:v>
                </c:pt>
                <c:pt idx="11">
                  <c:v>3351970.01</c:v>
                </c:pt>
                <c:pt idx="12">
                  <c:v>8703217</c:v>
                </c:pt>
                <c:pt idx="13">
                  <c:v>107252.87</c:v>
                </c:pt>
                <c:pt idx="14">
                  <c:v>863021.87</c:v>
                </c:pt>
                <c:pt idx="15">
                  <c:v>0</c:v>
                </c:pt>
              </c:numCache>
            </c:numRef>
          </c:val>
          <c:extLst>
            <c:ext xmlns:c16="http://schemas.microsoft.com/office/drawing/2014/chart" uri="{C3380CC4-5D6E-409C-BE32-E72D297353CC}">
              <c16:uniqueId val="{0000000F-80E4-4C8F-B56D-27279994A2EC}"/>
            </c:ext>
          </c:extLst>
        </c:ser>
        <c:dLbls>
          <c:showLegendKey val="0"/>
          <c:showVal val="0"/>
          <c:showCatName val="0"/>
          <c:showSerName val="0"/>
          <c:showPercent val="0"/>
          <c:showBubbleSize val="0"/>
        </c:dLbls>
        <c:gapWidth val="219"/>
        <c:axId val="925334831"/>
        <c:axId val="925334415"/>
      </c:barChart>
      <c:barChart>
        <c:barDir val="bar"/>
        <c:grouping val="clustered"/>
        <c:varyColors val="0"/>
        <c:ser>
          <c:idx val="2"/>
          <c:order val="2"/>
          <c:tx>
            <c:v>Porcentaje Ejecutado sobre 0.5% del PIM</c:v>
          </c:tx>
          <c:spPr>
            <a:noFill/>
            <a:ln>
              <a:noFill/>
            </a:ln>
            <a:effectLst/>
          </c:spPr>
          <c:invertIfNegative val="0"/>
          <c:dLbls>
            <c:dLbl>
              <c:idx val="0"/>
              <c:layout>
                <c:manualLayout>
                  <c:x val="0.46566666666666667"/>
                  <c:y val="-1.67989417989430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E4-4C8F-B56D-27279994A2EC}"/>
                </c:ext>
              </c:extLst>
            </c:dLbl>
            <c:dLbl>
              <c:idx val="1"/>
              <c:layout>
                <c:manualLayout>
                  <c:x val="0.48212962962962963"/>
                  <c:y val="-1.67989417989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0E4-4C8F-B56D-27279994A2EC}"/>
                </c:ext>
              </c:extLst>
            </c:dLbl>
            <c:dLbl>
              <c:idx val="2"/>
              <c:layout>
                <c:manualLayout>
                  <c:x val="0.35042592592592592"/>
                  <c:y val="-1.231908167480791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0E4-4C8F-B56D-27279994A2EC}"/>
                </c:ext>
              </c:extLst>
            </c:dLbl>
            <c:dLbl>
              <c:idx val="3"/>
              <c:layout>
                <c:manualLayout>
                  <c:x val="0.4985925925925925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0E4-4C8F-B56D-27279994A2EC}"/>
                </c:ext>
              </c:extLst>
            </c:dLbl>
            <c:dLbl>
              <c:idx val="4"/>
              <c:layout>
                <c:manualLayout>
                  <c:x val="0.50094444444444441"/>
                  <c:y val="1.67989417989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0E4-4C8F-B56D-27279994A2EC}"/>
                </c:ext>
              </c:extLst>
            </c:dLbl>
            <c:dLbl>
              <c:idx val="5"/>
              <c:layout>
                <c:manualLayout>
                  <c:x val="0.48212962962962963"/>
                  <c:y val="-1.67989417989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0E4-4C8F-B56D-27279994A2EC}"/>
                </c:ext>
              </c:extLst>
            </c:dLbl>
            <c:dLbl>
              <c:idx val="6"/>
              <c:layout>
                <c:manualLayout>
                  <c:x val="0.489185185185185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0E4-4C8F-B56D-27279994A2EC}"/>
                </c:ext>
              </c:extLst>
            </c:dLbl>
            <c:dLbl>
              <c:idx val="7"/>
              <c:layout>
                <c:manualLayout>
                  <c:x val="3.0574074074073903E-2"/>
                  <c:y val="6.71957671957671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0E4-4C8F-B56D-27279994A2EC}"/>
                </c:ext>
              </c:extLst>
            </c:dLbl>
            <c:dLbl>
              <c:idx val="8"/>
              <c:layout>
                <c:manualLayout>
                  <c:x val="0.5009444444444444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0E4-4C8F-B56D-27279994A2EC}"/>
                </c:ext>
              </c:extLst>
            </c:dLbl>
            <c:dLbl>
              <c:idx val="9"/>
              <c:layout>
                <c:manualLayout>
                  <c:x val="0.32220370370370355"/>
                  <c:y val="-6.15954083740395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0E4-4C8F-B56D-27279994A2EC}"/>
                </c:ext>
              </c:extLst>
            </c:dLbl>
            <c:dLbl>
              <c:idx val="10"/>
              <c:layout>
                <c:manualLayout>
                  <c:x val="0.50094444444444441"/>
                  <c:y val="-3.35978835978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0E4-4C8F-B56D-27279994A2EC}"/>
                </c:ext>
              </c:extLst>
            </c:dLbl>
            <c:dLbl>
              <c:idx val="11"/>
              <c:layout>
                <c:manualLayout>
                  <c:x val="0.41862962962962946"/>
                  <c:y val="-3.35978835978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0E4-4C8F-B56D-27279994A2EC}"/>
                </c:ext>
              </c:extLst>
            </c:dLbl>
            <c:dLbl>
              <c:idx val="12"/>
              <c:layout>
                <c:manualLayout>
                  <c:x val="0.37394444444444447"/>
                  <c:y val="-1.67989417989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0E4-4C8F-B56D-27279994A2EC}"/>
                </c:ext>
              </c:extLst>
            </c:dLbl>
            <c:dLbl>
              <c:idx val="13"/>
              <c:layout>
                <c:manualLayout>
                  <c:x val="0.4609629629629628"/>
                  <c:y val="-1.67989417989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0E4-4C8F-B56D-27279994A2EC}"/>
                </c:ext>
              </c:extLst>
            </c:dLbl>
            <c:dLbl>
              <c:idx val="14"/>
              <c:layout>
                <c:manualLayout>
                  <c:x val="0.48212962962962963"/>
                  <c:y val="-1.6798941798941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0E4-4C8F-B56D-27279994A2EC}"/>
                </c:ext>
              </c:extLst>
            </c:dLbl>
            <c:dLbl>
              <c:idx val="15"/>
              <c:layout>
                <c:manualLayout>
                  <c:x val="0.5009444444444444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0E4-4C8F-B56D-27279994A2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alpha val="50000"/>
                        </a:schemeClr>
                      </a:solidFill>
                      <a:prstDash val="sysDot"/>
                      <a:round/>
                    </a:ln>
                    <a:effectLst/>
                  </c:spPr>
                </c15:leaderLines>
              </c:ext>
            </c:extLst>
          </c:dLbls>
          <c:cat>
            <c:strRef>
              <c:f>'Síntesis GLs'!$D$5:$D$27</c:f>
              <c:strCache>
                <c:ptCount val="16"/>
                <c:pt idx="0">
                  <c:v>Municipalidad Distrital Carmen de La Legua - Reynoso</c:v>
                </c:pt>
                <c:pt idx="1">
                  <c:v>Municipalidad Distrital de Villa El Salvador</c:v>
                </c:pt>
                <c:pt idx="2">
                  <c:v>Municipalidad Distrital de San Bartolo</c:v>
                </c:pt>
                <c:pt idx="3">
                  <c:v>Municipalidad Distrital de Cieneguilla</c:v>
                </c:pt>
                <c:pt idx="4">
                  <c:v>Municipalidad Distrital de La Molina</c:v>
                </c:pt>
                <c:pt idx="5">
                  <c:v>Municipalidad Distrital de Ancón</c:v>
                </c:pt>
                <c:pt idx="6">
                  <c:v>Municipalidad Distrital de Punta Hermosa</c:v>
                </c:pt>
                <c:pt idx="7">
                  <c:v>Municipalidad Distrital de Puente Piedra</c:v>
                </c:pt>
                <c:pt idx="8">
                  <c:v>Municipalidad Distrital de Chavín de Huántar</c:v>
                </c:pt>
                <c:pt idx="9">
                  <c:v>Municipalidad Distrital de Independencia</c:v>
                </c:pt>
                <c:pt idx="10">
                  <c:v>Municipalidad Provincial del Callao</c:v>
                </c:pt>
                <c:pt idx="11">
                  <c:v>Municipalidad Distrital de Villa María del Triunfo</c:v>
                </c:pt>
                <c:pt idx="12">
                  <c:v>Municipalidad Distrital de San Martín de Porres</c:v>
                </c:pt>
                <c:pt idx="13">
                  <c:v>Municipalidad Distrital de Santa Rosa</c:v>
                </c:pt>
                <c:pt idx="14">
                  <c:v>Municipalidad Distrital de San Isidro</c:v>
                </c:pt>
                <c:pt idx="15">
                  <c:v>Municipalidad Provincial 
de Ica</c:v>
                </c:pt>
              </c:strCache>
            </c:strRef>
          </c:cat>
          <c:val>
            <c:numRef>
              <c:f>'Síntesis GLs'!$K$5:$K$27</c:f>
              <c:numCache>
                <c:formatCode>0%</c:formatCode>
                <c:ptCount val="16"/>
                <c:pt idx="0">
                  <c:v>1.1127349695902855</c:v>
                </c:pt>
                <c:pt idx="1">
                  <c:v>0.58386415120371127</c:v>
                </c:pt>
                <c:pt idx="2">
                  <c:v>10.006174823905672</c:v>
                </c:pt>
                <c:pt idx="3">
                  <c:v>8.3099030210282351E-2</c:v>
                </c:pt>
                <c:pt idx="4">
                  <c:v>2.2165631124843179E-2</c:v>
                </c:pt>
                <c:pt idx="5">
                  <c:v>0.60464880953057387</c:v>
                </c:pt>
                <c:pt idx="6">
                  <c:v>0.10035778125222791</c:v>
                </c:pt>
                <c:pt idx="7">
                  <c:v>37.296172000335922</c:v>
                </c:pt>
                <c:pt idx="8">
                  <c:v>0</c:v>
                </c:pt>
                <c:pt idx="9">
                  <c:v>12.423529267896496</c:v>
                </c:pt>
                <c:pt idx="10">
                  <c:v>0</c:v>
                </c:pt>
                <c:pt idx="11">
                  <c:v>5.1888186675551715</c:v>
                </c:pt>
                <c:pt idx="12">
                  <c:v>8.8876047586376465</c:v>
                </c:pt>
                <c:pt idx="13">
                  <c:v>1.5828571053292007</c:v>
                </c:pt>
                <c:pt idx="14">
                  <c:v>0.59943564945798478</c:v>
                </c:pt>
                <c:pt idx="15">
                  <c:v>0</c:v>
                </c:pt>
              </c:numCache>
            </c:numRef>
          </c:val>
          <c:extLst>
            <c:ext xmlns:c16="http://schemas.microsoft.com/office/drawing/2014/chart" uri="{C3380CC4-5D6E-409C-BE32-E72D297353CC}">
              <c16:uniqueId val="{00000020-80E4-4C8F-B56D-27279994A2EC}"/>
            </c:ext>
          </c:extLst>
        </c:ser>
        <c:dLbls>
          <c:showLegendKey val="0"/>
          <c:showVal val="0"/>
          <c:showCatName val="0"/>
          <c:showSerName val="0"/>
          <c:showPercent val="0"/>
          <c:showBubbleSize val="0"/>
        </c:dLbls>
        <c:gapWidth val="219"/>
        <c:axId val="925332751"/>
        <c:axId val="925335663"/>
      </c:barChart>
      <c:catAx>
        <c:axId val="925334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925334415"/>
        <c:crosses val="autoZero"/>
        <c:auto val="1"/>
        <c:lblAlgn val="ctr"/>
        <c:lblOffset val="100"/>
        <c:noMultiLvlLbl val="0"/>
      </c:catAx>
      <c:valAx>
        <c:axId val="925334415"/>
        <c:scaling>
          <c:orientation val="minMax"/>
        </c:scaling>
        <c:delete val="0"/>
        <c:axPos val="b"/>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PE"/>
          </a:p>
        </c:txPr>
        <c:crossAx val="925334831"/>
        <c:crosses val="autoZero"/>
        <c:crossBetween val="between"/>
      </c:valAx>
      <c:valAx>
        <c:axId val="925335663"/>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PE"/>
          </a:p>
        </c:txPr>
        <c:crossAx val="925332751"/>
        <c:crosses val="max"/>
        <c:crossBetween val="between"/>
      </c:valAx>
      <c:catAx>
        <c:axId val="925332751"/>
        <c:scaling>
          <c:orientation val="minMax"/>
        </c:scaling>
        <c:delete val="1"/>
        <c:axPos val="l"/>
        <c:numFmt formatCode="General" sourceLinked="1"/>
        <c:majorTickMark val="out"/>
        <c:minorTickMark val="none"/>
        <c:tickLblPos val="nextTo"/>
        <c:crossAx val="925335663"/>
        <c:crosses val="autoZero"/>
        <c:auto val="1"/>
        <c:lblAlgn val="ctr"/>
        <c:lblOffset val="100"/>
        <c:noMultiLvlLbl val="0"/>
      </c:catAx>
      <c:spPr>
        <a:noFill/>
        <a:ln>
          <a:noFill/>
        </a:ln>
        <a:effectLst/>
      </c:spPr>
    </c:plotArea>
    <c:legend>
      <c:legendPos val="b"/>
      <c:layout>
        <c:manualLayout>
          <c:xMode val="edge"/>
          <c:yMode val="edge"/>
          <c:x val="7.3932592592592591E-2"/>
          <c:y val="0.91111082928939902"/>
          <c:w val="0.82391259259259264"/>
          <c:h val="7.88098337542009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0.28266</cdr:x>
      <cdr:y>0.97273</cdr:y>
    </cdr:from>
    <cdr:to>
      <cdr:x>0.29493</cdr:x>
      <cdr:y>0.98308</cdr:y>
    </cdr:to>
    <cdr:sp macro="" textlink="">
      <cdr:nvSpPr>
        <cdr:cNvPr id="2" name="Elipse 1">
          <a:extLst xmlns:a="http://schemas.openxmlformats.org/drawingml/2006/main">
            <a:ext uri="{FF2B5EF4-FFF2-40B4-BE49-F238E27FC236}">
              <a16:creationId xmlns:a16="http://schemas.microsoft.com/office/drawing/2014/main" id="{DCBF5FD6-D994-4ADB-9A9D-90C2023BFC9B}"/>
            </a:ext>
          </a:extLst>
        </cdr:cNvPr>
        <cdr:cNvSpPr/>
      </cdr:nvSpPr>
      <cdr:spPr>
        <a:xfrm xmlns:a="http://schemas.openxmlformats.org/drawingml/2006/main">
          <a:off x="1526196" y="6388068"/>
          <a:ext cx="66251" cy="67970"/>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PE"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9C06F-49F0-4EB9-99C9-626E9A6B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17</Pages>
  <Words>3350</Words>
  <Characters>18428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MIMPV</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Jafet Grabriela Chavez Eusebio</dc:creator>
  <cp:lastModifiedBy>Eduardo Emilio Haro Pimentel</cp:lastModifiedBy>
  <cp:revision>5</cp:revision>
  <cp:lastPrinted>2021-09-15T22:54:00Z</cp:lastPrinted>
  <dcterms:created xsi:type="dcterms:W3CDTF">2021-09-15T22:01:00Z</dcterms:created>
  <dcterms:modified xsi:type="dcterms:W3CDTF">2021-09-15T23:00:00Z</dcterms:modified>
</cp:coreProperties>
</file>