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7" w:rsidRDefault="007B2A37" w:rsidP="00E5112F">
      <w:pPr>
        <w:jc w:val="both"/>
        <w:rPr>
          <w:b/>
          <w:sz w:val="12"/>
          <w:szCs w:val="12"/>
        </w:rPr>
      </w:pPr>
    </w:p>
    <w:p w:rsidR="00AA4B0C" w:rsidRDefault="00AA4B0C" w:rsidP="00E5112F">
      <w:pPr>
        <w:jc w:val="both"/>
        <w:rPr>
          <w:b/>
          <w:sz w:val="12"/>
          <w:szCs w:val="12"/>
        </w:rPr>
      </w:pPr>
    </w:p>
    <w:p w:rsidR="00AA4B0C" w:rsidRDefault="00AA4B0C" w:rsidP="00E5112F">
      <w:pPr>
        <w:jc w:val="both"/>
        <w:rPr>
          <w:b/>
          <w:sz w:val="12"/>
          <w:szCs w:val="12"/>
        </w:rPr>
      </w:pPr>
    </w:p>
    <w:p w:rsidR="001F76E1" w:rsidRDefault="001F76E1" w:rsidP="001F76E1">
      <w:pPr>
        <w:tabs>
          <w:tab w:val="left" w:pos="284"/>
        </w:tabs>
        <w:jc w:val="center"/>
        <w:rPr>
          <w:rFonts w:ascii="Georgia" w:hAnsi="Georgia"/>
          <w:b/>
          <w:sz w:val="17"/>
          <w:szCs w:val="17"/>
        </w:rPr>
      </w:pPr>
      <w:r w:rsidRPr="000D56FA">
        <w:rPr>
          <w:rFonts w:ascii="Georgia" w:hAnsi="Georgia"/>
          <w:b/>
          <w:sz w:val="17"/>
          <w:szCs w:val="17"/>
        </w:rPr>
        <w:t>“Año del Fortalecimiento de la Soberanía Nacional”</w:t>
      </w:r>
    </w:p>
    <w:p w:rsidR="004B7271" w:rsidRPr="00D61092" w:rsidRDefault="004B7271" w:rsidP="00514301">
      <w:pPr>
        <w:jc w:val="center"/>
        <w:rPr>
          <w:rFonts w:ascii="Arial Narrow" w:hAnsi="Arial Narrow"/>
          <w:bCs/>
          <w:i/>
          <w:sz w:val="16"/>
          <w:szCs w:val="16"/>
        </w:rPr>
      </w:pPr>
    </w:p>
    <w:p w:rsidR="001E3065" w:rsidRPr="006E15BF" w:rsidRDefault="0041339E" w:rsidP="001E3065">
      <w:pPr>
        <w:jc w:val="center"/>
        <w:rPr>
          <w:rFonts w:ascii="Sitka Subheading" w:hAnsi="Sitka Subheading" w:cs="Arial"/>
          <w:b/>
          <w:sz w:val="20"/>
          <w:szCs w:val="20"/>
          <w:lang w:val="pt-BR"/>
        </w:rPr>
      </w:pPr>
      <w:r>
        <w:rPr>
          <w:rFonts w:eastAsia="Batang" w:cs="Arial"/>
          <w:b/>
          <w:bCs/>
          <w:lang w:val="es-PE"/>
        </w:rPr>
        <w:t>RESOLUCION DE ALCALDIA N° 030</w:t>
      </w:r>
      <w:r w:rsidR="001F76E1">
        <w:rPr>
          <w:rFonts w:eastAsia="Batang" w:cs="Arial"/>
          <w:b/>
          <w:bCs/>
          <w:lang w:val="es-PE"/>
        </w:rPr>
        <w:t>-2022</w:t>
      </w:r>
      <w:r w:rsidR="001E3065">
        <w:rPr>
          <w:rFonts w:eastAsia="Batang" w:cs="Arial"/>
          <w:b/>
          <w:bCs/>
          <w:lang w:val="es-PE"/>
        </w:rPr>
        <w:t>-MDH/ALC</w:t>
      </w:r>
      <w:r w:rsidR="001E3065">
        <w:rPr>
          <w:rFonts w:cs="Arial"/>
          <w:sz w:val="20"/>
          <w:szCs w:val="20"/>
          <w:lang w:val="es-PE"/>
        </w:rPr>
        <w:t>.</w:t>
      </w:r>
    </w:p>
    <w:p w:rsidR="00514301" w:rsidRPr="001E3065" w:rsidRDefault="00514301" w:rsidP="00514301">
      <w:pPr>
        <w:jc w:val="center"/>
        <w:rPr>
          <w:rFonts w:ascii="Arial Narrow" w:hAnsi="Arial Narrow"/>
          <w:i/>
          <w:sz w:val="20"/>
          <w:szCs w:val="20"/>
          <w:lang w:val="pt-BR"/>
        </w:rPr>
      </w:pPr>
    </w:p>
    <w:p w:rsidR="001E3065" w:rsidRPr="00060AE2" w:rsidRDefault="0041339E" w:rsidP="00690919">
      <w:pPr>
        <w:jc w:val="right"/>
        <w:rPr>
          <w:rFonts w:ascii="Arial Narrow" w:hAnsi="Arial Narrow" w:cs="Calibri"/>
          <w:szCs w:val="20"/>
          <w:lang w:val="pt-BR"/>
        </w:rPr>
      </w:pPr>
      <w:r>
        <w:rPr>
          <w:rFonts w:ascii="Arial Narrow" w:hAnsi="Arial Narrow" w:cs="Calibri"/>
          <w:szCs w:val="20"/>
          <w:lang w:val="es-MX"/>
        </w:rPr>
        <w:t>Huasahuasi, 25</w:t>
      </w:r>
      <w:r w:rsidR="00A27027">
        <w:rPr>
          <w:rFonts w:ascii="Arial Narrow" w:hAnsi="Arial Narrow" w:cs="Calibri"/>
          <w:szCs w:val="20"/>
          <w:lang w:val="es-MX"/>
        </w:rPr>
        <w:t xml:space="preserve"> de febrero</w:t>
      </w:r>
      <w:r w:rsidR="001F76E1">
        <w:rPr>
          <w:rFonts w:ascii="Arial Narrow" w:hAnsi="Arial Narrow" w:cs="Calibri"/>
          <w:szCs w:val="20"/>
          <w:lang w:val="es-MX"/>
        </w:rPr>
        <w:t xml:space="preserve"> del 2022</w:t>
      </w:r>
      <w:r w:rsidR="001E3065" w:rsidRPr="00060AE2">
        <w:rPr>
          <w:rFonts w:ascii="Arial Narrow" w:hAnsi="Arial Narrow" w:cs="Calibri"/>
          <w:szCs w:val="20"/>
          <w:lang w:val="es-MX"/>
        </w:rPr>
        <w:t>.</w:t>
      </w:r>
    </w:p>
    <w:p w:rsidR="006F482E" w:rsidRDefault="006F482E" w:rsidP="006F482E">
      <w:pPr>
        <w:jc w:val="both"/>
        <w:rPr>
          <w:rFonts w:cs="Arial"/>
          <w:b/>
          <w:sz w:val="20"/>
          <w:szCs w:val="20"/>
          <w:lang w:val="es-MX"/>
        </w:rPr>
      </w:pPr>
      <w:r>
        <w:rPr>
          <w:rFonts w:cs="Arial"/>
          <w:b/>
          <w:sz w:val="20"/>
          <w:szCs w:val="20"/>
          <w:lang w:val="es-MX"/>
        </w:rPr>
        <w:t>VISTOS:</w:t>
      </w:r>
    </w:p>
    <w:p w:rsidR="00FB73A0" w:rsidRDefault="00FB73A0" w:rsidP="006F482E">
      <w:pPr>
        <w:jc w:val="both"/>
        <w:rPr>
          <w:rFonts w:cs="Arial"/>
          <w:b/>
          <w:sz w:val="20"/>
          <w:szCs w:val="20"/>
          <w:lang w:val="es-MX"/>
        </w:rPr>
      </w:pPr>
    </w:p>
    <w:p w:rsidR="0041339E" w:rsidRPr="0041339E" w:rsidRDefault="0041339E" w:rsidP="0041339E">
      <w:pPr>
        <w:shd w:val="clear" w:color="auto" w:fill="FFFFFF"/>
        <w:spacing w:after="150"/>
        <w:ind w:firstLine="708"/>
        <w:jc w:val="both"/>
        <w:rPr>
          <w:rFonts w:cs="Arial"/>
          <w:color w:val="000000"/>
          <w:sz w:val="20"/>
          <w:szCs w:val="20"/>
          <w:lang w:eastAsia="es-PE"/>
        </w:rPr>
      </w:pPr>
      <w:r w:rsidRPr="0041339E">
        <w:rPr>
          <w:rFonts w:cs="Arial"/>
          <w:color w:val="000000"/>
          <w:sz w:val="20"/>
          <w:szCs w:val="20"/>
          <w:lang w:eastAsia="es-PE"/>
        </w:rPr>
        <w:t xml:space="preserve">El </w:t>
      </w:r>
      <w:r w:rsidRPr="0041339E">
        <w:rPr>
          <w:rFonts w:cs="Arial"/>
          <w:color w:val="000000"/>
          <w:sz w:val="20"/>
          <w:szCs w:val="20"/>
          <w:lang w:eastAsia="es-PE"/>
        </w:rPr>
        <w:t>INFORME</w:t>
      </w:r>
      <w:r w:rsidRPr="0041339E">
        <w:rPr>
          <w:rFonts w:cs="Arial"/>
          <w:color w:val="000000"/>
          <w:sz w:val="20"/>
          <w:szCs w:val="20"/>
          <w:lang w:eastAsia="es-PE"/>
        </w:rPr>
        <w:t xml:space="preserve"> N°010-2022</w:t>
      </w:r>
      <w:r w:rsidRPr="0041339E">
        <w:rPr>
          <w:rFonts w:cs="Arial"/>
          <w:sz w:val="20"/>
          <w:szCs w:val="20"/>
          <w:lang w:eastAsia="es-PE"/>
        </w:rPr>
        <w:t>-MDH/GM,</w:t>
      </w:r>
      <w:r w:rsidRPr="0041339E">
        <w:rPr>
          <w:rFonts w:cs="Arial"/>
          <w:color w:val="000000"/>
          <w:sz w:val="20"/>
          <w:szCs w:val="20"/>
          <w:lang w:eastAsia="es-PE"/>
        </w:rPr>
        <w:t xml:space="preserve"> de la Gerencia Municipal, el </w:t>
      </w:r>
      <w:r w:rsidRPr="0041339E">
        <w:rPr>
          <w:rFonts w:cs="Arial"/>
          <w:color w:val="000000"/>
          <w:sz w:val="20"/>
          <w:szCs w:val="20"/>
          <w:lang w:eastAsia="es-PE"/>
        </w:rPr>
        <w:t>INFORME</w:t>
      </w:r>
      <w:r w:rsidR="00984058">
        <w:rPr>
          <w:rFonts w:cs="Arial"/>
          <w:color w:val="000000"/>
          <w:sz w:val="20"/>
          <w:szCs w:val="20"/>
          <w:lang w:eastAsia="es-PE"/>
        </w:rPr>
        <w:t xml:space="preserve"> LEGAL</w:t>
      </w:r>
      <w:r w:rsidRPr="0041339E">
        <w:rPr>
          <w:rFonts w:cs="Arial"/>
          <w:color w:val="000000"/>
          <w:sz w:val="20"/>
          <w:szCs w:val="20"/>
          <w:lang w:eastAsia="es-PE"/>
        </w:rPr>
        <w:t xml:space="preserve"> N° 019-2022-EJMV-AEXT/MDH del Asesor legal, el </w:t>
      </w:r>
      <w:r w:rsidR="00984058" w:rsidRPr="0041339E">
        <w:rPr>
          <w:rFonts w:cs="Arial"/>
          <w:color w:val="000000"/>
          <w:sz w:val="20"/>
          <w:szCs w:val="20"/>
          <w:lang w:eastAsia="es-PE"/>
        </w:rPr>
        <w:t>INFORME</w:t>
      </w:r>
      <w:r w:rsidRPr="0041339E">
        <w:rPr>
          <w:rFonts w:cs="Arial"/>
          <w:color w:val="000000"/>
          <w:sz w:val="20"/>
          <w:szCs w:val="20"/>
          <w:lang w:eastAsia="es-PE"/>
        </w:rPr>
        <w:t xml:space="preserve"> N°0015-2022-MDH/SPPR del Subgerente de Planeamiento Presupuesto y Racionalización, sobre aprobación del Plan Operativo Institucional 2022</w:t>
      </w:r>
      <w:r w:rsidRPr="0041339E">
        <w:rPr>
          <w:rFonts w:cs="Arial"/>
          <w:color w:val="000000"/>
          <w:sz w:val="20"/>
          <w:szCs w:val="20"/>
          <w:lang w:eastAsia="es-PE"/>
        </w:rPr>
        <w:t xml:space="preserve"> de la Municipalidad D</w:t>
      </w:r>
      <w:r w:rsidRPr="0041339E">
        <w:rPr>
          <w:rFonts w:cs="Arial"/>
          <w:color w:val="000000"/>
          <w:sz w:val="20"/>
          <w:szCs w:val="20"/>
          <w:lang w:eastAsia="es-PE"/>
        </w:rPr>
        <w:t>istrital de Huasahuasi y;</w:t>
      </w:r>
    </w:p>
    <w:p w:rsidR="00C63A2E" w:rsidRPr="0041339E" w:rsidRDefault="00C63A2E" w:rsidP="006F482E">
      <w:pPr>
        <w:jc w:val="both"/>
        <w:rPr>
          <w:rFonts w:cs="Arial"/>
          <w:sz w:val="20"/>
          <w:szCs w:val="20"/>
        </w:rPr>
      </w:pPr>
    </w:p>
    <w:p w:rsidR="006F482E" w:rsidRPr="00984058" w:rsidRDefault="006F482E" w:rsidP="00984058">
      <w:pPr>
        <w:jc w:val="both"/>
        <w:rPr>
          <w:rFonts w:cs="Arial"/>
          <w:b/>
          <w:sz w:val="20"/>
          <w:szCs w:val="20"/>
          <w:lang w:val="es-MX"/>
        </w:rPr>
      </w:pPr>
      <w:r w:rsidRPr="00984058">
        <w:rPr>
          <w:rFonts w:cs="Arial"/>
          <w:b/>
          <w:sz w:val="20"/>
          <w:szCs w:val="20"/>
          <w:lang w:val="es-MX"/>
        </w:rPr>
        <w:t>CONSIDERANDO:</w:t>
      </w:r>
    </w:p>
    <w:p w:rsidR="006F482E" w:rsidRPr="003252AA" w:rsidRDefault="006F482E" w:rsidP="006F482E">
      <w:pPr>
        <w:ind w:firstLine="708"/>
        <w:jc w:val="both"/>
        <w:rPr>
          <w:rFonts w:cs="Arial"/>
          <w:sz w:val="18"/>
          <w:szCs w:val="18"/>
        </w:rPr>
      </w:pPr>
    </w:p>
    <w:p w:rsidR="0041339E" w:rsidRPr="0041339E" w:rsidRDefault="0041339E" w:rsidP="0041339E">
      <w:pPr>
        <w:ind w:firstLine="720"/>
        <w:jc w:val="both"/>
        <w:rPr>
          <w:rFonts w:cs="Arial"/>
          <w:bCs/>
          <w:sz w:val="20"/>
          <w:szCs w:val="20"/>
          <w:bdr w:val="none" w:sz="0" w:space="0" w:color="auto" w:frame="1"/>
          <w:shd w:val="clear" w:color="auto" w:fill="FFFFFF"/>
        </w:rPr>
      </w:pPr>
      <w:r w:rsidRPr="0041339E">
        <w:rPr>
          <w:rFonts w:cs="Arial"/>
          <w:bCs/>
          <w:sz w:val="20"/>
          <w:szCs w:val="20"/>
          <w:bdr w:val="none" w:sz="0" w:space="0" w:color="auto" w:frame="1"/>
          <w:shd w:val="clear" w:color="auto" w:fill="FFFFFF"/>
        </w:rPr>
        <w:t>Que, las Municipalidades son órganos de Gobiernos Local que cuentan con Autonomía política, económica y administrativa en los asuntos de su competencia, establecido por el Articulo Nº 194º de la Constitución Política del Estado, concordante con el Articulo II) Autonomía del Título Preliminar de la Ley Orgánica de Municipalidades-Ley Nº 27972 Ley Orgánica de Municipalidades;</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el literal a) del numeral 23.1 del artículo 23º de la Ley N° 27797, Ley Orgánica del Poder Ejecutivo, establece como función de los Municipios, entre otros, formular, planear, dirigir, coordinar, ejecutar, supervisar y evaluar la política nacional y sectorial bajo su competencia, aplicable a todos los niveles de gobierno;</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el numeral 71.1 del artículo 71º del Texto Único Ordenado de la Ley N° 1440, Ley General del Sistema Nacional de Presupuesto, aprobado mediante Decreto Supremo, dispone que las Entidades para la elaboración de sus Planes Operativos Institucionales y Presupuestos Institucionales, deben tomar en cuenta su Plan Estratégico Institucional (PEI) el cual debe ser concordante, entre otros, con el Plan Estratégico de Desarrollo Nacional (PEDN) y Planes Estratégicos Sectoriales Multianuales (PESEM);</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el numeral 71.2 del artículo 71º del mencionado Texto Único Ordenado, establece que el Presupuesto Institucional, se articula con el Plan Estratégico Institucional de la Entidad, desde una perspectiva de mediano y largo plazo, a través de los Planes Operativos Institucionales, en aquellos aspectos orientados a la asignación de los fondos públicos conducentes al cumplimiento de las metas y objetivos de la Entidad, conforme a la escala de prioridades;</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asimismo, el numeral 71.3 del artículo 71º del acotado Texto Único Ordenado, refiere que los Planes Operativos Institucionales reflejan las Metas Presupuestarias que se esperan alcanzar para cada año fiscal y constituyen instrumentos administrativos que contienen los procesos a desarrollar en el corto plazo, precisando las tareas necesarias para cumplir las Metas Presupuestarias establecidas para dicho período, así como la oportunidad de su ejecución, a nivel de cada dependencia orgánica;</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por Resolución de Presidencia de Consejo Directivo Nº 062-2017-CEPLAN-PCD, se modificó la Guía para el Planeamiento Institucional, aprobada por Resolución de Presidencia de Consejo Directivo Nº 033-2017/CEPLAN/PCD, que establece las pautas para el Planeamiento institucional que comprende la política y los planes que permite la elaboración o modificación del Plan Estratégico Institucional - PEI y el Plan Operativo Institucional - POI, en el marco del ciclo de planeamiento estratégico para la mejora continua;</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el Plan Operativo Institucional, es el instrumento de planificación que comprende la programación de las actividades operativas necesarias para ejecutar las estrategias de la entidad, el mismo que debe respetar el periodo de vigencia del Plan Estratégico Institucional vigente, además establecer los recursos financieros y metas físicas mensuales por cada uno de los centros de costo.</w:t>
      </w:r>
    </w:p>
    <w:p w:rsid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Que, la elaboración del Plan Operativo Institucional comprende dos etapas, el Plan Operativo Institucional Multianual que comprende la programación física y financiera para un periodo de tres (3) años en base a las proyecciones del periodo de vigencia, y el Plan Operativo</w:t>
      </w:r>
      <w:r>
        <w:rPr>
          <w:rFonts w:cs="Arial"/>
          <w:color w:val="000000"/>
          <w:sz w:val="20"/>
          <w:szCs w:val="20"/>
          <w:lang w:eastAsia="es-PE"/>
        </w:rPr>
        <w:t xml:space="preserve"> </w:t>
      </w:r>
    </w:p>
    <w:p w:rsidR="00C63A2E" w:rsidRDefault="00C63A2E" w:rsidP="006F482E">
      <w:pPr>
        <w:pStyle w:val="NORMA"/>
        <w:spacing w:before="0" w:after="0" w:line="240" w:lineRule="auto"/>
        <w:ind w:left="0" w:firstLine="708"/>
        <w:rPr>
          <w:rFonts w:ascii="Arial" w:hAnsi="Arial" w:cs="Arial"/>
          <w:sz w:val="20"/>
          <w:szCs w:val="20"/>
        </w:rPr>
      </w:pPr>
    </w:p>
    <w:p w:rsidR="00C63A2E" w:rsidRDefault="00C63A2E" w:rsidP="006F482E">
      <w:pPr>
        <w:pStyle w:val="NORMA"/>
        <w:spacing w:before="0" w:after="0" w:line="240" w:lineRule="auto"/>
        <w:ind w:left="0" w:firstLine="708"/>
        <w:rPr>
          <w:rFonts w:ascii="Arial" w:hAnsi="Arial" w:cs="Arial"/>
          <w:sz w:val="20"/>
          <w:szCs w:val="20"/>
        </w:rPr>
      </w:pPr>
    </w:p>
    <w:p w:rsidR="006F482E" w:rsidRDefault="006F482E" w:rsidP="006F482E">
      <w:pPr>
        <w:pStyle w:val="NORMA"/>
        <w:spacing w:before="0" w:after="0" w:line="240" w:lineRule="auto"/>
        <w:ind w:left="0"/>
        <w:rPr>
          <w:rFonts w:ascii="Arial" w:hAnsi="Arial" w:cs="Arial"/>
          <w:sz w:val="20"/>
          <w:szCs w:val="20"/>
        </w:rPr>
      </w:pP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Anual que toma la programación del primer año del POI multianual para su ajuste y consistencia de acuerdo con la priorización establecida y la asignación del presupuesto total de la entidad.</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 xml:space="preserve">Que, mediante Resolución de </w:t>
      </w:r>
      <w:r w:rsidRPr="0041339E">
        <w:rPr>
          <w:rFonts w:cs="Arial"/>
          <w:color w:val="000000"/>
          <w:sz w:val="20"/>
          <w:szCs w:val="20"/>
          <w:lang w:eastAsia="es-PE"/>
        </w:rPr>
        <w:t>Alcaldía</w:t>
      </w:r>
      <w:r w:rsidRPr="0041339E">
        <w:rPr>
          <w:rFonts w:cs="Arial"/>
          <w:color w:val="000000"/>
          <w:sz w:val="20"/>
          <w:szCs w:val="20"/>
          <w:lang w:eastAsia="es-PE"/>
        </w:rPr>
        <w:t xml:space="preserve"> </w:t>
      </w:r>
      <w:r w:rsidRPr="0041339E">
        <w:rPr>
          <w:rFonts w:cs="Arial"/>
          <w:sz w:val="20"/>
          <w:szCs w:val="20"/>
          <w:lang w:eastAsia="es-PE"/>
        </w:rPr>
        <w:t>N°133-2021-MDH/ALC,</w:t>
      </w:r>
      <w:r w:rsidRPr="0041339E">
        <w:rPr>
          <w:rFonts w:cs="Arial"/>
          <w:color w:val="FF0000"/>
          <w:sz w:val="20"/>
          <w:szCs w:val="20"/>
          <w:lang w:eastAsia="es-PE"/>
        </w:rPr>
        <w:t xml:space="preserve"> </w:t>
      </w:r>
      <w:r w:rsidRPr="0041339E">
        <w:rPr>
          <w:rFonts w:cs="Arial"/>
          <w:color w:val="000000"/>
          <w:sz w:val="20"/>
          <w:szCs w:val="20"/>
          <w:lang w:eastAsia="es-PE"/>
        </w:rPr>
        <w:t>de fecha 28 de diciembre de 2021, se promulgo el Presupuesto Institucional de Gastos para el año fiscal 2022;</w:t>
      </w:r>
    </w:p>
    <w:p w:rsidR="0041339E" w:rsidRPr="0041339E" w:rsidRDefault="0041339E" w:rsidP="0041339E">
      <w:pPr>
        <w:shd w:val="clear" w:color="auto" w:fill="FFFFFF"/>
        <w:spacing w:after="150"/>
        <w:ind w:firstLine="720"/>
        <w:jc w:val="both"/>
        <w:rPr>
          <w:rFonts w:cs="Arial"/>
          <w:color w:val="000000"/>
          <w:sz w:val="20"/>
          <w:szCs w:val="20"/>
          <w:lang w:eastAsia="es-PE"/>
        </w:rPr>
      </w:pPr>
      <w:r w:rsidRPr="0041339E">
        <w:rPr>
          <w:rFonts w:cs="Arial"/>
          <w:color w:val="000000"/>
          <w:sz w:val="20"/>
          <w:szCs w:val="20"/>
          <w:lang w:eastAsia="es-PE"/>
        </w:rPr>
        <w:t xml:space="preserve">Que, Mediante </w:t>
      </w:r>
      <w:r w:rsidRPr="0041339E">
        <w:rPr>
          <w:rFonts w:cs="Arial"/>
          <w:color w:val="000000"/>
          <w:sz w:val="20"/>
          <w:szCs w:val="20"/>
          <w:lang w:eastAsia="es-PE"/>
        </w:rPr>
        <w:t>INFORME</w:t>
      </w:r>
      <w:r w:rsidRPr="0041339E">
        <w:rPr>
          <w:rFonts w:cs="Arial"/>
          <w:color w:val="000000"/>
          <w:sz w:val="20"/>
          <w:szCs w:val="20"/>
          <w:lang w:eastAsia="es-PE"/>
        </w:rPr>
        <w:t xml:space="preserve"> N°0015-2022-MDH/SPPR, </w:t>
      </w:r>
      <w:r>
        <w:rPr>
          <w:rFonts w:cs="Arial"/>
          <w:color w:val="000000"/>
          <w:sz w:val="20"/>
          <w:szCs w:val="20"/>
          <w:lang w:eastAsia="es-PE"/>
        </w:rPr>
        <w:t>la Sub G</w:t>
      </w:r>
      <w:r w:rsidRPr="0041339E">
        <w:rPr>
          <w:rFonts w:cs="Arial"/>
          <w:color w:val="000000"/>
          <w:sz w:val="20"/>
          <w:szCs w:val="20"/>
          <w:lang w:eastAsia="es-PE"/>
        </w:rPr>
        <w:t>erente Planeamiento, Presupuesto y Racionalización de la Municipalidad</w:t>
      </w:r>
      <w:r w:rsidR="00984058">
        <w:rPr>
          <w:rFonts w:cs="Arial"/>
          <w:color w:val="000000"/>
          <w:sz w:val="20"/>
          <w:szCs w:val="20"/>
          <w:lang w:eastAsia="es-PE"/>
        </w:rPr>
        <w:t xml:space="preserve"> D</w:t>
      </w:r>
      <w:r w:rsidRPr="0041339E">
        <w:rPr>
          <w:rFonts w:cs="Arial"/>
          <w:color w:val="000000"/>
          <w:sz w:val="20"/>
          <w:szCs w:val="20"/>
          <w:lang w:eastAsia="es-PE"/>
        </w:rPr>
        <w:t>istrital de Huasahuasi, remite el proyecto del Plan Operativo Institucional 2022, señalando que su elaboración, se ha realizado conforme lo establece la Guía para el Planeamiento Institucional;</w:t>
      </w:r>
    </w:p>
    <w:p w:rsidR="0041339E" w:rsidRPr="0041339E" w:rsidRDefault="0041339E" w:rsidP="0041339E">
      <w:pPr>
        <w:pStyle w:val="NORMA"/>
        <w:spacing w:before="0" w:after="0" w:line="240" w:lineRule="auto"/>
        <w:ind w:left="0" w:firstLine="708"/>
        <w:rPr>
          <w:rFonts w:ascii="Arial" w:hAnsi="Arial" w:cs="Arial"/>
          <w:sz w:val="20"/>
          <w:szCs w:val="20"/>
        </w:rPr>
      </w:pPr>
      <w:r w:rsidRPr="0041339E">
        <w:rPr>
          <w:rFonts w:ascii="Arial" w:hAnsi="Arial" w:cs="Arial"/>
          <w:sz w:val="20"/>
          <w:szCs w:val="20"/>
        </w:rPr>
        <w:t xml:space="preserve">Que, con </w:t>
      </w:r>
      <w:r w:rsidR="00984058" w:rsidRPr="0041339E">
        <w:rPr>
          <w:rFonts w:ascii="Arial" w:hAnsi="Arial" w:cs="Arial"/>
          <w:sz w:val="20"/>
          <w:szCs w:val="20"/>
        </w:rPr>
        <w:t>I</w:t>
      </w:r>
      <w:r w:rsidR="00984058">
        <w:rPr>
          <w:rFonts w:ascii="Arial" w:hAnsi="Arial" w:cs="Arial"/>
          <w:sz w:val="20"/>
          <w:szCs w:val="20"/>
        </w:rPr>
        <w:t>NFORME L</w:t>
      </w:r>
      <w:r w:rsidR="00984058" w:rsidRPr="0041339E">
        <w:rPr>
          <w:rFonts w:ascii="Arial" w:hAnsi="Arial" w:cs="Arial"/>
          <w:sz w:val="20"/>
          <w:szCs w:val="20"/>
        </w:rPr>
        <w:t xml:space="preserve">EGAL </w:t>
      </w:r>
      <w:r w:rsidRPr="0041339E">
        <w:rPr>
          <w:rFonts w:ascii="Arial" w:hAnsi="Arial" w:cs="Arial"/>
          <w:sz w:val="20"/>
          <w:szCs w:val="20"/>
        </w:rPr>
        <w:t>Nº019-2022-EJMV-AEXT/MDH, la Asesora legal comunica que, el proyecto de Plan Operativo Institucional 2022, ha sido elaborado de acuerdo a los lineamientos de los dispositivos vigente sobre la materia, opinando por la viabilidad de aprobar, el proyecto del Plan Operativo Institucional 2022, recomendando su aprobación mediante acto resolutivo.</w:t>
      </w:r>
    </w:p>
    <w:p w:rsidR="0041339E" w:rsidRPr="0041339E" w:rsidRDefault="0041339E" w:rsidP="0041339E">
      <w:pPr>
        <w:pStyle w:val="NORMA"/>
        <w:spacing w:before="0" w:after="0" w:line="240" w:lineRule="auto"/>
        <w:ind w:left="0" w:firstLine="708"/>
        <w:rPr>
          <w:rFonts w:ascii="Arial" w:hAnsi="Arial" w:cs="Arial"/>
          <w:sz w:val="20"/>
          <w:szCs w:val="20"/>
        </w:rPr>
      </w:pPr>
    </w:p>
    <w:p w:rsidR="0041339E" w:rsidRPr="0041339E" w:rsidRDefault="0041339E" w:rsidP="0041339E">
      <w:pPr>
        <w:pStyle w:val="NORMA"/>
        <w:spacing w:before="0" w:after="0" w:line="240" w:lineRule="auto"/>
        <w:ind w:left="0" w:firstLine="708"/>
        <w:rPr>
          <w:rFonts w:ascii="Arial" w:hAnsi="Arial" w:cs="Arial"/>
          <w:sz w:val="20"/>
          <w:szCs w:val="20"/>
        </w:rPr>
      </w:pPr>
      <w:r w:rsidRPr="0041339E">
        <w:rPr>
          <w:rFonts w:ascii="Arial" w:hAnsi="Arial" w:cs="Arial"/>
          <w:sz w:val="20"/>
          <w:szCs w:val="20"/>
        </w:rPr>
        <w:t xml:space="preserve">Que, asimismo, con </w:t>
      </w:r>
      <w:r w:rsidRPr="0041339E">
        <w:rPr>
          <w:rFonts w:ascii="Arial" w:hAnsi="Arial" w:cs="Arial"/>
          <w:sz w:val="20"/>
          <w:szCs w:val="20"/>
        </w:rPr>
        <w:t>INFORME</w:t>
      </w:r>
      <w:r w:rsidRPr="0041339E">
        <w:rPr>
          <w:rFonts w:ascii="Arial" w:hAnsi="Arial" w:cs="Arial"/>
          <w:sz w:val="20"/>
          <w:szCs w:val="20"/>
        </w:rPr>
        <w:t xml:space="preserve"> Nº010-2022-MDH/GM, la Gerencia Municipal opina </w:t>
      </w:r>
      <w:r w:rsidRPr="0041339E">
        <w:rPr>
          <w:rFonts w:ascii="Arial" w:hAnsi="Arial" w:cs="Arial"/>
          <w:sz w:val="20"/>
          <w:szCs w:val="20"/>
        </w:rPr>
        <w:t>que,</w:t>
      </w:r>
      <w:r w:rsidRPr="0041339E">
        <w:rPr>
          <w:rFonts w:ascii="Arial" w:hAnsi="Arial" w:cs="Arial"/>
          <w:sz w:val="20"/>
          <w:szCs w:val="20"/>
        </w:rPr>
        <w:t xml:space="preserve"> con la finalidad de orientar y garantizar las actividades técnicas y operativas, considera que el Plan Operativo Institucional 2022 de la Municipalidad distrital de Huasahuasi, se ha elaborado de acuerdo a las normas vigentes y recomienda, se apruebe mediante acto resolutivo;</w:t>
      </w:r>
    </w:p>
    <w:p w:rsidR="0041339E" w:rsidRPr="0041339E" w:rsidRDefault="0041339E" w:rsidP="0041339E">
      <w:pPr>
        <w:pStyle w:val="NORMA"/>
        <w:spacing w:before="0" w:after="0" w:line="240" w:lineRule="auto"/>
        <w:ind w:left="0" w:firstLine="708"/>
        <w:rPr>
          <w:rFonts w:ascii="Arial" w:hAnsi="Arial" w:cs="Arial"/>
          <w:sz w:val="20"/>
          <w:szCs w:val="20"/>
        </w:rPr>
      </w:pPr>
    </w:p>
    <w:p w:rsidR="0041339E" w:rsidRPr="0041339E" w:rsidRDefault="0041339E" w:rsidP="0041339E">
      <w:pPr>
        <w:pStyle w:val="NORMA"/>
        <w:spacing w:before="0" w:after="0" w:line="240" w:lineRule="auto"/>
        <w:ind w:left="0" w:firstLine="708"/>
        <w:rPr>
          <w:rFonts w:ascii="Arial" w:hAnsi="Arial" w:cs="Arial"/>
          <w:sz w:val="20"/>
          <w:szCs w:val="20"/>
        </w:rPr>
      </w:pPr>
      <w:r w:rsidRPr="0041339E">
        <w:rPr>
          <w:rFonts w:ascii="Arial" w:hAnsi="Arial" w:cs="Arial"/>
          <w:sz w:val="20"/>
          <w:szCs w:val="20"/>
        </w:rPr>
        <w:t>Por los fundamentos expuesto y haciendo uso de las facultades conferidas en los artículos 6º, 20º y 43º de la Ley N°27972, Ley Orgánica de Municipalidades;</w:t>
      </w:r>
    </w:p>
    <w:p w:rsidR="001F76E1" w:rsidRDefault="001F76E1" w:rsidP="006F482E">
      <w:pPr>
        <w:pStyle w:val="NORMA"/>
        <w:spacing w:before="0" w:after="0" w:line="240" w:lineRule="auto"/>
        <w:ind w:left="0"/>
        <w:rPr>
          <w:rFonts w:ascii="Arial" w:hAnsi="Arial" w:cs="Arial"/>
          <w:b/>
          <w:sz w:val="20"/>
          <w:szCs w:val="20"/>
        </w:rPr>
      </w:pPr>
    </w:p>
    <w:p w:rsidR="006F482E" w:rsidRPr="00984058" w:rsidRDefault="006F482E" w:rsidP="00984058">
      <w:pPr>
        <w:jc w:val="both"/>
        <w:rPr>
          <w:rFonts w:cs="Arial"/>
          <w:b/>
          <w:sz w:val="20"/>
          <w:szCs w:val="20"/>
          <w:u w:val="single"/>
          <w:lang w:val="es-MX"/>
        </w:rPr>
      </w:pPr>
      <w:r w:rsidRPr="00984058">
        <w:rPr>
          <w:rFonts w:cs="Arial"/>
          <w:b/>
          <w:sz w:val="20"/>
          <w:szCs w:val="20"/>
          <w:u w:val="single"/>
          <w:lang w:val="es-MX"/>
        </w:rPr>
        <w:t>SE RESUELVE:</w:t>
      </w:r>
    </w:p>
    <w:p w:rsidR="006F482E" w:rsidRPr="003252AA" w:rsidRDefault="006F482E" w:rsidP="006F482E">
      <w:pPr>
        <w:jc w:val="both"/>
        <w:rPr>
          <w:rFonts w:ascii="Arial Narrow" w:hAnsi="Arial Narrow" w:cs="Arial"/>
          <w:b/>
        </w:rPr>
      </w:pPr>
    </w:p>
    <w:p w:rsidR="0041339E" w:rsidRPr="0041339E" w:rsidRDefault="006F482E" w:rsidP="0041339E">
      <w:pPr>
        <w:shd w:val="clear" w:color="auto" w:fill="FFFFFF"/>
        <w:jc w:val="both"/>
        <w:rPr>
          <w:rFonts w:cs="Arial"/>
          <w:color w:val="000000"/>
          <w:sz w:val="20"/>
          <w:szCs w:val="20"/>
          <w:lang w:eastAsia="es-PE"/>
        </w:rPr>
      </w:pPr>
      <w:r w:rsidRPr="0041339E">
        <w:rPr>
          <w:rFonts w:cs="Arial"/>
          <w:b/>
          <w:sz w:val="20"/>
          <w:szCs w:val="20"/>
        </w:rPr>
        <w:t xml:space="preserve">ARTÍCULO PRIMERO. </w:t>
      </w:r>
      <w:r w:rsidR="00C63A2E" w:rsidRPr="0041339E">
        <w:rPr>
          <w:rFonts w:cs="Arial"/>
          <w:b/>
          <w:sz w:val="20"/>
          <w:szCs w:val="20"/>
        </w:rPr>
        <w:t>–</w:t>
      </w:r>
      <w:r w:rsidRPr="0041339E">
        <w:rPr>
          <w:rFonts w:cs="Arial"/>
          <w:b/>
          <w:sz w:val="20"/>
          <w:szCs w:val="20"/>
        </w:rPr>
        <w:t xml:space="preserve"> </w:t>
      </w:r>
      <w:r w:rsidR="0041339E" w:rsidRPr="0041339E">
        <w:rPr>
          <w:rFonts w:cs="Arial"/>
          <w:b/>
          <w:color w:val="000000"/>
          <w:sz w:val="20"/>
          <w:szCs w:val="20"/>
          <w:lang w:eastAsia="es-PE"/>
        </w:rPr>
        <w:t>APROBAR,</w:t>
      </w:r>
      <w:r w:rsidR="0041339E" w:rsidRPr="0041339E">
        <w:rPr>
          <w:rFonts w:cs="Arial"/>
          <w:color w:val="000000"/>
          <w:sz w:val="20"/>
          <w:szCs w:val="20"/>
          <w:lang w:eastAsia="es-PE"/>
        </w:rPr>
        <w:t xml:space="preserve"> el Plan Operativo Institucional (POI) 2022 de la Municipalidad Distrital de Huasahuasi, el mismo que como anexo forma parte integrante de la presente Resolución.</w:t>
      </w:r>
    </w:p>
    <w:p w:rsidR="0041339E" w:rsidRPr="0041339E" w:rsidRDefault="0041339E" w:rsidP="0041339E">
      <w:pPr>
        <w:shd w:val="clear" w:color="auto" w:fill="FFFFFF"/>
        <w:jc w:val="both"/>
        <w:rPr>
          <w:rFonts w:cs="Arial"/>
          <w:b/>
          <w:bCs/>
          <w:color w:val="000000"/>
          <w:sz w:val="20"/>
          <w:szCs w:val="20"/>
          <w:lang w:eastAsia="es-PE"/>
        </w:rPr>
      </w:pPr>
    </w:p>
    <w:p w:rsidR="0041339E" w:rsidRPr="0041339E" w:rsidRDefault="0041339E" w:rsidP="0041339E">
      <w:pPr>
        <w:shd w:val="clear" w:color="auto" w:fill="FFFFFF"/>
        <w:jc w:val="both"/>
        <w:rPr>
          <w:rFonts w:cs="Arial"/>
          <w:color w:val="000000"/>
          <w:sz w:val="20"/>
          <w:szCs w:val="20"/>
          <w:lang w:eastAsia="es-PE"/>
        </w:rPr>
      </w:pPr>
      <w:r w:rsidRPr="0041339E">
        <w:rPr>
          <w:rFonts w:cs="Arial"/>
          <w:b/>
          <w:bCs/>
          <w:color w:val="000000"/>
          <w:sz w:val="20"/>
          <w:szCs w:val="20"/>
          <w:lang w:eastAsia="es-PE"/>
        </w:rPr>
        <w:t xml:space="preserve">ARTICULO SEGUNDO. –ENCARGAR, </w:t>
      </w:r>
      <w:r w:rsidRPr="0041339E">
        <w:rPr>
          <w:rFonts w:cs="Arial"/>
          <w:bCs/>
          <w:color w:val="000000"/>
          <w:sz w:val="20"/>
          <w:szCs w:val="20"/>
          <w:lang w:eastAsia="es-PE"/>
        </w:rPr>
        <w:t>a la Sub gerencia de Planeamiento, Presupuesto y Racionalización, el seguimiento, monitoreo y evaluación del citado Plan, según lo dispuesto, en la Guía para el planeamiento institucional</w:t>
      </w:r>
      <w:r w:rsidRPr="0041339E">
        <w:rPr>
          <w:rFonts w:cs="Arial"/>
          <w:color w:val="000000"/>
          <w:sz w:val="20"/>
          <w:szCs w:val="20"/>
          <w:lang w:eastAsia="es-PE"/>
        </w:rPr>
        <w:t>.</w:t>
      </w:r>
    </w:p>
    <w:p w:rsidR="0041339E" w:rsidRPr="0041339E" w:rsidRDefault="0041339E" w:rsidP="0041339E">
      <w:pPr>
        <w:shd w:val="clear" w:color="auto" w:fill="FFFFFF"/>
        <w:jc w:val="both"/>
        <w:rPr>
          <w:rFonts w:cs="Arial"/>
          <w:b/>
          <w:bCs/>
          <w:color w:val="000000"/>
          <w:sz w:val="20"/>
          <w:szCs w:val="20"/>
          <w:lang w:eastAsia="es-PE"/>
        </w:rPr>
      </w:pPr>
    </w:p>
    <w:p w:rsidR="0041339E" w:rsidRPr="0041339E" w:rsidRDefault="0041339E" w:rsidP="0041339E">
      <w:pPr>
        <w:shd w:val="clear" w:color="auto" w:fill="FFFFFF"/>
        <w:jc w:val="both"/>
        <w:rPr>
          <w:rFonts w:cs="Arial"/>
          <w:color w:val="000000"/>
          <w:sz w:val="20"/>
          <w:szCs w:val="20"/>
          <w:lang w:eastAsia="es-PE"/>
        </w:rPr>
      </w:pPr>
      <w:r w:rsidRPr="0041339E">
        <w:rPr>
          <w:rFonts w:cs="Arial"/>
          <w:b/>
          <w:bCs/>
          <w:color w:val="000000"/>
          <w:sz w:val="20"/>
          <w:szCs w:val="20"/>
          <w:lang w:eastAsia="es-PE"/>
        </w:rPr>
        <w:t xml:space="preserve">Artículo TERCERO. -ENCARGAR, </w:t>
      </w:r>
      <w:r w:rsidRPr="0041339E">
        <w:rPr>
          <w:rFonts w:cs="Arial"/>
          <w:color w:val="000000"/>
          <w:sz w:val="20"/>
          <w:szCs w:val="20"/>
          <w:lang w:eastAsia="es-PE"/>
        </w:rPr>
        <w:t xml:space="preserve">a la Gerencia Municipal y demás órganos y unidades orgánicas Oficina de la municipalidad el cumplimiento de la presente resolución de </w:t>
      </w:r>
      <w:r w:rsidRPr="0041339E">
        <w:rPr>
          <w:rFonts w:cs="Arial"/>
          <w:color w:val="000000"/>
          <w:sz w:val="20"/>
          <w:szCs w:val="20"/>
          <w:lang w:eastAsia="es-PE"/>
        </w:rPr>
        <w:t>Alcaldía</w:t>
      </w:r>
      <w:r w:rsidRPr="0041339E">
        <w:rPr>
          <w:rFonts w:cs="Arial"/>
          <w:color w:val="000000"/>
          <w:sz w:val="20"/>
          <w:szCs w:val="20"/>
          <w:lang w:eastAsia="es-PE"/>
        </w:rPr>
        <w:t>.</w:t>
      </w:r>
    </w:p>
    <w:p w:rsidR="0041339E" w:rsidRPr="0041339E" w:rsidRDefault="0041339E" w:rsidP="0041339E">
      <w:pPr>
        <w:shd w:val="clear" w:color="auto" w:fill="FFFFFF"/>
        <w:jc w:val="both"/>
        <w:rPr>
          <w:rFonts w:cs="Arial"/>
          <w:b/>
          <w:bCs/>
          <w:color w:val="000000"/>
          <w:sz w:val="20"/>
          <w:szCs w:val="20"/>
          <w:lang w:eastAsia="es-PE"/>
        </w:rPr>
      </w:pPr>
    </w:p>
    <w:p w:rsidR="0041339E" w:rsidRPr="0041339E" w:rsidRDefault="0041339E" w:rsidP="0041339E">
      <w:pPr>
        <w:shd w:val="clear" w:color="auto" w:fill="FFFFFF"/>
        <w:jc w:val="both"/>
        <w:rPr>
          <w:rFonts w:cs="Arial"/>
          <w:color w:val="000000"/>
          <w:sz w:val="20"/>
          <w:szCs w:val="20"/>
          <w:lang w:eastAsia="es-PE"/>
        </w:rPr>
      </w:pPr>
      <w:r w:rsidRPr="0041339E">
        <w:rPr>
          <w:rFonts w:cs="Arial"/>
          <w:b/>
          <w:bCs/>
          <w:color w:val="000000"/>
          <w:sz w:val="20"/>
          <w:szCs w:val="20"/>
          <w:lang w:eastAsia="es-PE"/>
        </w:rPr>
        <w:t>Artículo CUARTO,</w:t>
      </w:r>
      <w:r w:rsidRPr="0041339E">
        <w:rPr>
          <w:rFonts w:cs="Arial"/>
          <w:color w:val="000000"/>
          <w:sz w:val="20"/>
          <w:szCs w:val="20"/>
          <w:lang w:eastAsia="es-PE"/>
        </w:rPr>
        <w:t xml:space="preserve"> </w:t>
      </w:r>
      <w:r w:rsidRPr="0041339E">
        <w:rPr>
          <w:rFonts w:cs="Arial"/>
          <w:b/>
          <w:color w:val="000000"/>
          <w:sz w:val="20"/>
          <w:szCs w:val="20"/>
          <w:lang w:eastAsia="es-PE"/>
        </w:rPr>
        <w:t>DISPONER</w:t>
      </w:r>
      <w:r w:rsidRPr="0041339E">
        <w:rPr>
          <w:rFonts w:cs="Arial"/>
          <w:color w:val="000000"/>
          <w:sz w:val="20"/>
          <w:szCs w:val="20"/>
          <w:lang w:eastAsia="es-PE"/>
        </w:rPr>
        <w:t>, que la Unidad</w:t>
      </w:r>
      <w:r w:rsidRPr="0041339E">
        <w:rPr>
          <w:rFonts w:cs="Arial"/>
          <w:color w:val="000000"/>
          <w:sz w:val="20"/>
          <w:szCs w:val="20"/>
          <w:lang w:eastAsia="es-PE"/>
        </w:rPr>
        <w:t xml:space="preserve"> de Imagen Institucional</w:t>
      </w:r>
      <w:r w:rsidRPr="0041339E">
        <w:rPr>
          <w:rFonts w:cs="Arial"/>
          <w:color w:val="000000"/>
          <w:sz w:val="20"/>
          <w:szCs w:val="20"/>
          <w:lang w:eastAsia="es-PE"/>
        </w:rPr>
        <w:t>, la publicación del Plan Operativo Institucional (POI) 2022 de la Municipalidad Distrital de Huasahuasi, en el Portal Institucional del Municipalidad distrital de Huasahuasi y Portal de Transparencia Estándar.</w:t>
      </w:r>
    </w:p>
    <w:p w:rsidR="006F482E" w:rsidRPr="0041339E" w:rsidRDefault="006F482E" w:rsidP="0041339E">
      <w:pPr>
        <w:jc w:val="both"/>
        <w:rPr>
          <w:rFonts w:ascii="Arial Narrow" w:hAnsi="Arial Narrow" w:cs="Arial"/>
          <w:sz w:val="22"/>
          <w:szCs w:val="22"/>
        </w:rPr>
      </w:pPr>
    </w:p>
    <w:p w:rsidR="006F482E" w:rsidRPr="00774009" w:rsidRDefault="006F482E" w:rsidP="006F482E">
      <w:pPr>
        <w:pStyle w:val="NORMA"/>
        <w:spacing w:before="0" w:after="0" w:line="240" w:lineRule="auto"/>
        <w:ind w:left="1416" w:firstLine="708"/>
        <w:rPr>
          <w:rFonts w:ascii="Arial Narrow" w:hAnsi="Arial Narrow" w:cs="Arial"/>
          <w:b/>
          <w:sz w:val="22"/>
          <w:szCs w:val="22"/>
        </w:rPr>
      </w:pPr>
      <w:r w:rsidRPr="00774009">
        <w:rPr>
          <w:rFonts w:ascii="Arial Narrow" w:hAnsi="Arial Narrow" w:cs="Arial"/>
          <w:b/>
          <w:sz w:val="22"/>
          <w:szCs w:val="22"/>
        </w:rPr>
        <w:t>REGÍSTRESE, COMUNÍQUESE Y CÚMPLASE.</w:t>
      </w:r>
    </w:p>
    <w:p w:rsidR="006F482E" w:rsidRPr="00C30496" w:rsidRDefault="006F482E" w:rsidP="006F482E">
      <w:pPr>
        <w:jc w:val="center"/>
        <w:outlineLvl w:val="0"/>
        <w:rPr>
          <w:rFonts w:cs="Arial"/>
          <w:b/>
        </w:rPr>
      </w:pPr>
    </w:p>
    <w:p w:rsidR="006F482E" w:rsidRPr="00C30496" w:rsidRDefault="006F482E" w:rsidP="006F482E">
      <w:pPr>
        <w:jc w:val="center"/>
        <w:outlineLvl w:val="0"/>
        <w:rPr>
          <w:rFonts w:cs="Arial"/>
          <w:b/>
        </w:rPr>
      </w:pPr>
      <w:bookmarkStart w:id="0" w:name="_GoBack"/>
      <w:bookmarkEnd w:id="0"/>
    </w:p>
    <w:p w:rsidR="006F482E" w:rsidRPr="00C30496" w:rsidRDefault="006F482E" w:rsidP="006F482E">
      <w:pPr>
        <w:jc w:val="center"/>
        <w:outlineLvl w:val="0"/>
        <w:rPr>
          <w:rFonts w:cs="Arial"/>
          <w:b/>
        </w:rPr>
      </w:pPr>
    </w:p>
    <w:p w:rsidR="006F482E" w:rsidRPr="00C30496" w:rsidRDefault="006F482E" w:rsidP="006F482E">
      <w:pPr>
        <w:jc w:val="center"/>
        <w:outlineLvl w:val="0"/>
        <w:rPr>
          <w:rFonts w:cs="Arial"/>
          <w:b/>
        </w:rPr>
      </w:pPr>
    </w:p>
    <w:p w:rsidR="00D10C00" w:rsidRPr="001E3EED" w:rsidRDefault="00D10C00" w:rsidP="006F482E">
      <w:pPr>
        <w:spacing w:after="120" w:line="360" w:lineRule="auto"/>
        <w:jc w:val="both"/>
        <w:rPr>
          <w:b/>
          <w:sz w:val="12"/>
          <w:szCs w:val="12"/>
          <w:lang w:val="es-PE"/>
        </w:rPr>
      </w:pPr>
    </w:p>
    <w:sectPr w:rsidR="00D10C00" w:rsidRPr="001E3EED" w:rsidSect="004D612E">
      <w:headerReference w:type="default" r:id="rId7"/>
      <w:footerReference w:type="default" r:id="rId8"/>
      <w:pgSz w:w="11906" w:h="16838" w:code="9"/>
      <w:pgMar w:top="1417" w:right="1701"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69" w:rsidRDefault="00C67A69" w:rsidP="006F5610">
      <w:r>
        <w:separator/>
      </w:r>
    </w:p>
  </w:endnote>
  <w:endnote w:type="continuationSeparator" w:id="0">
    <w:p w:rsidR="00C67A69" w:rsidRDefault="00C67A69" w:rsidP="006F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10" w:rsidRDefault="006F5610" w:rsidP="006F5610">
    <w:pPr>
      <w:pStyle w:val="Piedepgina"/>
      <w:ind w:left="720"/>
      <w:jc w:val="center"/>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80010</wp:posOffset>
              </wp:positionV>
              <wp:extent cx="5518150" cy="0"/>
              <wp:effectExtent l="0" t="0" r="25400" b="19050"/>
              <wp:wrapNone/>
              <wp:docPr id="2" name="Conector recto 2"/>
              <wp:cNvGraphicFramePr/>
              <a:graphic xmlns:a="http://schemas.openxmlformats.org/drawingml/2006/main">
                <a:graphicData uri="http://schemas.microsoft.com/office/word/2010/wordprocessingShape">
                  <wps:wsp>
                    <wps:cNvCnPr/>
                    <wps:spPr>
                      <a:xfrm>
                        <a:off x="0" y="0"/>
                        <a:ext cx="55181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E39F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6.3pt" to="430.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" strokecolor="#00b050" strokeweight="1.5pt">
              <v:stroke joinstyle="miter"/>
            </v:line>
          </w:pict>
        </mc:Fallback>
      </mc:AlternateContent>
    </w:r>
  </w:p>
  <w:p w:rsidR="006F5610" w:rsidRPr="006F5610" w:rsidRDefault="006F5610" w:rsidP="006F5610">
    <w:pPr>
      <w:pStyle w:val="Piedepgina"/>
      <w:ind w:left="720"/>
      <w:jc w:val="center"/>
      <w:rPr>
        <w:b/>
      </w:rPr>
    </w:pPr>
    <w:r w:rsidRPr="006F5610">
      <w:rPr>
        <w:b/>
      </w:rPr>
      <w:t xml:space="preserve">Jr. </w:t>
    </w:r>
    <w:proofErr w:type="spellStart"/>
    <w:r w:rsidRPr="006F5610">
      <w:rPr>
        <w:b/>
      </w:rPr>
      <w:t>Piedraliza</w:t>
    </w:r>
    <w:proofErr w:type="spellEnd"/>
    <w:r w:rsidRPr="006F5610">
      <w:rPr>
        <w:b/>
      </w:rPr>
      <w:t xml:space="preserve"> #104 – Huasahuasi – Tarma – Junín</w:t>
    </w:r>
  </w:p>
  <w:p w:rsidR="00514301" w:rsidRDefault="001E428A">
    <w:pPr>
      <w:pStyle w:val="Piedepgina"/>
    </w:pPr>
    <w:hyperlink r:id="rId1" w:history="1">
      <w:r w:rsidR="000630C7" w:rsidRPr="00741476">
        <w:rPr>
          <w:rStyle w:val="Hipervnculo"/>
        </w:rPr>
        <w:t>ecapcha_hsi@hotmail.com</w:t>
      </w:r>
    </w:hyperlink>
    <w:r w:rsidR="006F5610">
      <w:t xml:space="preserve">     /          </w:t>
    </w:r>
    <w:r w:rsidR="006F5610">
      <w:tab/>
    </w:r>
    <w:hyperlink r:id="rId2" w:history="1">
      <w:r w:rsidR="00C81876" w:rsidRPr="00741476">
        <w:rPr>
          <w:rStyle w:val="Hipervnculo"/>
        </w:rPr>
        <w:t>munihuasahuasi104@gmail.com</w:t>
      </w:r>
    </w:hyperlink>
    <w:r w:rsidR="006F5610">
      <w:t xml:space="preserve">       /</w:t>
    </w:r>
    <w:r w:rsidR="006F5610">
      <w:tab/>
      <w:t xml:space="preserve">   </w:t>
    </w:r>
    <w:r w:rsidR="006F5610">
      <w:rPr>
        <w:noProof/>
        <w:lang w:val="en-US"/>
      </w:rPr>
      <w:drawing>
        <wp:inline distT="0" distB="0" distL="0" distR="0" wp14:anchorId="0C1C0B73" wp14:editId="2AEFF7D8">
          <wp:extent cx="200177" cy="196850"/>
          <wp:effectExtent l="0" t="0" r="9525" b="0"/>
          <wp:docPr id="53" name="Imagen 53" descr="Iconos de computadora teléfonos celulares llamada telefónica, diverso,  llamada telefónica, text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s de computadora teléfonos celulares llamada telefónica, diverso,  llamada telefónica, texto png | PNGWing"/>
                  <pic:cNvPicPr>
                    <a:picLocks noChangeAspect="1" noChangeArrowheads="1"/>
                  </pic:cNvPicPr>
                </pic:nvPicPr>
                <pic:blipFill rotWithShape="1">
                  <a:blip r:embed="rId3">
                    <a:extLst>
                      <a:ext uri="{28A0092B-C50C-407E-A947-70E740481C1C}">
                        <a14:useLocalDpi xmlns:a14="http://schemas.microsoft.com/office/drawing/2010/main" val="0"/>
                      </a:ext>
                    </a:extLst>
                  </a:blip>
                  <a:srcRect l="14817" r="14441"/>
                  <a:stretch/>
                </pic:blipFill>
                <pic:spPr bwMode="auto">
                  <a:xfrm flipV="1">
                    <a:off x="0" y="0"/>
                    <a:ext cx="212506" cy="208974"/>
                  </a:xfrm>
                  <a:prstGeom prst="rect">
                    <a:avLst/>
                  </a:prstGeom>
                  <a:noFill/>
                  <a:ln>
                    <a:noFill/>
                  </a:ln>
                  <a:extLst>
                    <a:ext uri="{53640926-AAD7-44D8-BBD7-CCE9431645EC}">
                      <a14:shadowObscured xmlns:a14="http://schemas.microsoft.com/office/drawing/2010/main"/>
                    </a:ext>
                  </a:extLst>
                </pic:spPr>
              </pic:pic>
            </a:graphicData>
          </a:graphic>
        </wp:inline>
      </w:drawing>
    </w:r>
    <w:r w:rsidR="00514301">
      <w:t>9</w:t>
    </w:r>
    <w:r w:rsidR="000402F4">
      <w:t>80482580</w:t>
    </w:r>
  </w:p>
  <w:p w:rsidR="006F5610" w:rsidRDefault="006F56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69" w:rsidRDefault="00C67A69" w:rsidP="006F5610">
      <w:r>
        <w:separator/>
      </w:r>
    </w:p>
  </w:footnote>
  <w:footnote w:type="continuationSeparator" w:id="0">
    <w:p w:rsidR="00C67A69" w:rsidRDefault="00C67A69" w:rsidP="006F5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12E" w:rsidRDefault="004D612E">
    <w:pPr>
      <w:pStyle w:val="Encabezado"/>
    </w:pPr>
    <w:r>
      <w:rPr>
        <w:noProof/>
        <w:lang w:val="en-US"/>
      </w:rPr>
      <w:drawing>
        <wp:anchor distT="0" distB="0" distL="114300" distR="114300" simplePos="0" relativeHeight="251661312" behindDoc="1" locked="0" layoutInCell="1" allowOverlap="1" wp14:anchorId="3705F939" wp14:editId="7B36D113">
          <wp:simplePos x="0" y="0"/>
          <wp:positionH relativeFrom="page">
            <wp:posOffset>9525</wp:posOffset>
          </wp:positionH>
          <wp:positionV relativeFrom="paragraph">
            <wp:posOffset>-459740</wp:posOffset>
          </wp:positionV>
          <wp:extent cx="7563485" cy="15716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3634"/>
                  <a:stretch/>
                </pic:blipFill>
                <pic:spPr bwMode="auto">
                  <a:xfrm>
                    <a:off x="0" y="0"/>
                    <a:ext cx="756348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conos de computadora teléfonos celulares llamada telefónica, diverso,  llamada telefónica, texto png | PNGWing" style="width:690.05pt;height:479.8pt;flip:y;visibility:visible" o:bullet="t">
        <v:imagedata r:id="rId1" o:title="Iconos de computadora teléfonos celulares llamada telefónica, diverso,  llamada telefónica, texto png | PNGWing" cropleft="9710f" cropright="9464f"/>
      </v:shape>
    </w:pict>
  </w:numPicBullet>
  <w:abstractNum w:abstractNumId="0" w15:restartNumberingAfterBreak="0">
    <w:nsid w:val="217F3F17"/>
    <w:multiLevelType w:val="hybridMultilevel"/>
    <w:tmpl w:val="4CA232EA"/>
    <w:lvl w:ilvl="0" w:tplc="A63A901C">
      <w:start w:val="1"/>
      <w:numFmt w:val="bullet"/>
      <w:lvlText w:val=""/>
      <w:lvlPicBulletId w:val="0"/>
      <w:lvlJc w:val="left"/>
      <w:pPr>
        <w:tabs>
          <w:tab w:val="num" w:pos="720"/>
        </w:tabs>
        <w:ind w:left="720" w:hanging="360"/>
      </w:pPr>
      <w:rPr>
        <w:rFonts w:ascii="Symbol" w:hAnsi="Symbol" w:hint="default"/>
      </w:rPr>
    </w:lvl>
    <w:lvl w:ilvl="1" w:tplc="23ACE27C" w:tentative="1">
      <w:start w:val="1"/>
      <w:numFmt w:val="bullet"/>
      <w:lvlText w:val=""/>
      <w:lvlJc w:val="left"/>
      <w:pPr>
        <w:tabs>
          <w:tab w:val="num" w:pos="1440"/>
        </w:tabs>
        <w:ind w:left="1440" w:hanging="360"/>
      </w:pPr>
      <w:rPr>
        <w:rFonts w:ascii="Symbol" w:hAnsi="Symbol" w:hint="default"/>
      </w:rPr>
    </w:lvl>
    <w:lvl w:ilvl="2" w:tplc="2C202D02" w:tentative="1">
      <w:start w:val="1"/>
      <w:numFmt w:val="bullet"/>
      <w:lvlText w:val=""/>
      <w:lvlJc w:val="left"/>
      <w:pPr>
        <w:tabs>
          <w:tab w:val="num" w:pos="2160"/>
        </w:tabs>
        <w:ind w:left="2160" w:hanging="360"/>
      </w:pPr>
      <w:rPr>
        <w:rFonts w:ascii="Symbol" w:hAnsi="Symbol" w:hint="default"/>
      </w:rPr>
    </w:lvl>
    <w:lvl w:ilvl="3" w:tplc="EF86665C" w:tentative="1">
      <w:start w:val="1"/>
      <w:numFmt w:val="bullet"/>
      <w:lvlText w:val=""/>
      <w:lvlJc w:val="left"/>
      <w:pPr>
        <w:tabs>
          <w:tab w:val="num" w:pos="2880"/>
        </w:tabs>
        <w:ind w:left="2880" w:hanging="360"/>
      </w:pPr>
      <w:rPr>
        <w:rFonts w:ascii="Symbol" w:hAnsi="Symbol" w:hint="default"/>
      </w:rPr>
    </w:lvl>
    <w:lvl w:ilvl="4" w:tplc="50566B98" w:tentative="1">
      <w:start w:val="1"/>
      <w:numFmt w:val="bullet"/>
      <w:lvlText w:val=""/>
      <w:lvlJc w:val="left"/>
      <w:pPr>
        <w:tabs>
          <w:tab w:val="num" w:pos="3600"/>
        </w:tabs>
        <w:ind w:left="3600" w:hanging="360"/>
      </w:pPr>
      <w:rPr>
        <w:rFonts w:ascii="Symbol" w:hAnsi="Symbol" w:hint="default"/>
      </w:rPr>
    </w:lvl>
    <w:lvl w:ilvl="5" w:tplc="355A1D96" w:tentative="1">
      <w:start w:val="1"/>
      <w:numFmt w:val="bullet"/>
      <w:lvlText w:val=""/>
      <w:lvlJc w:val="left"/>
      <w:pPr>
        <w:tabs>
          <w:tab w:val="num" w:pos="4320"/>
        </w:tabs>
        <w:ind w:left="4320" w:hanging="360"/>
      </w:pPr>
      <w:rPr>
        <w:rFonts w:ascii="Symbol" w:hAnsi="Symbol" w:hint="default"/>
      </w:rPr>
    </w:lvl>
    <w:lvl w:ilvl="6" w:tplc="719AADA6" w:tentative="1">
      <w:start w:val="1"/>
      <w:numFmt w:val="bullet"/>
      <w:lvlText w:val=""/>
      <w:lvlJc w:val="left"/>
      <w:pPr>
        <w:tabs>
          <w:tab w:val="num" w:pos="5040"/>
        </w:tabs>
        <w:ind w:left="5040" w:hanging="360"/>
      </w:pPr>
      <w:rPr>
        <w:rFonts w:ascii="Symbol" w:hAnsi="Symbol" w:hint="default"/>
      </w:rPr>
    </w:lvl>
    <w:lvl w:ilvl="7" w:tplc="4FA01644" w:tentative="1">
      <w:start w:val="1"/>
      <w:numFmt w:val="bullet"/>
      <w:lvlText w:val=""/>
      <w:lvlJc w:val="left"/>
      <w:pPr>
        <w:tabs>
          <w:tab w:val="num" w:pos="5760"/>
        </w:tabs>
        <w:ind w:left="5760" w:hanging="360"/>
      </w:pPr>
      <w:rPr>
        <w:rFonts w:ascii="Symbol" w:hAnsi="Symbol" w:hint="default"/>
      </w:rPr>
    </w:lvl>
    <w:lvl w:ilvl="8" w:tplc="6CF6A5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4949C8"/>
    <w:multiLevelType w:val="hybridMultilevel"/>
    <w:tmpl w:val="7514EEC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C16777"/>
    <w:multiLevelType w:val="hybridMultilevel"/>
    <w:tmpl w:val="188AC24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B84257B"/>
    <w:multiLevelType w:val="hybridMultilevel"/>
    <w:tmpl w:val="498E4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47FB3"/>
    <w:multiLevelType w:val="hybridMultilevel"/>
    <w:tmpl w:val="76700B1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2DF73ED"/>
    <w:multiLevelType w:val="hybridMultilevel"/>
    <w:tmpl w:val="15FE1E62"/>
    <w:lvl w:ilvl="0" w:tplc="2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10"/>
    <w:rsid w:val="00003126"/>
    <w:rsid w:val="00005F16"/>
    <w:rsid w:val="00017006"/>
    <w:rsid w:val="00032CC9"/>
    <w:rsid w:val="000360D6"/>
    <w:rsid w:val="00036D48"/>
    <w:rsid w:val="000402F4"/>
    <w:rsid w:val="00061EDE"/>
    <w:rsid w:val="000630C7"/>
    <w:rsid w:val="00072898"/>
    <w:rsid w:val="00093398"/>
    <w:rsid w:val="00097F0C"/>
    <w:rsid w:val="000A3A40"/>
    <w:rsid w:val="000B48AA"/>
    <w:rsid w:val="000B4CAF"/>
    <w:rsid w:val="000C5C4B"/>
    <w:rsid w:val="000C6D01"/>
    <w:rsid w:val="000F0CB1"/>
    <w:rsid w:val="00130696"/>
    <w:rsid w:val="00143CF9"/>
    <w:rsid w:val="00156A10"/>
    <w:rsid w:val="00176D7E"/>
    <w:rsid w:val="001962F8"/>
    <w:rsid w:val="00197058"/>
    <w:rsid w:val="001B465A"/>
    <w:rsid w:val="001D2110"/>
    <w:rsid w:val="001E3065"/>
    <w:rsid w:val="001E3EED"/>
    <w:rsid w:val="001E428A"/>
    <w:rsid w:val="001F6A4B"/>
    <w:rsid w:val="001F76E1"/>
    <w:rsid w:val="00203EFE"/>
    <w:rsid w:val="00216236"/>
    <w:rsid w:val="002225ED"/>
    <w:rsid w:val="0022421C"/>
    <w:rsid w:val="0023364B"/>
    <w:rsid w:val="00241DDE"/>
    <w:rsid w:val="002438B9"/>
    <w:rsid w:val="00247060"/>
    <w:rsid w:val="00252BB6"/>
    <w:rsid w:val="002648DC"/>
    <w:rsid w:val="00270F4B"/>
    <w:rsid w:val="00284D99"/>
    <w:rsid w:val="002C31CB"/>
    <w:rsid w:val="002E6BD1"/>
    <w:rsid w:val="00302968"/>
    <w:rsid w:val="003451CA"/>
    <w:rsid w:val="0036336B"/>
    <w:rsid w:val="003642CA"/>
    <w:rsid w:val="00377BF4"/>
    <w:rsid w:val="00381A49"/>
    <w:rsid w:val="003A5EF2"/>
    <w:rsid w:val="003B5FA4"/>
    <w:rsid w:val="003C07FA"/>
    <w:rsid w:val="003C4479"/>
    <w:rsid w:val="003D1238"/>
    <w:rsid w:val="003E564D"/>
    <w:rsid w:val="003E7978"/>
    <w:rsid w:val="003F53C6"/>
    <w:rsid w:val="003F6141"/>
    <w:rsid w:val="0041339E"/>
    <w:rsid w:val="0045698E"/>
    <w:rsid w:val="004815F7"/>
    <w:rsid w:val="00494E13"/>
    <w:rsid w:val="004A1B21"/>
    <w:rsid w:val="004A6FA0"/>
    <w:rsid w:val="004B7271"/>
    <w:rsid w:val="004C22E9"/>
    <w:rsid w:val="004C4D97"/>
    <w:rsid w:val="004D1631"/>
    <w:rsid w:val="004D5589"/>
    <w:rsid w:val="004D612E"/>
    <w:rsid w:val="004F5B16"/>
    <w:rsid w:val="005057EA"/>
    <w:rsid w:val="00514301"/>
    <w:rsid w:val="00522FA7"/>
    <w:rsid w:val="00536673"/>
    <w:rsid w:val="005401A1"/>
    <w:rsid w:val="005410F5"/>
    <w:rsid w:val="00547148"/>
    <w:rsid w:val="00570729"/>
    <w:rsid w:val="00577A27"/>
    <w:rsid w:val="005867FC"/>
    <w:rsid w:val="005878CC"/>
    <w:rsid w:val="005A491E"/>
    <w:rsid w:val="005B3B90"/>
    <w:rsid w:val="005C0166"/>
    <w:rsid w:val="005C29F6"/>
    <w:rsid w:val="005D68CB"/>
    <w:rsid w:val="005E0842"/>
    <w:rsid w:val="00600276"/>
    <w:rsid w:val="006016DB"/>
    <w:rsid w:val="006056DC"/>
    <w:rsid w:val="00607BAF"/>
    <w:rsid w:val="0064604B"/>
    <w:rsid w:val="00647C82"/>
    <w:rsid w:val="006546E3"/>
    <w:rsid w:val="006567C7"/>
    <w:rsid w:val="006713F3"/>
    <w:rsid w:val="0067312A"/>
    <w:rsid w:val="00675B7A"/>
    <w:rsid w:val="00690919"/>
    <w:rsid w:val="006D002B"/>
    <w:rsid w:val="006E596B"/>
    <w:rsid w:val="006F31C1"/>
    <w:rsid w:val="006F482E"/>
    <w:rsid w:val="006F5610"/>
    <w:rsid w:val="00712135"/>
    <w:rsid w:val="00713D1F"/>
    <w:rsid w:val="00716262"/>
    <w:rsid w:val="00750F92"/>
    <w:rsid w:val="00751B89"/>
    <w:rsid w:val="00753E0B"/>
    <w:rsid w:val="007552FB"/>
    <w:rsid w:val="007572B1"/>
    <w:rsid w:val="00787D20"/>
    <w:rsid w:val="007A2421"/>
    <w:rsid w:val="007A3C92"/>
    <w:rsid w:val="007B2A37"/>
    <w:rsid w:val="007D2ADB"/>
    <w:rsid w:val="007D2EDA"/>
    <w:rsid w:val="007D324C"/>
    <w:rsid w:val="007F7271"/>
    <w:rsid w:val="0080587A"/>
    <w:rsid w:val="00832C66"/>
    <w:rsid w:val="00864C31"/>
    <w:rsid w:val="0086505A"/>
    <w:rsid w:val="00866E0F"/>
    <w:rsid w:val="00872FC8"/>
    <w:rsid w:val="008978BE"/>
    <w:rsid w:val="008B5C5F"/>
    <w:rsid w:val="008C0E9B"/>
    <w:rsid w:val="008C5A45"/>
    <w:rsid w:val="008D4C1A"/>
    <w:rsid w:val="008E40B3"/>
    <w:rsid w:val="008E55E7"/>
    <w:rsid w:val="008E5C7D"/>
    <w:rsid w:val="008F0CDA"/>
    <w:rsid w:val="00915D39"/>
    <w:rsid w:val="00984058"/>
    <w:rsid w:val="00987601"/>
    <w:rsid w:val="00987F71"/>
    <w:rsid w:val="00992EFB"/>
    <w:rsid w:val="009A14B1"/>
    <w:rsid w:val="009C5B0F"/>
    <w:rsid w:val="009C62F2"/>
    <w:rsid w:val="009D7D46"/>
    <w:rsid w:val="009E1F5A"/>
    <w:rsid w:val="009E3544"/>
    <w:rsid w:val="00A22451"/>
    <w:rsid w:val="00A27027"/>
    <w:rsid w:val="00A43931"/>
    <w:rsid w:val="00A62B13"/>
    <w:rsid w:val="00A63C86"/>
    <w:rsid w:val="00A64FDB"/>
    <w:rsid w:val="00AA2895"/>
    <w:rsid w:val="00AA4B0C"/>
    <w:rsid w:val="00AA7E06"/>
    <w:rsid w:val="00AD32D7"/>
    <w:rsid w:val="00AD70C4"/>
    <w:rsid w:val="00AD7B0A"/>
    <w:rsid w:val="00AE62AB"/>
    <w:rsid w:val="00B02D8A"/>
    <w:rsid w:val="00B145B6"/>
    <w:rsid w:val="00B20485"/>
    <w:rsid w:val="00B40878"/>
    <w:rsid w:val="00B568E0"/>
    <w:rsid w:val="00B61165"/>
    <w:rsid w:val="00B6232E"/>
    <w:rsid w:val="00B6540C"/>
    <w:rsid w:val="00B72CEB"/>
    <w:rsid w:val="00B76AE3"/>
    <w:rsid w:val="00B8146C"/>
    <w:rsid w:val="00B81F29"/>
    <w:rsid w:val="00B826B0"/>
    <w:rsid w:val="00BC25C1"/>
    <w:rsid w:val="00BC47AA"/>
    <w:rsid w:val="00BD6E2A"/>
    <w:rsid w:val="00BE0BDF"/>
    <w:rsid w:val="00BF1010"/>
    <w:rsid w:val="00C0778D"/>
    <w:rsid w:val="00C206C0"/>
    <w:rsid w:val="00C23482"/>
    <w:rsid w:val="00C30632"/>
    <w:rsid w:val="00C343BB"/>
    <w:rsid w:val="00C45C1B"/>
    <w:rsid w:val="00C5236E"/>
    <w:rsid w:val="00C546D6"/>
    <w:rsid w:val="00C564EA"/>
    <w:rsid w:val="00C60B62"/>
    <w:rsid w:val="00C63A2E"/>
    <w:rsid w:val="00C67A69"/>
    <w:rsid w:val="00C81876"/>
    <w:rsid w:val="00C81B91"/>
    <w:rsid w:val="00C8634F"/>
    <w:rsid w:val="00CA3376"/>
    <w:rsid w:val="00CC30E1"/>
    <w:rsid w:val="00CD593C"/>
    <w:rsid w:val="00CF53AE"/>
    <w:rsid w:val="00D01F2D"/>
    <w:rsid w:val="00D020C1"/>
    <w:rsid w:val="00D10C00"/>
    <w:rsid w:val="00D15C65"/>
    <w:rsid w:val="00D50810"/>
    <w:rsid w:val="00D61092"/>
    <w:rsid w:val="00D64796"/>
    <w:rsid w:val="00D74CFA"/>
    <w:rsid w:val="00D754BA"/>
    <w:rsid w:val="00D82D2A"/>
    <w:rsid w:val="00DB106F"/>
    <w:rsid w:val="00DB707B"/>
    <w:rsid w:val="00DC1BBC"/>
    <w:rsid w:val="00DC5709"/>
    <w:rsid w:val="00DD0585"/>
    <w:rsid w:val="00DD3368"/>
    <w:rsid w:val="00DD5E0A"/>
    <w:rsid w:val="00E048D0"/>
    <w:rsid w:val="00E1327C"/>
    <w:rsid w:val="00E25004"/>
    <w:rsid w:val="00E25881"/>
    <w:rsid w:val="00E36EE1"/>
    <w:rsid w:val="00E5112F"/>
    <w:rsid w:val="00E558BE"/>
    <w:rsid w:val="00E74A11"/>
    <w:rsid w:val="00E7685E"/>
    <w:rsid w:val="00EA590A"/>
    <w:rsid w:val="00EA640E"/>
    <w:rsid w:val="00ED2FF5"/>
    <w:rsid w:val="00F20ABF"/>
    <w:rsid w:val="00F21DF3"/>
    <w:rsid w:val="00F30CB5"/>
    <w:rsid w:val="00F477E6"/>
    <w:rsid w:val="00F71037"/>
    <w:rsid w:val="00F715C5"/>
    <w:rsid w:val="00F959AC"/>
    <w:rsid w:val="00FB2357"/>
    <w:rsid w:val="00FB73A0"/>
    <w:rsid w:val="00FC5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9ED7"/>
  <w15:docId w15:val="{AB40CD2B-A72A-4698-82ED-D6C7BC5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DA"/>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610"/>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6F5610"/>
    <w:rPr>
      <w:lang w:val="es-PE"/>
    </w:rPr>
  </w:style>
  <w:style w:type="paragraph" w:styleId="Piedepgina">
    <w:name w:val="footer"/>
    <w:basedOn w:val="Normal"/>
    <w:link w:val="PiedepginaCar"/>
    <w:uiPriority w:val="99"/>
    <w:unhideWhenUsed/>
    <w:rsid w:val="006F5610"/>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6F5610"/>
    <w:rPr>
      <w:lang w:val="es-PE"/>
    </w:rPr>
  </w:style>
  <w:style w:type="character" w:styleId="Hipervnculo">
    <w:name w:val="Hyperlink"/>
    <w:basedOn w:val="Fuentedeprrafopredeter"/>
    <w:uiPriority w:val="99"/>
    <w:unhideWhenUsed/>
    <w:rsid w:val="006F5610"/>
    <w:rPr>
      <w:color w:val="0563C1" w:themeColor="hyperlink"/>
      <w:u w:val="single"/>
    </w:rPr>
  </w:style>
  <w:style w:type="paragraph" w:styleId="Textodeglobo">
    <w:name w:val="Balloon Text"/>
    <w:basedOn w:val="Normal"/>
    <w:link w:val="TextodegloboCar"/>
    <w:uiPriority w:val="99"/>
    <w:semiHidden/>
    <w:unhideWhenUsed/>
    <w:rsid w:val="004D6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612E"/>
    <w:rPr>
      <w:rFonts w:ascii="Segoe UI" w:hAnsi="Segoe UI" w:cs="Segoe UI"/>
      <w:sz w:val="18"/>
      <w:szCs w:val="18"/>
      <w:lang w:val="es-PE"/>
    </w:rPr>
  </w:style>
  <w:style w:type="paragraph" w:styleId="NormalWeb">
    <w:name w:val="Normal (Web)"/>
    <w:basedOn w:val="Normal"/>
    <w:uiPriority w:val="99"/>
    <w:unhideWhenUsed/>
    <w:rsid w:val="00B568E0"/>
    <w:pPr>
      <w:spacing w:before="100" w:beforeAutospacing="1" w:after="100" w:afterAutospacing="1"/>
    </w:pPr>
    <w:rPr>
      <w:rFonts w:ascii="Times New Roman" w:hAnsi="Times New Roman"/>
      <w:lang w:val="en-US"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2438B9"/>
    <w:pPr>
      <w:spacing w:after="160" w:line="259" w:lineRule="auto"/>
      <w:ind w:left="720"/>
      <w:contextualSpacing/>
    </w:pPr>
    <w:rPr>
      <w:rFonts w:asciiTheme="minorHAnsi" w:eastAsiaTheme="minorHAnsi" w:hAnsiTheme="minorHAnsi" w:cstheme="minorBidi"/>
      <w:sz w:val="22"/>
      <w:szCs w:val="22"/>
      <w:lang w:val="es-PE" w:eastAsia="en-US"/>
    </w:rPr>
  </w:style>
  <w:style w:type="table" w:styleId="Tablaconcuadrcula">
    <w:name w:val="Table Grid"/>
    <w:basedOn w:val="Tablanormal"/>
    <w:uiPriority w:val="39"/>
    <w:qFormat/>
    <w:rsid w:val="000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5112F"/>
    <w:rPr>
      <w:b/>
      <w:bCs/>
    </w:rPr>
  </w:style>
  <w:style w:type="paragraph" w:styleId="Sinespaciado">
    <w:name w:val="No Spacing"/>
    <w:uiPriority w:val="1"/>
    <w:qFormat/>
    <w:rsid w:val="00AA4B0C"/>
    <w:pPr>
      <w:spacing w:after="0" w:line="240" w:lineRule="auto"/>
    </w:pPr>
    <w:rPr>
      <w:lang w:val="es-CO"/>
    </w:rPr>
  </w:style>
  <w:style w:type="paragraph" w:customStyle="1" w:styleId="Default">
    <w:name w:val="Default"/>
    <w:rsid w:val="00AA4B0C"/>
    <w:pPr>
      <w:autoSpaceDE w:val="0"/>
      <w:autoSpaceDN w:val="0"/>
      <w:adjustRightInd w:val="0"/>
      <w:spacing w:after="0" w:line="240" w:lineRule="auto"/>
    </w:pPr>
    <w:rPr>
      <w:rFonts w:ascii="Arial" w:hAnsi="Arial" w:cs="Arial"/>
      <w:color w:val="000000"/>
      <w:sz w:val="24"/>
      <w:szCs w:val="24"/>
      <w:lang w:val="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4D5589"/>
    <w:rPr>
      <w:lang w:val="es-PE"/>
    </w:rPr>
  </w:style>
  <w:style w:type="paragraph" w:styleId="Textoindependiente">
    <w:name w:val="Body Text"/>
    <w:basedOn w:val="Normal"/>
    <w:link w:val="TextoindependienteCar"/>
    <w:rsid w:val="001E3EED"/>
    <w:rPr>
      <w:rFonts w:ascii="Univers" w:hAnsi="Univers"/>
      <w:sz w:val="22"/>
      <w:szCs w:val="20"/>
    </w:rPr>
  </w:style>
  <w:style w:type="character" w:customStyle="1" w:styleId="TextoindependienteCar">
    <w:name w:val="Texto independiente Car"/>
    <w:basedOn w:val="Fuentedeprrafopredeter"/>
    <w:link w:val="Textoindependiente"/>
    <w:rsid w:val="001E3EED"/>
    <w:rPr>
      <w:rFonts w:ascii="Univers" w:eastAsia="Times New Roman" w:hAnsi="Univers" w:cs="Times New Roman"/>
      <w:szCs w:val="20"/>
      <w:lang w:eastAsia="es-ES"/>
    </w:rPr>
  </w:style>
  <w:style w:type="paragraph" w:customStyle="1" w:styleId="cuerpo">
    <w:name w:val="cuerpo"/>
    <w:basedOn w:val="Normal"/>
    <w:rsid w:val="001E3065"/>
    <w:pPr>
      <w:spacing w:before="100" w:beforeAutospacing="1" w:after="100" w:afterAutospacing="1"/>
    </w:pPr>
    <w:rPr>
      <w:rFonts w:ascii="Times New Roman" w:hAnsi="Times New Roman"/>
      <w:lang w:val="es-PE" w:eastAsia="es-PE"/>
    </w:rPr>
  </w:style>
  <w:style w:type="character" w:customStyle="1" w:styleId="FontStyle50">
    <w:name w:val="Font Style50"/>
    <w:basedOn w:val="Fuentedeprrafopredeter"/>
    <w:uiPriority w:val="99"/>
    <w:rsid w:val="001E3065"/>
    <w:rPr>
      <w:rFonts w:ascii="Arial" w:hAnsi="Arial" w:cs="Arial" w:hint="default"/>
      <w:sz w:val="16"/>
      <w:szCs w:val="16"/>
    </w:rPr>
  </w:style>
  <w:style w:type="paragraph" w:customStyle="1" w:styleId="Style7">
    <w:name w:val="Style7"/>
    <w:basedOn w:val="Normal"/>
    <w:uiPriority w:val="99"/>
    <w:rsid w:val="001E3065"/>
    <w:pPr>
      <w:widowControl w:val="0"/>
      <w:autoSpaceDE w:val="0"/>
      <w:autoSpaceDN w:val="0"/>
      <w:adjustRightInd w:val="0"/>
      <w:spacing w:line="186" w:lineRule="exact"/>
      <w:jc w:val="both"/>
    </w:pPr>
    <w:rPr>
      <w:rFonts w:eastAsiaTheme="minorEastAsia" w:cs="Arial"/>
    </w:rPr>
  </w:style>
  <w:style w:type="paragraph" w:customStyle="1" w:styleId="NORMA">
    <w:name w:val="NORMA"/>
    <w:basedOn w:val="Normal"/>
    <w:link w:val="NORMACar"/>
    <w:qFormat/>
    <w:rsid w:val="00D61092"/>
    <w:pPr>
      <w:spacing w:before="120" w:after="120" w:line="280" w:lineRule="exact"/>
      <w:ind w:left="709"/>
      <w:jc w:val="both"/>
    </w:pPr>
    <w:rPr>
      <w:rFonts w:ascii="Times New Roman" w:eastAsia="Calibri" w:hAnsi="Times New Roman"/>
      <w:lang w:val="es-MX" w:eastAsia="es-PE"/>
    </w:rPr>
  </w:style>
  <w:style w:type="character" w:customStyle="1" w:styleId="NORMACar">
    <w:name w:val="NORMA Car"/>
    <w:link w:val="NORMA"/>
    <w:rsid w:val="00D61092"/>
    <w:rPr>
      <w:rFonts w:ascii="Times New Roman" w:eastAsia="Calibri" w:hAnsi="Times New Roman" w:cs="Times New Roman"/>
      <w:sz w:val="24"/>
      <w:szCs w:val="24"/>
      <w:lang w:val="es-MX" w:eastAsia="es-PE"/>
    </w:rPr>
  </w:style>
  <w:style w:type="paragraph" w:customStyle="1" w:styleId="Estilo1TITULO">
    <w:name w:val="Estilo1 TITULO"/>
    <w:basedOn w:val="Prrafodelista"/>
    <w:link w:val="Estilo1TITULOCar"/>
    <w:qFormat/>
    <w:rsid w:val="006F482E"/>
    <w:pPr>
      <w:tabs>
        <w:tab w:val="left" w:pos="284"/>
      </w:tabs>
      <w:spacing w:before="240" w:after="240" w:line="240" w:lineRule="auto"/>
      <w:ind w:left="0"/>
      <w:jc w:val="both"/>
      <w:outlineLvl w:val="0"/>
    </w:pPr>
    <w:rPr>
      <w:rFonts w:ascii="Arial" w:eastAsia="Calibri" w:hAnsi="Arial" w:cs="Times New Roman"/>
      <w:b/>
      <w:color w:val="000000"/>
      <w:sz w:val="24"/>
      <w:szCs w:val="24"/>
      <w:lang w:val="x-none" w:eastAsia="es-PE"/>
    </w:rPr>
  </w:style>
  <w:style w:type="character" w:customStyle="1" w:styleId="Estilo1TITULOCar">
    <w:name w:val="Estilo1 TITULO Car"/>
    <w:link w:val="Estilo1TITULO"/>
    <w:rsid w:val="006F482E"/>
    <w:rPr>
      <w:rFonts w:ascii="Arial" w:eastAsia="Calibri" w:hAnsi="Arial" w:cs="Times New Roman"/>
      <w:b/>
      <w:color w:val="000000"/>
      <w:sz w:val="24"/>
      <w:szCs w:val="24"/>
      <w:lang w:val="x-none" w:eastAsia="es-PE"/>
    </w:rPr>
  </w:style>
  <w:style w:type="character" w:customStyle="1" w:styleId="no-style-override">
    <w:name w:val="no-style-override"/>
    <w:basedOn w:val="Fuentedeprrafopredeter"/>
    <w:rsid w:val="006F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munihuasahuasi104@gmail.com" TargetMode="External"/><Relationship Id="rId1" Type="http://schemas.openxmlformats.org/officeDocument/2006/relationships/hyperlink" Target="mailto:ecapcha_hs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2</Pages>
  <Words>939</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IAV9</cp:lastModifiedBy>
  <cp:revision>28</cp:revision>
  <cp:lastPrinted>2022-02-25T21:20:00Z</cp:lastPrinted>
  <dcterms:created xsi:type="dcterms:W3CDTF">2021-02-19T17:03:00Z</dcterms:created>
  <dcterms:modified xsi:type="dcterms:W3CDTF">2022-02-25T22:17:00Z</dcterms:modified>
</cp:coreProperties>
</file>