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7C561" w14:textId="77777777" w:rsidR="00C72EB6" w:rsidRPr="00E71197" w:rsidRDefault="00C72EB6" w:rsidP="00C25E25">
      <w:pPr>
        <w:pStyle w:val="Sinespaciado"/>
        <w:jc w:val="center"/>
        <w:rPr>
          <w:rFonts w:cstheme="minorHAnsi"/>
          <w:b/>
        </w:rPr>
      </w:pPr>
    </w:p>
    <w:p w14:paraId="740BF7BF" w14:textId="77777777" w:rsidR="00D93AC6" w:rsidRDefault="00975948" w:rsidP="00E57FB7">
      <w:pPr>
        <w:pStyle w:val="Sinespaciad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</w:p>
    <w:p w14:paraId="0A2C4E9B" w14:textId="77777777" w:rsidR="00E57FB7" w:rsidRPr="00FA222B" w:rsidRDefault="00A77D6E" w:rsidP="00E57FB7">
      <w:pPr>
        <w:pStyle w:val="Sinespaciad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PRESUPUESTO INSTITUCIONAL </w:t>
      </w:r>
    </w:p>
    <w:p w14:paraId="60D0394B" w14:textId="77777777" w:rsidR="00E57FB7" w:rsidRDefault="00306CC1" w:rsidP="00E57FB7">
      <w:pPr>
        <w:pStyle w:val="Sinespaciad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POR TODA </w:t>
      </w:r>
      <w:r w:rsidR="00E57FB7" w:rsidRPr="00FA222B">
        <w:rPr>
          <w:rFonts w:cstheme="minorHAnsi"/>
          <w:b/>
          <w:sz w:val="24"/>
          <w:szCs w:val="24"/>
        </w:rPr>
        <w:t>FUENTE DE FINANCIAMIENTO</w:t>
      </w:r>
      <w:r>
        <w:rPr>
          <w:rFonts w:cstheme="minorHAnsi"/>
          <w:b/>
          <w:sz w:val="24"/>
          <w:szCs w:val="24"/>
        </w:rPr>
        <w:t xml:space="preserve"> – </w:t>
      </w:r>
      <w:r w:rsidR="007A0A05">
        <w:rPr>
          <w:rFonts w:cstheme="minorHAnsi"/>
          <w:b/>
          <w:sz w:val="24"/>
          <w:szCs w:val="24"/>
        </w:rPr>
        <w:t xml:space="preserve"> </w:t>
      </w:r>
      <w:r w:rsidR="009F5280">
        <w:rPr>
          <w:rFonts w:cstheme="minorHAnsi"/>
          <w:b/>
          <w:sz w:val="24"/>
          <w:szCs w:val="24"/>
        </w:rPr>
        <w:t xml:space="preserve">AL </w:t>
      </w:r>
      <w:r w:rsidR="005511F2">
        <w:rPr>
          <w:rFonts w:cstheme="minorHAnsi"/>
          <w:b/>
          <w:sz w:val="24"/>
          <w:szCs w:val="24"/>
        </w:rPr>
        <w:t>I</w:t>
      </w:r>
      <w:r w:rsidR="00A9231D">
        <w:rPr>
          <w:rFonts w:cstheme="minorHAnsi"/>
          <w:b/>
          <w:sz w:val="24"/>
          <w:szCs w:val="24"/>
        </w:rPr>
        <w:t>V</w:t>
      </w:r>
      <w:r w:rsidR="009F5280">
        <w:rPr>
          <w:rFonts w:cstheme="minorHAnsi"/>
          <w:b/>
          <w:sz w:val="24"/>
          <w:szCs w:val="24"/>
        </w:rPr>
        <w:t xml:space="preserve"> TRIMESTRE 2</w:t>
      </w:r>
      <w:r w:rsidR="00E57FB7" w:rsidRPr="00FA222B">
        <w:rPr>
          <w:rFonts w:cstheme="minorHAnsi"/>
          <w:b/>
          <w:sz w:val="24"/>
          <w:szCs w:val="24"/>
        </w:rPr>
        <w:t>0</w:t>
      </w:r>
      <w:r w:rsidR="00914CB9">
        <w:rPr>
          <w:rFonts w:cstheme="minorHAnsi"/>
          <w:b/>
          <w:sz w:val="24"/>
          <w:szCs w:val="24"/>
        </w:rPr>
        <w:t>2</w:t>
      </w:r>
      <w:r w:rsidR="00623441">
        <w:rPr>
          <w:rFonts w:cstheme="minorHAnsi"/>
          <w:b/>
          <w:sz w:val="24"/>
          <w:szCs w:val="24"/>
        </w:rPr>
        <w:t>1</w:t>
      </w:r>
    </w:p>
    <w:p w14:paraId="2F32D9CC" w14:textId="77777777" w:rsidR="00C03C36" w:rsidRDefault="00C03C36" w:rsidP="00E57FB7">
      <w:pPr>
        <w:pStyle w:val="Sinespaciado"/>
        <w:jc w:val="center"/>
        <w:rPr>
          <w:rFonts w:cstheme="minorHAnsi"/>
          <w:b/>
          <w:sz w:val="24"/>
          <w:szCs w:val="24"/>
        </w:rPr>
      </w:pPr>
    </w:p>
    <w:tbl>
      <w:tblPr>
        <w:tblStyle w:val="Tablaconcuadrcula"/>
        <w:tblW w:w="10277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6637"/>
        <w:gridCol w:w="38"/>
      </w:tblGrid>
      <w:tr w:rsidR="008C483B" w14:paraId="229C6229" w14:textId="77777777" w:rsidTr="00A9231D">
        <w:trPr>
          <w:trHeight w:val="4846"/>
        </w:trPr>
        <w:tc>
          <w:tcPr>
            <w:tcW w:w="3602" w:type="dxa"/>
            <w:shd w:val="clear" w:color="auto" w:fill="auto"/>
          </w:tcPr>
          <w:p w14:paraId="4CDA41FF" w14:textId="77777777" w:rsidR="00791881" w:rsidRPr="00F353D3" w:rsidRDefault="000D0F48" w:rsidP="00C72EB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353D3">
              <w:rPr>
                <w:rFonts w:ascii="Arial" w:hAnsi="Arial" w:cs="Arial"/>
                <w:sz w:val="20"/>
                <w:szCs w:val="20"/>
              </w:rPr>
              <w:t>Me</w:t>
            </w:r>
            <w:r w:rsidR="00791881" w:rsidRPr="00F353D3">
              <w:rPr>
                <w:rFonts w:ascii="Arial" w:hAnsi="Arial" w:cs="Arial"/>
                <w:sz w:val="20"/>
                <w:szCs w:val="20"/>
              </w:rPr>
              <w:t>diante Ley No. 29792 se crea el Ministerio de Desarrollo e Inclusión Social –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 MIDIS, que tiene personería jurídica de derecho público y </w:t>
            </w:r>
            <w:r w:rsidR="001041B7" w:rsidRPr="00F353D3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constituye </w:t>
            </w:r>
            <w:r w:rsidR="001041B7" w:rsidRPr="00F353D3">
              <w:rPr>
                <w:rFonts w:ascii="Arial" w:hAnsi="Arial" w:cs="Arial"/>
                <w:sz w:val="20"/>
                <w:szCs w:val="20"/>
              </w:rPr>
              <w:t xml:space="preserve">como </w:t>
            </w:r>
            <w:r w:rsidRPr="00F353D3">
              <w:rPr>
                <w:rFonts w:ascii="Arial" w:hAnsi="Arial" w:cs="Arial"/>
                <w:sz w:val="20"/>
                <w:szCs w:val="20"/>
              </w:rPr>
              <w:t>pliego</w:t>
            </w:r>
            <w:r w:rsidR="004E7B42" w:rsidRPr="00F353D3">
              <w:rPr>
                <w:rFonts w:ascii="Arial" w:hAnsi="Arial" w:cs="Arial"/>
                <w:sz w:val="20"/>
                <w:szCs w:val="20"/>
              </w:rPr>
              <w:t xml:space="preserve"> presupuestal.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C22BA23" w14:textId="77777777" w:rsidR="00791881" w:rsidRDefault="00791881" w:rsidP="00C72EB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4BBD24" w14:textId="77777777" w:rsidR="001356DF" w:rsidRPr="00F353D3" w:rsidRDefault="00623441" w:rsidP="001356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 Ley Nº 31084 se aprobó el Presupuesto del Sector Público para el año fiscal 2021, y con Resolución Ministerial 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 xml:space="preserve">N° </w:t>
            </w:r>
            <w:r>
              <w:rPr>
                <w:rFonts w:ascii="Arial" w:hAnsi="Arial" w:cs="Arial"/>
                <w:sz w:val="20"/>
                <w:szCs w:val="20"/>
              </w:rPr>
              <w:t>220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-20</w:t>
            </w:r>
            <w:r>
              <w:rPr>
                <w:rFonts w:ascii="Arial" w:hAnsi="Arial" w:cs="Arial"/>
                <w:sz w:val="20"/>
                <w:szCs w:val="20"/>
              </w:rPr>
              <w:t>20-MIDIS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, de fecha 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>dic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iembre de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 xml:space="preserve">, se aprueba el Presupuesto Institucional de Apertura </w:t>
            </w:r>
            <w:r>
              <w:rPr>
                <w:rFonts w:ascii="Arial" w:hAnsi="Arial" w:cs="Arial"/>
                <w:sz w:val="20"/>
                <w:szCs w:val="20"/>
              </w:rPr>
              <w:t xml:space="preserve">de Gastos 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(PIA) para el año Fiscal 202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 xml:space="preserve"> a favor del Pliego 040: Ministerio de Desarrollo e Inclusión Social - MIDIS, el mismo que asigna recursos a favor de la Unidad Ejecutora 004: FONCODES, la suma de S/ 29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’</w:t>
            </w:r>
            <w:r>
              <w:rPr>
                <w:rFonts w:ascii="Arial" w:hAnsi="Arial" w:cs="Arial"/>
                <w:sz w:val="20"/>
                <w:szCs w:val="20"/>
              </w:rPr>
              <w:t>840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308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, en la fuente de financiamiento Recursos</w:t>
            </w:r>
            <w:r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rdinarios</w:t>
            </w:r>
          </w:p>
          <w:p w14:paraId="73A3BB42" w14:textId="77777777" w:rsidR="00B43A41" w:rsidRPr="00F14D58" w:rsidRDefault="00B43A41" w:rsidP="00F11543">
            <w:pPr>
              <w:pStyle w:val="Sinespaciado"/>
              <w:jc w:val="both"/>
              <w:rPr>
                <w:rFonts w:ascii="Calibri" w:hAnsi="Calibri" w:cs="Calibri"/>
              </w:rPr>
            </w:pPr>
          </w:p>
        </w:tc>
        <w:tc>
          <w:tcPr>
            <w:tcW w:w="6675" w:type="dxa"/>
            <w:gridSpan w:val="2"/>
            <w:shd w:val="clear" w:color="auto" w:fill="auto"/>
          </w:tcPr>
          <w:p w14:paraId="6B53C11E" w14:textId="77777777" w:rsidR="00C72EB6" w:rsidRDefault="00A9231D" w:rsidP="00E57FB7">
            <w:pPr>
              <w:pStyle w:val="Sinespaciado"/>
              <w:jc w:val="center"/>
              <w:rPr>
                <w:rFonts w:cstheme="minorHAnsi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1C53962E" wp14:editId="4DB52014">
                  <wp:extent cx="4114800" cy="2947481"/>
                  <wp:effectExtent l="0" t="0" r="19050" b="24765"/>
                  <wp:docPr id="1" name="Gráfico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07249CB4" w14:textId="77777777" w:rsidR="00623D68" w:rsidRDefault="00623D68" w:rsidP="00E57FB7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C72EB6" w14:paraId="34C3EECE" w14:textId="77777777" w:rsidTr="00A9231D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591"/>
        </w:trPr>
        <w:tc>
          <w:tcPr>
            <w:tcW w:w="10239" w:type="dxa"/>
            <w:gridSpan w:val="2"/>
          </w:tcPr>
          <w:p w14:paraId="646E7E48" w14:textId="77777777" w:rsidR="00A71D40" w:rsidRDefault="00E145A0" w:rsidP="00A1156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353D3">
              <w:rPr>
                <w:rFonts w:ascii="Arial" w:hAnsi="Arial" w:cs="Arial"/>
                <w:sz w:val="20"/>
                <w:szCs w:val="20"/>
              </w:rPr>
              <w:t xml:space="preserve">Al </w:t>
            </w:r>
            <w:r w:rsidR="00A9231D">
              <w:rPr>
                <w:rFonts w:ascii="Arial" w:hAnsi="Arial" w:cs="Arial"/>
                <w:sz w:val="20"/>
                <w:szCs w:val="20"/>
              </w:rPr>
              <w:t>IV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 Trimestre 202</w:t>
            </w:r>
            <w:r w:rsidR="00623D68">
              <w:rPr>
                <w:rFonts w:ascii="Arial" w:hAnsi="Arial" w:cs="Arial"/>
                <w:sz w:val="20"/>
                <w:szCs w:val="20"/>
              </w:rPr>
              <w:t>1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 el Presupuesto Institucional Modificado </w:t>
            </w:r>
            <w:r w:rsidR="00A71D40">
              <w:rPr>
                <w:rFonts w:ascii="Arial" w:hAnsi="Arial" w:cs="Arial"/>
                <w:sz w:val="20"/>
                <w:szCs w:val="20"/>
              </w:rPr>
              <w:t xml:space="preserve">– PIM, 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asciende a S/  </w:t>
            </w:r>
            <w:r w:rsidR="00C63851">
              <w:rPr>
                <w:rFonts w:ascii="Arial" w:hAnsi="Arial" w:cs="Arial"/>
                <w:sz w:val="20"/>
                <w:szCs w:val="20"/>
              </w:rPr>
              <w:t>3</w:t>
            </w:r>
            <w:r w:rsidR="00A9231D">
              <w:rPr>
                <w:rFonts w:ascii="Arial" w:hAnsi="Arial" w:cs="Arial"/>
                <w:sz w:val="20"/>
                <w:szCs w:val="20"/>
              </w:rPr>
              <w:t>23</w:t>
            </w:r>
            <w:r w:rsidR="00C63851">
              <w:rPr>
                <w:rFonts w:ascii="Arial" w:hAnsi="Arial" w:cs="Arial"/>
                <w:sz w:val="20"/>
                <w:szCs w:val="20"/>
              </w:rPr>
              <w:t>,7</w:t>
            </w:r>
            <w:r w:rsidR="00A9231D">
              <w:rPr>
                <w:rFonts w:ascii="Arial" w:hAnsi="Arial" w:cs="Arial"/>
                <w:sz w:val="20"/>
                <w:szCs w:val="20"/>
              </w:rPr>
              <w:t>88</w:t>
            </w:r>
            <w:r w:rsidR="00C63851">
              <w:rPr>
                <w:rFonts w:ascii="Arial" w:hAnsi="Arial" w:cs="Arial"/>
                <w:sz w:val="20"/>
                <w:szCs w:val="20"/>
              </w:rPr>
              <w:t>,</w:t>
            </w:r>
            <w:r w:rsidR="00A9231D">
              <w:rPr>
                <w:rFonts w:ascii="Arial" w:hAnsi="Arial" w:cs="Arial"/>
                <w:sz w:val="20"/>
                <w:szCs w:val="20"/>
              </w:rPr>
              <w:t>794</w:t>
            </w:r>
            <w:r w:rsidRPr="00F353D3">
              <w:rPr>
                <w:rFonts w:ascii="Arial" w:hAnsi="Arial" w:cs="Arial"/>
                <w:sz w:val="20"/>
                <w:szCs w:val="20"/>
              </w:rPr>
              <w:t>.00, habiendo sido modificado</w:t>
            </w:r>
            <w:r w:rsidR="00A71D40">
              <w:rPr>
                <w:rFonts w:ascii="Arial" w:hAnsi="Arial" w:cs="Arial"/>
                <w:sz w:val="20"/>
                <w:szCs w:val="20"/>
              </w:rPr>
              <w:t xml:space="preserve"> según </w:t>
            </w:r>
            <w:r w:rsidR="00D76942">
              <w:rPr>
                <w:rFonts w:ascii="Arial" w:hAnsi="Arial" w:cs="Arial"/>
                <w:sz w:val="20"/>
                <w:szCs w:val="20"/>
              </w:rPr>
              <w:t xml:space="preserve">los </w:t>
            </w:r>
            <w:r w:rsidR="00A71D40">
              <w:rPr>
                <w:rFonts w:ascii="Arial" w:hAnsi="Arial" w:cs="Arial"/>
                <w:sz w:val="20"/>
                <w:szCs w:val="20"/>
              </w:rPr>
              <w:t>siguiente</w:t>
            </w:r>
            <w:r w:rsidR="00D76942">
              <w:rPr>
                <w:rFonts w:ascii="Arial" w:hAnsi="Arial" w:cs="Arial"/>
                <w:sz w:val="20"/>
                <w:szCs w:val="20"/>
              </w:rPr>
              <w:t>s</w:t>
            </w:r>
            <w:r w:rsidR="00A71D40">
              <w:rPr>
                <w:rFonts w:ascii="Arial" w:hAnsi="Arial" w:cs="Arial"/>
                <w:sz w:val="20"/>
                <w:szCs w:val="20"/>
              </w:rPr>
              <w:t xml:space="preserve"> dispositivo</w:t>
            </w:r>
            <w:r w:rsidR="00D76942">
              <w:rPr>
                <w:rFonts w:ascii="Arial" w:hAnsi="Arial" w:cs="Arial"/>
                <w:sz w:val="20"/>
                <w:szCs w:val="20"/>
              </w:rPr>
              <w:t>s</w:t>
            </w:r>
            <w:r w:rsidR="00A71D4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DEF839E" w14:textId="77777777" w:rsidR="00A71D40" w:rsidRDefault="00A71D40" w:rsidP="00A1156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994114" w14:textId="77777777" w:rsidR="00A9231D" w:rsidRPr="00A9231D" w:rsidRDefault="00A9231D" w:rsidP="00A9231D">
            <w:pPr>
              <w:numPr>
                <w:ilvl w:val="0"/>
                <w:numId w:val="3"/>
              </w:numPr>
              <w:spacing w:after="200" w:line="276" w:lineRule="auto"/>
              <w:ind w:left="246" w:hanging="284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A9231D">
              <w:rPr>
                <w:rFonts w:ascii="Arial" w:eastAsiaTheme="minorHAnsi" w:hAnsi="Arial" w:cs="Arial"/>
                <w:bCs/>
                <w:sz w:val="20"/>
              </w:rPr>
              <w:t>Resolución Ministerial Nº 038-2021-MIDIS del 8/03/2021, que autoriza l</w:t>
            </w:r>
            <w:r w:rsidRPr="00A9231D">
              <w:rPr>
                <w:rFonts w:ascii="Arial" w:eastAsiaTheme="minorHAnsi" w:hAnsi="Arial" w:cs="Arial"/>
                <w:sz w:val="20"/>
              </w:rPr>
              <w:t>a incorporación de mayores ingresos proveniente del saldo de balance 2020, fuente de financiamiento Recursos Directamente Recaudados (RDR).</w:t>
            </w:r>
          </w:p>
          <w:p w14:paraId="5A627FB2" w14:textId="77777777" w:rsidR="00A9231D" w:rsidRPr="00A9231D" w:rsidRDefault="00A9231D" w:rsidP="00A9231D">
            <w:pPr>
              <w:spacing w:after="200" w:line="276" w:lineRule="auto"/>
              <w:ind w:left="246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0FC9AAEE" w14:textId="77777777" w:rsidR="00A9231D" w:rsidRPr="00A9231D" w:rsidRDefault="00A9231D" w:rsidP="00A9231D">
            <w:pPr>
              <w:numPr>
                <w:ilvl w:val="0"/>
                <w:numId w:val="3"/>
              </w:numPr>
              <w:spacing w:after="200" w:line="276" w:lineRule="auto"/>
              <w:ind w:left="246" w:hanging="284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A9231D">
              <w:rPr>
                <w:rFonts w:ascii="Arial" w:eastAsiaTheme="minorHAnsi" w:hAnsi="Arial" w:cs="Arial"/>
                <w:sz w:val="20"/>
                <w:szCs w:val="20"/>
              </w:rPr>
              <w:t>Resolución Ministerial Nº 168-2021MIDIS, de fecha 01 de septiembre, transferencia de recursos autorizada mediante D.S .Nº 216-2021-EF, numeral 1.1 artículo 1, con cargo a la Reserva de Contingencia del MEF, destinados a financiar el pago de sentencias judiciales en calidad de cosa juzgada y en ejecución al 31/12/2020, fuente de financiamiento Recursos Ordinarios.</w:t>
            </w:r>
          </w:p>
          <w:p w14:paraId="46AF2914" w14:textId="77777777" w:rsidR="00A9231D" w:rsidRPr="00A9231D" w:rsidRDefault="00A9231D" w:rsidP="00A9231D">
            <w:pPr>
              <w:spacing w:after="200" w:line="276" w:lineRule="auto"/>
              <w:ind w:left="246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48C7BC15" w14:textId="77777777" w:rsidR="00A9231D" w:rsidRPr="00A9231D" w:rsidRDefault="00A9231D" w:rsidP="00A9231D">
            <w:pPr>
              <w:numPr>
                <w:ilvl w:val="0"/>
                <w:numId w:val="3"/>
              </w:numPr>
              <w:spacing w:after="200" w:line="276" w:lineRule="auto"/>
              <w:ind w:left="246" w:hanging="284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A9231D">
              <w:rPr>
                <w:rFonts w:ascii="Arial" w:eastAsiaTheme="minorHAnsi" w:hAnsi="Arial" w:cs="Arial"/>
                <w:sz w:val="20"/>
                <w:szCs w:val="20"/>
              </w:rPr>
              <w:t>Resolución Nº 028-2021 MIDIS/SG de fecha 16/09/2021, para completar el financiamiento y ejecución de  04 IOARR del Plan de Cierre de Brechas del ámbito petrolero de Loreto, debido a que los recursos asignado con el  DU Nº 040-2021 resultaron insuficientes, fuente de financiamiento Recursos Ordinarios.</w:t>
            </w:r>
          </w:p>
          <w:p w14:paraId="318746F9" w14:textId="77777777" w:rsidR="00A9231D" w:rsidRPr="00A9231D" w:rsidRDefault="00A9231D" w:rsidP="00A9231D">
            <w:pPr>
              <w:spacing w:after="200" w:line="276" w:lineRule="auto"/>
              <w:ind w:left="246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2DBA9407" w14:textId="77777777" w:rsidR="00A9231D" w:rsidRPr="00A9231D" w:rsidRDefault="00A9231D" w:rsidP="00A9231D">
            <w:pPr>
              <w:numPr>
                <w:ilvl w:val="0"/>
                <w:numId w:val="3"/>
              </w:numPr>
              <w:spacing w:after="200" w:line="276" w:lineRule="auto"/>
              <w:ind w:left="246" w:hanging="246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A9231D">
              <w:rPr>
                <w:rFonts w:ascii="Arial" w:eastAsiaTheme="minorHAnsi" w:hAnsi="Arial" w:cs="Arial"/>
                <w:sz w:val="20"/>
                <w:szCs w:val="20"/>
              </w:rPr>
              <w:t>Resolución Ministerial Nº 128-2021 MIDIS de fecha 22/07/2021, Incorporación de mayores fondos para la ejecución de 4 estudios de Pre-Inversión, 62 Inversiones IOARR, 8 proyectos de inversión, 3 actividades relacionadas al gasto corriente en el marco del DU Nº 040-2021, fuente de financiamiento Donaciones y Transferencias.</w:t>
            </w:r>
          </w:p>
          <w:p w14:paraId="69CD94A7" w14:textId="77777777" w:rsidR="00A9231D" w:rsidRPr="00A9231D" w:rsidRDefault="00A9231D" w:rsidP="00A9231D">
            <w:pPr>
              <w:ind w:left="246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0ECCA8C8" w14:textId="77777777" w:rsidR="00A9231D" w:rsidRPr="00A9231D" w:rsidRDefault="00A9231D" w:rsidP="00A9231D">
            <w:pPr>
              <w:numPr>
                <w:ilvl w:val="0"/>
                <w:numId w:val="3"/>
              </w:numPr>
              <w:spacing w:after="200" w:line="276" w:lineRule="auto"/>
              <w:ind w:left="246" w:hanging="246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A9231D">
              <w:rPr>
                <w:rFonts w:ascii="Arial" w:eastAsiaTheme="minorHAnsi" w:hAnsi="Arial" w:cs="Arial"/>
                <w:sz w:val="20"/>
                <w:szCs w:val="20"/>
              </w:rPr>
              <w:t>Con Resolución Ministerial Nº 225-2021-MIDIS del 20/11/2021, en atención al numeral 17.1, artículo 17 del D.U Nº 105-2021, para financiar el otorgamiento del bono extraordinario, con cargo a los recursos de la Reserva de Contingencia del MEF, a favor de diversos pliegos del Gobierno Nacional, Gobiernos Regionales y Gobiernos Locales.</w:t>
            </w:r>
          </w:p>
          <w:p w14:paraId="5C73B987" w14:textId="77777777" w:rsidR="00A9231D" w:rsidRPr="00A9231D" w:rsidRDefault="00A9231D" w:rsidP="00A9231D">
            <w:pPr>
              <w:ind w:left="246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5EA144B6" w14:textId="77777777" w:rsidR="00A9231D" w:rsidRPr="00A9231D" w:rsidRDefault="00A9231D" w:rsidP="00A9231D">
            <w:pPr>
              <w:numPr>
                <w:ilvl w:val="0"/>
                <w:numId w:val="3"/>
              </w:numPr>
              <w:spacing w:after="200" w:line="276" w:lineRule="auto"/>
              <w:ind w:left="246" w:hanging="246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A9231D">
              <w:rPr>
                <w:rFonts w:ascii="Arial" w:eastAsiaTheme="minorHAnsi" w:hAnsi="Arial" w:cs="Arial"/>
                <w:sz w:val="20"/>
                <w:szCs w:val="20"/>
              </w:rPr>
              <w:t>Resolución Nº 037-2021 MIDIS/SG de fecha 25/11/2021, que autoriza habilitación de recursos para atender los pagos de la retribución económica, así como el derecho de designación y supervisión por el periodo a auditar a cargo de la Contraloría General de la República.</w:t>
            </w:r>
          </w:p>
          <w:p w14:paraId="6BD5DDB2" w14:textId="77777777" w:rsidR="00A9231D" w:rsidRPr="00A9231D" w:rsidRDefault="00A9231D" w:rsidP="00A9231D">
            <w:pPr>
              <w:ind w:left="246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06A6DEDE" w14:textId="77777777" w:rsidR="00A9231D" w:rsidRPr="00A9231D" w:rsidRDefault="00A9231D" w:rsidP="00A9231D">
            <w:pPr>
              <w:numPr>
                <w:ilvl w:val="0"/>
                <w:numId w:val="3"/>
              </w:numPr>
              <w:spacing w:after="200" w:line="276" w:lineRule="auto"/>
              <w:ind w:left="246" w:hanging="246"/>
              <w:contextualSpacing/>
              <w:jc w:val="both"/>
              <w:rPr>
                <w:rFonts w:ascii="Arial" w:eastAsiaTheme="minorHAnsi" w:hAnsi="Arial" w:cs="Arial"/>
                <w:sz w:val="18"/>
                <w:szCs w:val="18"/>
              </w:rPr>
            </w:pPr>
            <w:r w:rsidRPr="00A9231D">
              <w:rPr>
                <w:rFonts w:ascii="Arial" w:eastAsiaTheme="minorHAnsi" w:hAnsi="Arial" w:cs="Arial"/>
                <w:sz w:val="18"/>
                <w:szCs w:val="18"/>
              </w:rPr>
              <w:t>Resolución Nº 040-2021 MIDIS/SG de fecha 23/12/2021, d</w:t>
            </w:r>
            <w:r w:rsidRPr="00A923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emanda adicional para el financiamiento de saldos pendientes por transferir a los Núcleos Ejecutores destinados a la atención a hogares, correspondientes a proyectos del Programa Presupuestal 0118: Acceso de Hogares Rurales con Economías de Subsistencia a Mercados Locales - Haku Wiñay, de las Unidades Territoriales de Abancay y Puno.</w:t>
            </w:r>
          </w:p>
          <w:p w14:paraId="4AC09F06" w14:textId="77777777" w:rsidR="00A9231D" w:rsidRDefault="00A9231D" w:rsidP="00A9231D">
            <w:pPr>
              <w:spacing w:after="200" w:line="276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14:paraId="5AA181BE" w14:textId="77777777" w:rsidR="00A9231D" w:rsidRDefault="00A9231D" w:rsidP="00A9231D">
            <w:pPr>
              <w:spacing w:after="200" w:line="276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14:paraId="00FB4AB1" w14:textId="77777777" w:rsidR="00A9231D" w:rsidRPr="00A9231D" w:rsidRDefault="00A9231D" w:rsidP="00A9231D">
            <w:pPr>
              <w:spacing w:after="200" w:line="276" w:lineRule="auto"/>
              <w:contextualSpacing/>
              <w:jc w:val="both"/>
              <w:rPr>
                <w:rFonts w:ascii="Arial" w:eastAsiaTheme="minorHAnsi" w:hAnsi="Arial" w:cs="Arial"/>
                <w:sz w:val="18"/>
                <w:szCs w:val="18"/>
              </w:rPr>
            </w:pPr>
          </w:p>
          <w:p w14:paraId="436D14A9" w14:textId="77777777" w:rsidR="00A9231D" w:rsidRPr="00A9231D" w:rsidRDefault="00A9231D" w:rsidP="00A9231D">
            <w:pPr>
              <w:ind w:left="246"/>
              <w:contextualSpacing/>
              <w:jc w:val="both"/>
              <w:rPr>
                <w:rFonts w:ascii="Arial" w:eastAsiaTheme="minorHAnsi" w:hAnsi="Arial" w:cs="Arial"/>
                <w:sz w:val="18"/>
                <w:szCs w:val="18"/>
              </w:rPr>
            </w:pPr>
          </w:p>
          <w:p w14:paraId="4ABE5F40" w14:textId="77777777" w:rsidR="00A9231D" w:rsidRPr="00A9231D" w:rsidRDefault="00A9231D" w:rsidP="00A9231D">
            <w:pPr>
              <w:numPr>
                <w:ilvl w:val="0"/>
                <w:numId w:val="3"/>
              </w:numPr>
              <w:spacing w:after="200" w:line="276" w:lineRule="auto"/>
              <w:ind w:left="246" w:hanging="246"/>
              <w:contextualSpacing/>
              <w:jc w:val="both"/>
              <w:rPr>
                <w:rFonts w:ascii="Arial" w:eastAsiaTheme="minorHAnsi" w:hAnsi="Arial" w:cs="Arial"/>
                <w:sz w:val="18"/>
                <w:szCs w:val="18"/>
              </w:rPr>
            </w:pPr>
            <w:r w:rsidRPr="00A9231D">
              <w:rPr>
                <w:rFonts w:ascii="Arial" w:eastAsiaTheme="minorHAnsi" w:hAnsi="Arial" w:cs="Arial"/>
                <w:sz w:val="18"/>
                <w:szCs w:val="18"/>
              </w:rPr>
              <w:t xml:space="preserve">Resolución Ministerial Nº 245-2021-MIDIS del 23/12/2021, </w:t>
            </w:r>
            <w:r w:rsidRPr="00A9231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Transferencia de recursos autorizada mediante D.S.Nº 365-2021-EF, con cargo a la Reserva de Contingencia del MEF, destinados a financiar el pago de sentencias judiciales en calidad de cosa juzgada y en ejecución.</w:t>
            </w:r>
          </w:p>
          <w:p w14:paraId="045906FA" w14:textId="77777777" w:rsidR="00A9231D" w:rsidRDefault="00A9231D" w:rsidP="00A1156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6D476F" w14:textId="77777777" w:rsidR="003E246C" w:rsidRDefault="003E246C" w:rsidP="003E246C">
            <w:pPr>
              <w:pStyle w:val="Prrafodelista"/>
              <w:ind w:left="24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5A6A62" w14:textId="77777777" w:rsidR="00AF2E5F" w:rsidRDefault="00747F89" w:rsidP="00747F89">
            <w:pPr>
              <w:pStyle w:val="Prrafodelista"/>
              <w:ind w:left="246" w:hanging="24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el siguiente cuadro se muestra el marco legal al 3</w:t>
            </w:r>
            <w:r w:rsidR="00A9231D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A9231D"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>/2021</w:t>
            </w:r>
          </w:p>
          <w:p w14:paraId="6CAFEB25" w14:textId="77777777" w:rsidR="007A2603" w:rsidRDefault="007A2603" w:rsidP="00747F89">
            <w:pPr>
              <w:pStyle w:val="Prrafodelista"/>
              <w:ind w:left="246" w:hanging="24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DCD777" w14:textId="77777777" w:rsidR="007A2603" w:rsidRDefault="007669B0" w:rsidP="00560CDA">
            <w:pPr>
              <w:pStyle w:val="Prrafodelista"/>
              <w:ind w:left="246" w:hanging="246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0" w:dyaOrig="13839" w14:anchorId="389C70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6.8pt;height:507.2pt" o:ole="">
                  <v:imagedata r:id="rId9" o:title=""/>
                </v:shape>
                <o:OLEObject Type="Embed" ProgID="Excel.Sheet.12" ShapeID="_x0000_i1025" DrawAspect="Content" ObjectID="_1703308630" r:id="rId10"/>
              </w:object>
            </w:r>
          </w:p>
          <w:p w14:paraId="3A42AECC" w14:textId="77777777" w:rsidR="007A2603" w:rsidRDefault="007A2603" w:rsidP="00747F89">
            <w:pPr>
              <w:pStyle w:val="Prrafodelista"/>
              <w:ind w:left="246" w:hanging="24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38954A" w14:textId="77777777" w:rsidR="00D93AC6" w:rsidRPr="00560CDA" w:rsidRDefault="00D93AC6" w:rsidP="004F5C9C">
            <w:pPr>
              <w:jc w:val="both"/>
              <w:rPr>
                <w:rFonts w:ascii="Arial" w:hAnsi="Arial" w:cs="Arial"/>
              </w:rPr>
            </w:pPr>
          </w:p>
        </w:tc>
      </w:tr>
    </w:tbl>
    <w:p w14:paraId="5BAD3425" w14:textId="77777777" w:rsidR="00FA57F8" w:rsidRPr="00F353D3" w:rsidRDefault="00FA57F8" w:rsidP="00C84452">
      <w:pPr>
        <w:pStyle w:val="Sinespaciado"/>
        <w:jc w:val="both"/>
        <w:rPr>
          <w:rFonts w:ascii="Arial" w:eastAsia="Times New Roman" w:hAnsi="Arial" w:cs="Arial"/>
          <w:sz w:val="20"/>
          <w:szCs w:val="20"/>
          <w:lang w:eastAsia="es-PE"/>
        </w:rPr>
      </w:pPr>
      <w:r w:rsidRPr="00F353D3">
        <w:rPr>
          <w:rFonts w:ascii="Arial" w:eastAsia="Times New Roman" w:hAnsi="Arial" w:cs="Arial"/>
          <w:sz w:val="20"/>
          <w:szCs w:val="20"/>
          <w:lang w:eastAsia="es-PE"/>
        </w:rPr>
        <w:lastRenderedPageBreak/>
        <w:t xml:space="preserve">Al </w:t>
      </w:r>
      <w:r w:rsidR="00560CDA">
        <w:rPr>
          <w:rFonts w:ascii="Arial" w:eastAsia="Times New Roman" w:hAnsi="Arial" w:cs="Arial"/>
          <w:sz w:val="20"/>
          <w:szCs w:val="20"/>
          <w:lang w:eastAsia="es-PE"/>
        </w:rPr>
        <w:t>IV</w:t>
      </w:r>
      <w:r w:rsidR="00F528E0">
        <w:rPr>
          <w:rFonts w:ascii="Arial" w:eastAsia="Times New Roman" w:hAnsi="Arial" w:cs="Arial"/>
          <w:sz w:val="20"/>
          <w:szCs w:val="20"/>
          <w:lang w:eastAsia="es-PE"/>
        </w:rPr>
        <w:t xml:space="preserve"> trimestre </w:t>
      </w:r>
      <w:r w:rsidRPr="00F353D3">
        <w:rPr>
          <w:rFonts w:ascii="Arial" w:eastAsia="Times New Roman" w:hAnsi="Arial" w:cs="Arial"/>
          <w:sz w:val="20"/>
          <w:szCs w:val="20"/>
          <w:lang w:eastAsia="es-PE"/>
        </w:rPr>
        <w:t>la ejecución (etapa de devengado) asciende a S/</w:t>
      </w:r>
      <w:r w:rsidR="00E67BE6">
        <w:rPr>
          <w:rFonts w:ascii="Arial" w:eastAsia="Times New Roman" w:hAnsi="Arial" w:cs="Arial"/>
          <w:sz w:val="20"/>
          <w:szCs w:val="20"/>
          <w:lang w:eastAsia="es-PE"/>
        </w:rPr>
        <w:t xml:space="preserve"> </w:t>
      </w:r>
      <w:r w:rsidR="00560CDA">
        <w:rPr>
          <w:rFonts w:ascii="Arial" w:eastAsia="Times New Roman" w:hAnsi="Arial" w:cs="Arial"/>
          <w:sz w:val="20"/>
          <w:szCs w:val="20"/>
          <w:lang w:eastAsia="es-PE"/>
        </w:rPr>
        <w:t>314</w:t>
      </w:r>
      <w:r w:rsidR="001059E2">
        <w:rPr>
          <w:rFonts w:ascii="Arial" w:eastAsia="Times New Roman" w:hAnsi="Arial" w:cs="Arial"/>
          <w:sz w:val="20"/>
          <w:szCs w:val="20"/>
          <w:lang w:eastAsia="es-PE"/>
        </w:rPr>
        <w:t xml:space="preserve">, </w:t>
      </w:r>
      <w:r w:rsidR="00560CDA">
        <w:rPr>
          <w:rFonts w:ascii="Arial" w:eastAsia="Times New Roman" w:hAnsi="Arial" w:cs="Arial"/>
          <w:sz w:val="20"/>
          <w:szCs w:val="20"/>
          <w:lang w:eastAsia="es-PE"/>
        </w:rPr>
        <w:t>740</w:t>
      </w:r>
      <w:r w:rsidR="001059E2">
        <w:rPr>
          <w:rFonts w:ascii="Arial" w:eastAsia="Times New Roman" w:hAnsi="Arial" w:cs="Arial"/>
          <w:sz w:val="20"/>
          <w:szCs w:val="20"/>
          <w:lang w:eastAsia="es-PE"/>
        </w:rPr>
        <w:t>,</w:t>
      </w:r>
      <w:r w:rsidR="00F528E0">
        <w:rPr>
          <w:rFonts w:ascii="Arial" w:eastAsia="Times New Roman" w:hAnsi="Arial" w:cs="Arial"/>
          <w:sz w:val="20"/>
          <w:szCs w:val="20"/>
          <w:lang w:eastAsia="es-PE"/>
        </w:rPr>
        <w:t>3</w:t>
      </w:r>
      <w:r w:rsidR="00560CDA">
        <w:rPr>
          <w:rFonts w:ascii="Arial" w:eastAsia="Times New Roman" w:hAnsi="Arial" w:cs="Arial"/>
          <w:sz w:val="20"/>
          <w:szCs w:val="20"/>
          <w:lang w:eastAsia="es-PE"/>
        </w:rPr>
        <w:t>29</w:t>
      </w:r>
      <w:r w:rsidR="001059E2">
        <w:rPr>
          <w:rFonts w:ascii="Arial" w:eastAsia="Times New Roman" w:hAnsi="Arial" w:cs="Arial"/>
          <w:sz w:val="20"/>
          <w:szCs w:val="20"/>
          <w:lang w:eastAsia="es-PE"/>
        </w:rPr>
        <w:t>.</w:t>
      </w:r>
      <w:r w:rsidR="00560CDA">
        <w:rPr>
          <w:rFonts w:ascii="Arial" w:eastAsia="Times New Roman" w:hAnsi="Arial" w:cs="Arial"/>
          <w:sz w:val="20"/>
          <w:szCs w:val="20"/>
          <w:lang w:eastAsia="es-PE"/>
        </w:rPr>
        <w:t>39</w:t>
      </w:r>
      <w:r w:rsidRPr="00F353D3">
        <w:rPr>
          <w:rFonts w:ascii="Arial" w:eastAsia="Times New Roman" w:hAnsi="Arial" w:cs="Arial"/>
          <w:sz w:val="20"/>
          <w:szCs w:val="20"/>
          <w:lang w:eastAsia="es-PE"/>
        </w:rPr>
        <w:t>, lo que significa un avance de</w:t>
      </w:r>
      <w:r w:rsidR="00B30A41" w:rsidRPr="00F353D3">
        <w:rPr>
          <w:rFonts w:ascii="Arial" w:eastAsia="Times New Roman" w:hAnsi="Arial" w:cs="Arial"/>
          <w:sz w:val="20"/>
          <w:szCs w:val="20"/>
          <w:lang w:eastAsia="es-PE"/>
        </w:rPr>
        <w:t>l</w:t>
      </w:r>
      <w:r w:rsidRPr="00F353D3">
        <w:rPr>
          <w:rFonts w:ascii="Arial" w:eastAsia="Times New Roman" w:hAnsi="Arial" w:cs="Arial"/>
          <w:sz w:val="20"/>
          <w:szCs w:val="20"/>
          <w:lang w:eastAsia="es-PE"/>
        </w:rPr>
        <w:t xml:space="preserve"> </w:t>
      </w:r>
      <w:r w:rsidR="00560CDA">
        <w:rPr>
          <w:rFonts w:ascii="Arial" w:eastAsia="Times New Roman" w:hAnsi="Arial" w:cs="Arial"/>
          <w:sz w:val="20"/>
          <w:szCs w:val="20"/>
          <w:lang w:eastAsia="es-PE"/>
        </w:rPr>
        <w:t>97.</w:t>
      </w:r>
      <w:r w:rsidR="00F528E0">
        <w:rPr>
          <w:rFonts w:ascii="Arial" w:eastAsia="Times New Roman" w:hAnsi="Arial" w:cs="Arial"/>
          <w:sz w:val="20"/>
          <w:szCs w:val="20"/>
          <w:lang w:eastAsia="es-PE"/>
        </w:rPr>
        <w:t>2</w:t>
      </w:r>
      <w:r w:rsidR="005A0ABB">
        <w:rPr>
          <w:rFonts w:ascii="Arial" w:eastAsia="Times New Roman" w:hAnsi="Arial" w:cs="Arial"/>
          <w:sz w:val="20"/>
          <w:szCs w:val="20"/>
          <w:lang w:eastAsia="es-PE"/>
        </w:rPr>
        <w:t xml:space="preserve"> </w:t>
      </w:r>
      <w:r w:rsidRPr="00F353D3">
        <w:rPr>
          <w:rFonts w:ascii="Arial" w:eastAsia="Times New Roman" w:hAnsi="Arial" w:cs="Arial"/>
          <w:sz w:val="20"/>
          <w:szCs w:val="20"/>
          <w:lang w:eastAsia="es-PE"/>
        </w:rPr>
        <w:t>% con respecto al PIM aprobado</w:t>
      </w:r>
      <w:r w:rsidR="00E67BE6">
        <w:rPr>
          <w:rFonts w:ascii="Arial" w:eastAsia="Times New Roman" w:hAnsi="Arial" w:cs="Arial"/>
          <w:sz w:val="20"/>
          <w:szCs w:val="20"/>
          <w:lang w:eastAsia="es-PE"/>
        </w:rPr>
        <w:t xml:space="preserve"> ascendente a S/ </w:t>
      </w:r>
      <w:r w:rsidR="00F528E0">
        <w:rPr>
          <w:rFonts w:ascii="Arial" w:eastAsia="Times New Roman" w:hAnsi="Arial" w:cs="Arial"/>
          <w:sz w:val="20"/>
          <w:szCs w:val="20"/>
          <w:lang w:eastAsia="es-PE"/>
        </w:rPr>
        <w:t>3</w:t>
      </w:r>
      <w:r w:rsidR="00560CDA">
        <w:rPr>
          <w:rFonts w:ascii="Arial" w:eastAsia="Times New Roman" w:hAnsi="Arial" w:cs="Arial"/>
          <w:sz w:val="20"/>
          <w:szCs w:val="20"/>
          <w:lang w:eastAsia="es-PE"/>
        </w:rPr>
        <w:t>23</w:t>
      </w:r>
      <w:r w:rsidR="001059E2">
        <w:rPr>
          <w:rFonts w:ascii="Arial" w:eastAsia="Times New Roman" w:hAnsi="Arial" w:cs="Arial"/>
          <w:sz w:val="20"/>
          <w:szCs w:val="20"/>
          <w:lang w:eastAsia="es-PE"/>
        </w:rPr>
        <w:t xml:space="preserve">, </w:t>
      </w:r>
      <w:r w:rsidR="00F528E0">
        <w:rPr>
          <w:rFonts w:ascii="Arial" w:eastAsia="Times New Roman" w:hAnsi="Arial" w:cs="Arial"/>
          <w:sz w:val="20"/>
          <w:szCs w:val="20"/>
          <w:lang w:eastAsia="es-PE"/>
        </w:rPr>
        <w:t>7</w:t>
      </w:r>
      <w:r w:rsidR="00560CDA">
        <w:rPr>
          <w:rFonts w:ascii="Arial" w:eastAsia="Times New Roman" w:hAnsi="Arial" w:cs="Arial"/>
          <w:sz w:val="20"/>
          <w:szCs w:val="20"/>
          <w:lang w:eastAsia="es-PE"/>
        </w:rPr>
        <w:t>88</w:t>
      </w:r>
      <w:r w:rsidR="001059E2">
        <w:rPr>
          <w:rFonts w:ascii="Arial" w:eastAsia="Times New Roman" w:hAnsi="Arial" w:cs="Arial"/>
          <w:sz w:val="20"/>
          <w:szCs w:val="20"/>
          <w:lang w:eastAsia="es-PE"/>
        </w:rPr>
        <w:t>,</w:t>
      </w:r>
      <w:r w:rsidR="00560CDA">
        <w:rPr>
          <w:rFonts w:ascii="Arial" w:eastAsia="Times New Roman" w:hAnsi="Arial" w:cs="Arial"/>
          <w:sz w:val="20"/>
          <w:szCs w:val="20"/>
          <w:lang w:eastAsia="es-PE"/>
        </w:rPr>
        <w:t>794</w:t>
      </w:r>
      <w:r w:rsidR="001059E2">
        <w:rPr>
          <w:rFonts w:ascii="Arial" w:eastAsia="Times New Roman" w:hAnsi="Arial" w:cs="Arial"/>
          <w:sz w:val="20"/>
          <w:szCs w:val="20"/>
          <w:lang w:eastAsia="es-PE"/>
        </w:rPr>
        <w:t>.00</w:t>
      </w:r>
      <w:r w:rsidRPr="00F353D3">
        <w:rPr>
          <w:rFonts w:ascii="Arial" w:eastAsia="Times New Roman" w:hAnsi="Arial" w:cs="Arial"/>
          <w:sz w:val="20"/>
          <w:szCs w:val="20"/>
          <w:lang w:eastAsia="es-PE"/>
        </w:rPr>
        <w:t>.</w:t>
      </w:r>
    </w:p>
    <w:p w14:paraId="1EB64B15" w14:textId="77777777" w:rsidR="00C84452" w:rsidRDefault="00C84452" w:rsidP="00C84452">
      <w:pPr>
        <w:pStyle w:val="Sinespaciado"/>
        <w:jc w:val="both"/>
        <w:rPr>
          <w:rFonts w:ascii="Arial" w:eastAsia="Times New Roman" w:hAnsi="Arial" w:cs="Arial"/>
          <w:sz w:val="20"/>
          <w:szCs w:val="20"/>
          <w:lang w:eastAsia="es-PE"/>
        </w:rPr>
      </w:pPr>
    </w:p>
    <w:p w14:paraId="526B1DB9" w14:textId="77777777" w:rsidR="007669B0" w:rsidRDefault="007669B0" w:rsidP="00C84452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PE"/>
        </w:rPr>
        <w:br/>
      </w:r>
    </w:p>
    <w:p w14:paraId="72602BC7" w14:textId="77777777" w:rsidR="007669B0" w:rsidRDefault="007669B0">
      <w:pPr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PE"/>
        </w:rPr>
        <w:br w:type="page"/>
      </w:r>
    </w:p>
    <w:p w14:paraId="6E7C6EDF" w14:textId="77777777" w:rsidR="007669B0" w:rsidRDefault="007669B0" w:rsidP="00C84452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14:paraId="36B64B56" w14:textId="77777777" w:rsidR="007669B0" w:rsidRDefault="007669B0" w:rsidP="00C84452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14:paraId="0A74F27E" w14:textId="77777777" w:rsidR="007669B0" w:rsidRDefault="00FA57F8" w:rsidP="00C84452">
      <w:pPr>
        <w:spacing w:after="0"/>
        <w:jc w:val="both"/>
        <w:rPr>
          <w:rFonts w:ascii="Calibri" w:eastAsia="Times New Roman" w:hAnsi="Calibri" w:cs="Times New Roman"/>
          <w:color w:val="000000"/>
          <w:lang w:eastAsia="es-PE"/>
        </w:rPr>
      </w:pPr>
      <w:r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El comportamiento del gasto al </w:t>
      </w:r>
      <w:r w:rsidR="002A7052"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I</w:t>
      </w:r>
      <w:r w:rsidR="00560CDA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V</w:t>
      </w:r>
      <w:r w:rsidR="00665CE0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Trimestre </w:t>
      </w:r>
      <w:r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20</w:t>
      </w:r>
      <w:r w:rsidR="002A7052"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2</w:t>
      </w:r>
      <w:r w:rsidR="002720FC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1</w:t>
      </w:r>
      <w:r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, por Categoría del Gasto se muestra en el siguiente cuadro</w:t>
      </w:r>
      <w:r w:rsidRPr="00FA57F8">
        <w:rPr>
          <w:rFonts w:ascii="Calibri" w:eastAsia="Times New Roman" w:hAnsi="Calibri" w:cs="Times New Roman"/>
          <w:color w:val="000000"/>
          <w:lang w:eastAsia="es-PE"/>
        </w:rPr>
        <w:t>:</w:t>
      </w:r>
    </w:p>
    <w:p w14:paraId="438793DB" w14:textId="77777777" w:rsidR="00FA57F8" w:rsidRDefault="00FA57F8" w:rsidP="00C84452">
      <w:pPr>
        <w:spacing w:after="0"/>
        <w:jc w:val="both"/>
        <w:rPr>
          <w:rFonts w:ascii="Calibri" w:eastAsia="Times New Roman" w:hAnsi="Calibri" w:cs="Times New Roman"/>
          <w:color w:val="000000"/>
          <w:lang w:eastAsia="es-PE"/>
        </w:rPr>
      </w:pPr>
      <w:r w:rsidRPr="00FA57F8">
        <w:rPr>
          <w:rFonts w:ascii="Calibri" w:eastAsia="Times New Roman" w:hAnsi="Calibri" w:cs="Times New Roman"/>
          <w:color w:val="000000"/>
          <w:lang w:eastAsia="es-PE"/>
        </w:rPr>
        <w:t xml:space="preserve"> </w:t>
      </w:r>
    </w:p>
    <w:p w14:paraId="4340085B" w14:textId="77777777" w:rsidR="007A2603" w:rsidRDefault="00560CDA" w:rsidP="00630CE6">
      <w:pPr>
        <w:spacing w:after="0"/>
        <w:jc w:val="center"/>
        <w:rPr>
          <w:noProof/>
          <w:lang w:eastAsia="es-PE"/>
        </w:rPr>
      </w:pPr>
      <w:r w:rsidRPr="00560CDA">
        <w:rPr>
          <w:noProof/>
        </w:rPr>
        <w:drawing>
          <wp:inline distT="0" distB="0" distL="0" distR="0" wp14:anchorId="64830221" wp14:editId="10F5854E">
            <wp:extent cx="6206247" cy="1575881"/>
            <wp:effectExtent l="0" t="0" r="444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5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760F" w14:textId="77777777" w:rsidR="00560CDA" w:rsidRDefault="00560CDA" w:rsidP="00630CE6">
      <w:pPr>
        <w:spacing w:after="0"/>
        <w:jc w:val="center"/>
        <w:rPr>
          <w:noProof/>
          <w:lang w:eastAsia="es-PE"/>
        </w:rPr>
      </w:pPr>
    </w:p>
    <w:p w14:paraId="6FF6DF9C" w14:textId="77777777" w:rsidR="0065358E" w:rsidRDefault="0065358E" w:rsidP="00630CE6">
      <w:pPr>
        <w:spacing w:after="0"/>
        <w:jc w:val="center"/>
        <w:rPr>
          <w:noProof/>
          <w:lang w:eastAsia="es-PE"/>
        </w:rPr>
      </w:pPr>
    </w:p>
    <w:p w14:paraId="6CED4C6B" w14:textId="77777777" w:rsidR="0005471C" w:rsidRDefault="007669B0" w:rsidP="00630CE6">
      <w:pPr>
        <w:spacing w:after="0"/>
        <w:jc w:val="center"/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3607C898" wp14:editId="63A73F17">
            <wp:extent cx="4843194" cy="3500618"/>
            <wp:effectExtent l="0" t="0" r="14605" b="2413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699A2AC" w14:textId="77777777" w:rsidR="0005471C" w:rsidRDefault="0005471C" w:rsidP="00630CE6">
      <w:pPr>
        <w:spacing w:after="0"/>
        <w:jc w:val="center"/>
        <w:rPr>
          <w:noProof/>
          <w:lang w:eastAsia="es-PE"/>
        </w:rPr>
      </w:pPr>
    </w:p>
    <w:p w14:paraId="2F029FCA" w14:textId="77777777" w:rsidR="00D44B2B" w:rsidRDefault="007669B0" w:rsidP="00630CE6">
      <w:pPr>
        <w:spacing w:after="0"/>
        <w:jc w:val="center"/>
        <w:rPr>
          <w:noProof/>
          <w:lang w:eastAsia="es-PE"/>
        </w:rPr>
      </w:pPr>
      <w:r w:rsidRPr="007669B0">
        <w:rPr>
          <w:noProof/>
        </w:rPr>
        <w:drawing>
          <wp:inline distT="0" distB="0" distL="0" distR="0" wp14:anchorId="222C4753" wp14:editId="17B8F932">
            <wp:extent cx="3550285" cy="13811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D32A" w14:textId="77777777" w:rsidR="00A42F48" w:rsidRDefault="00A42F48" w:rsidP="00630CE6">
      <w:pPr>
        <w:spacing w:after="0"/>
        <w:jc w:val="center"/>
        <w:rPr>
          <w:noProof/>
          <w:lang w:eastAsia="es-PE"/>
        </w:rPr>
      </w:pPr>
    </w:p>
    <w:p w14:paraId="5789B05F" w14:textId="77777777" w:rsidR="00C17A41" w:rsidRDefault="007669B0" w:rsidP="007669B0">
      <w:pPr>
        <w:spacing w:after="0"/>
        <w:jc w:val="center"/>
        <w:rPr>
          <w:rFonts w:cstheme="minorHAnsi"/>
        </w:rPr>
      </w:pPr>
      <w:r w:rsidRPr="007669B0">
        <w:rPr>
          <w:noProof/>
        </w:rPr>
        <w:drawing>
          <wp:inline distT="0" distB="0" distL="0" distR="0" wp14:anchorId="2E3CB5ED" wp14:editId="6A1C18DE">
            <wp:extent cx="4425950" cy="1595120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A41">
        <w:rPr>
          <w:rFonts w:cstheme="minorHAnsi"/>
        </w:rPr>
        <w:br w:type="page"/>
      </w:r>
    </w:p>
    <w:p w14:paraId="58401C9A" w14:textId="77777777" w:rsidR="00217798" w:rsidRDefault="00217798" w:rsidP="00282ED2">
      <w:pPr>
        <w:jc w:val="center"/>
        <w:rPr>
          <w:rFonts w:cstheme="minorHAnsi"/>
        </w:rPr>
      </w:pPr>
    </w:p>
    <w:p w14:paraId="2E9635F5" w14:textId="77777777" w:rsidR="00217798" w:rsidRDefault="007669B0" w:rsidP="00282ED2">
      <w:pPr>
        <w:jc w:val="center"/>
        <w:rPr>
          <w:rFonts w:cstheme="minorHAnsi"/>
        </w:rPr>
      </w:pPr>
      <w:r w:rsidRPr="007669B0">
        <w:rPr>
          <w:noProof/>
        </w:rPr>
        <w:drawing>
          <wp:inline distT="0" distB="0" distL="0" distR="0" wp14:anchorId="52F2D955" wp14:editId="4988862B">
            <wp:extent cx="6206247" cy="9085634"/>
            <wp:effectExtent l="0" t="0" r="4445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09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0D510" w14:textId="77777777" w:rsidR="001073EA" w:rsidRDefault="001073EA" w:rsidP="0055603D">
      <w:pPr>
        <w:ind w:hanging="709"/>
        <w:jc w:val="center"/>
        <w:rPr>
          <w:rFonts w:cstheme="minorHAnsi"/>
        </w:rPr>
      </w:pPr>
    </w:p>
    <w:p w14:paraId="5C1AB794" w14:textId="77777777" w:rsidR="008733C4" w:rsidRDefault="008733C4" w:rsidP="008733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0190C5" w14:textId="77777777" w:rsidR="00EF4F03" w:rsidRDefault="00EF4F03" w:rsidP="008733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F1B8D8A" w14:textId="77777777" w:rsidR="008733C4" w:rsidRPr="008733C4" w:rsidRDefault="008733C4" w:rsidP="008733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733C4">
        <w:rPr>
          <w:rFonts w:ascii="Arial" w:hAnsi="Arial" w:cs="Arial"/>
          <w:b/>
          <w:sz w:val="24"/>
          <w:szCs w:val="24"/>
        </w:rPr>
        <w:t>EJECUCION PRESUPUESTAL POR TODA FUENTE DE FINANCIAMIENTO</w:t>
      </w:r>
    </w:p>
    <w:p w14:paraId="1F11B4E9" w14:textId="77777777" w:rsidR="008733C4" w:rsidRPr="008733C4" w:rsidRDefault="008733C4" w:rsidP="008733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55616F4" w14:textId="77777777" w:rsidR="008733C4" w:rsidRPr="008733C4" w:rsidRDefault="008733C4" w:rsidP="008733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733C4">
        <w:rPr>
          <w:rFonts w:ascii="Arial" w:hAnsi="Arial" w:cs="Arial"/>
          <w:b/>
          <w:sz w:val="24"/>
          <w:szCs w:val="24"/>
        </w:rPr>
        <w:t xml:space="preserve">AL </w:t>
      </w:r>
      <w:r w:rsidR="001059E2">
        <w:rPr>
          <w:rFonts w:ascii="Arial" w:hAnsi="Arial" w:cs="Arial"/>
          <w:b/>
          <w:sz w:val="24"/>
          <w:szCs w:val="24"/>
        </w:rPr>
        <w:t>I</w:t>
      </w:r>
      <w:r w:rsidR="007669B0">
        <w:rPr>
          <w:rFonts w:ascii="Arial" w:hAnsi="Arial" w:cs="Arial"/>
          <w:b/>
          <w:sz w:val="24"/>
          <w:szCs w:val="24"/>
        </w:rPr>
        <w:t>V</w:t>
      </w:r>
      <w:r w:rsidRPr="008733C4">
        <w:rPr>
          <w:rFonts w:ascii="Arial" w:hAnsi="Arial" w:cs="Arial"/>
          <w:b/>
          <w:sz w:val="24"/>
          <w:szCs w:val="24"/>
        </w:rPr>
        <w:t xml:space="preserve"> TRIMESTRE DEL 20</w:t>
      </w:r>
      <w:r w:rsidR="007C0847">
        <w:rPr>
          <w:rFonts w:ascii="Arial" w:hAnsi="Arial" w:cs="Arial"/>
          <w:b/>
          <w:sz w:val="24"/>
          <w:szCs w:val="24"/>
        </w:rPr>
        <w:t>2</w:t>
      </w:r>
      <w:r w:rsidR="003034D4">
        <w:rPr>
          <w:rFonts w:ascii="Arial" w:hAnsi="Arial" w:cs="Arial"/>
          <w:b/>
          <w:sz w:val="24"/>
          <w:szCs w:val="24"/>
        </w:rPr>
        <w:t>1</w:t>
      </w:r>
    </w:p>
    <w:p w14:paraId="52BB4CFB" w14:textId="77777777" w:rsidR="008733C4" w:rsidRDefault="008733C4" w:rsidP="008733C4">
      <w:pPr>
        <w:spacing w:after="0" w:line="240" w:lineRule="auto"/>
        <w:jc w:val="both"/>
        <w:rPr>
          <w:rFonts w:ascii="Arial" w:hAnsi="Arial" w:cs="Arial"/>
        </w:rPr>
      </w:pPr>
    </w:p>
    <w:p w14:paraId="768517D1" w14:textId="77777777" w:rsidR="007669B0" w:rsidRDefault="007669B0" w:rsidP="008733C4">
      <w:pPr>
        <w:spacing w:after="0" w:line="240" w:lineRule="auto"/>
        <w:jc w:val="both"/>
        <w:rPr>
          <w:rFonts w:ascii="Arial" w:hAnsi="Arial" w:cs="Arial"/>
        </w:rPr>
      </w:pPr>
      <w:r w:rsidRPr="008733C4">
        <w:rPr>
          <w:rFonts w:ascii="Arial" w:hAnsi="Arial" w:cs="Arial"/>
          <w:sz w:val="20"/>
          <w:szCs w:val="20"/>
        </w:rPr>
        <w:t>(</w:t>
      </w:r>
      <w:r w:rsidRPr="008733C4">
        <w:rPr>
          <w:rFonts w:ascii="Arial" w:hAnsi="Arial" w:cs="Arial"/>
          <w:b/>
          <w:sz w:val="20"/>
          <w:szCs w:val="20"/>
        </w:rPr>
        <w:t>Fase Devengado</w:t>
      </w:r>
      <w:r w:rsidRPr="008733C4">
        <w:rPr>
          <w:rFonts w:ascii="Arial" w:hAnsi="Arial" w:cs="Arial"/>
          <w:sz w:val="20"/>
          <w:szCs w:val="20"/>
        </w:rPr>
        <w:t>)</w:t>
      </w:r>
    </w:p>
    <w:p w14:paraId="6AEF9693" w14:textId="77777777" w:rsidR="007669B0" w:rsidRDefault="007669B0" w:rsidP="008733C4">
      <w:pPr>
        <w:spacing w:after="0" w:line="240" w:lineRule="auto"/>
        <w:jc w:val="both"/>
        <w:rPr>
          <w:rFonts w:ascii="Arial" w:hAnsi="Arial" w:cs="Arial"/>
        </w:rPr>
      </w:pPr>
    </w:p>
    <w:p w14:paraId="047063BE" w14:textId="77777777" w:rsidR="007669B0" w:rsidRPr="007669B0" w:rsidRDefault="007669B0" w:rsidP="007669B0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669B0">
        <w:rPr>
          <w:rFonts w:ascii="Arial" w:eastAsia="Times New Roman" w:hAnsi="Arial" w:cs="Arial"/>
          <w:lang w:val="es-ES" w:eastAsia="es-ES"/>
        </w:rPr>
        <w:t>El FONCODES como Programa Social, ejerce su rol en el marco del Eje 4 de la Estrategia Nacional de Desarrollo e Inclusión Social “Incluir para Crecer”, asistiendo a la generación de mayores oportunidades económicas sostenibles de los hogares rurales en situación de pobreza y pobreza extrema.</w:t>
      </w:r>
    </w:p>
    <w:p w14:paraId="66AF1782" w14:textId="77777777" w:rsidR="007669B0" w:rsidRPr="007669B0" w:rsidRDefault="007669B0" w:rsidP="007669B0">
      <w:pPr>
        <w:spacing w:after="0" w:line="240" w:lineRule="auto"/>
        <w:jc w:val="both"/>
        <w:rPr>
          <w:rFonts w:ascii="Arial" w:hAnsi="Arial" w:cs="Arial"/>
        </w:rPr>
      </w:pPr>
    </w:p>
    <w:p w14:paraId="6625CBDD" w14:textId="77777777" w:rsidR="007669B0" w:rsidRPr="007669B0" w:rsidRDefault="007669B0" w:rsidP="007669B0">
      <w:pPr>
        <w:spacing w:after="0" w:line="240" w:lineRule="auto"/>
        <w:jc w:val="both"/>
        <w:rPr>
          <w:rFonts w:ascii="Arial" w:hAnsi="Arial" w:cs="Arial"/>
        </w:rPr>
      </w:pPr>
      <w:r w:rsidRPr="007669B0">
        <w:rPr>
          <w:rFonts w:ascii="Arial" w:hAnsi="Arial" w:cs="Arial"/>
        </w:rPr>
        <w:t>Al mes de diciembre la Ejecución Presupuestal por toda fuente de financiamiento ascendió a</w:t>
      </w:r>
      <w:r>
        <w:rPr>
          <w:rFonts w:ascii="Arial" w:hAnsi="Arial" w:cs="Arial"/>
        </w:rPr>
        <w:t xml:space="preserve">           </w:t>
      </w:r>
      <w:r w:rsidRPr="007669B0">
        <w:rPr>
          <w:rFonts w:ascii="Arial" w:hAnsi="Arial" w:cs="Arial"/>
        </w:rPr>
        <w:t xml:space="preserve"> S/ 314, 740,329.39, que en términos porcentuales comparado con el PIM asignado de </w:t>
      </w:r>
      <w:r>
        <w:rPr>
          <w:rFonts w:ascii="Arial" w:hAnsi="Arial" w:cs="Arial"/>
        </w:rPr>
        <w:t xml:space="preserve">                       </w:t>
      </w:r>
      <w:r w:rsidRPr="007669B0">
        <w:rPr>
          <w:rFonts w:ascii="Arial" w:hAnsi="Arial" w:cs="Arial"/>
        </w:rPr>
        <w:t>S/ 323, 788,794.00 alcanzó un nivel de 97%.</w:t>
      </w:r>
    </w:p>
    <w:p w14:paraId="530ABDDE" w14:textId="77777777" w:rsidR="007669B0" w:rsidRPr="007669B0" w:rsidRDefault="007669B0" w:rsidP="007669B0">
      <w:pPr>
        <w:spacing w:after="0" w:line="240" w:lineRule="auto"/>
        <w:jc w:val="both"/>
        <w:rPr>
          <w:rFonts w:ascii="Arial" w:hAnsi="Arial" w:cs="Arial"/>
        </w:rPr>
      </w:pPr>
    </w:p>
    <w:p w14:paraId="5E22CCA8" w14:textId="77777777" w:rsidR="007669B0" w:rsidRPr="007669B0" w:rsidRDefault="007669B0" w:rsidP="007669B0">
      <w:pPr>
        <w:spacing w:after="0" w:line="240" w:lineRule="auto"/>
        <w:jc w:val="both"/>
        <w:rPr>
          <w:rFonts w:ascii="Arial" w:hAnsi="Arial" w:cs="Arial"/>
        </w:rPr>
      </w:pPr>
      <w:r w:rsidRPr="007669B0">
        <w:rPr>
          <w:rFonts w:ascii="Arial" w:hAnsi="Arial" w:cs="Arial"/>
        </w:rPr>
        <w:t>Con un PIM de S/ 323, 788, 794. 00 se ejecutaron actividades tales como:</w:t>
      </w:r>
    </w:p>
    <w:p w14:paraId="78122F28" w14:textId="77777777" w:rsidR="007669B0" w:rsidRPr="007669B0" w:rsidRDefault="007669B0" w:rsidP="007669B0">
      <w:pPr>
        <w:ind w:left="426" w:hanging="426"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6CA80179" w14:textId="77777777" w:rsidR="007669B0" w:rsidRPr="007669B0" w:rsidRDefault="007669B0" w:rsidP="007669B0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b/>
          <w:color w:val="000000"/>
          <w:lang w:eastAsia="es-PE"/>
        </w:rPr>
        <w:t xml:space="preserve">Programa Presupuestal  0118 </w:t>
      </w:r>
    </w:p>
    <w:p w14:paraId="044D6730" w14:textId="77777777" w:rsidR="007669B0" w:rsidRPr="007669B0" w:rsidRDefault="007669B0" w:rsidP="007669B0">
      <w:pPr>
        <w:spacing w:after="200" w:line="276" w:lineRule="auto"/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287C4307" w14:textId="77777777" w:rsidR="007669B0" w:rsidRPr="007669B0" w:rsidRDefault="007669B0" w:rsidP="007669B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Calibri" w:hAnsi="Arial" w:cs="Arial"/>
          <w:color w:val="000000"/>
          <w:lang w:eastAsia="es-ES"/>
        </w:rPr>
      </w:pPr>
      <w:r w:rsidRPr="007669B0"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A fin de dar mejores oportunidades a las familias rurales en situación de vulnerabilidad, se desarrolla </w:t>
      </w:r>
      <w:r w:rsidRPr="007669B0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bajo un enfoque de Presupuesto por Resultados el</w:t>
      </w:r>
      <w:r w:rsidRPr="007669B0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 xml:space="preserve"> </w:t>
      </w:r>
      <w:r w:rsidRPr="007669B0">
        <w:rPr>
          <w:rFonts w:ascii="Arial" w:eastAsia="Times New Roman" w:hAnsi="Arial" w:cs="Arial"/>
          <w:color w:val="000000"/>
          <w:sz w:val="24"/>
          <w:szCs w:val="24"/>
          <w:lang w:val="es-ES" w:eastAsia="es-ES"/>
        </w:rPr>
        <w:t>Programa Presupuestal 0118 “Acceso de Hogares Rurales con Economías de Subsistencia a Mercados Locales -  Haku Wiñay” (en los ámbitos de sierra y selva)</w:t>
      </w:r>
      <w:r w:rsidRPr="007669B0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,</w:t>
      </w:r>
      <w:r w:rsidRPr="007669B0">
        <w:rPr>
          <w:rFonts w:ascii="Arial" w:eastAsia="Calibri" w:hAnsi="Arial" w:cs="Arial"/>
          <w:color w:val="000000"/>
          <w:sz w:val="24"/>
          <w:szCs w:val="24"/>
          <w:lang w:eastAsia="es-ES"/>
        </w:rPr>
        <w:t xml:space="preserve"> en este programa se incrementó la meta física a </w:t>
      </w:r>
      <w:r w:rsidRPr="007669B0">
        <w:rPr>
          <w:rFonts w:ascii="Arial" w:eastAsia="Calibri" w:hAnsi="Arial" w:cs="Arial"/>
          <w:bCs/>
          <w:color w:val="000000"/>
          <w:sz w:val="24"/>
          <w:szCs w:val="24"/>
          <w:lang w:eastAsia="es-ES"/>
        </w:rPr>
        <w:t>50,759 hogares</w:t>
      </w:r>
      <w:r w:rsidRPr="007669B0">
        <w:rPr>
          <w:rFonts w:ascii="Arial" w:eastAsia="Calibri" w:hAnsi="Arial" w:cs="Arial"/>
          <w:b/>
          <w:bCs/>
          <w:color w:val="000000"/>
          <w:sz w:val="24"/>
          <w:szCs w:val="24"/>
          <w:lang w:eastAsia="es-ES"/>
        </w:rPr>
        <w:t xml:space="preserve"> </w:t>
      </w:r>
      <w:r w:rsidRPr="007669B0">
        <w:rPr>
          <w:rFonts w:ascii="Arial" w:eastAsia="Calibri" w:hAnsi="Arial" w:cs="Arial"/>
          <w:color w:val="000000"/>
          <w:lang w:eastAsia="es-ES"/>
        </w:rPr>
        <w:t>en el ámbito de 18 departamentos, 59 provincias y 116 distritos.</w:t>
      </w:r>
    </w:p>
    <w:p w14:paraId="42242BED" w14:textId="77777777" w:rsidR="007669B0" w:rsidRPr="007669B0" w:rsidRDefault="007669B0" w:rsidP="007669B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Calibri" w:hAnsi="Arial" w:cs="Arial"/>
          <w:color w:val="000000"/>
          <w:sz w:val="24"/>
          <w:szCs w:val="24"/>
          <w:lang w:eastAsia="es-ES"/>
        </w:rPr>
      </w:pPr>
      <w:r w:rsidRPr="007669B0">
        <w:rPr>
          <w:rFonts w:ascii="Arial" w:eastAsia="Calibri" w:hAnsi="Arial" w:cs="Arial"/>
          <w:color w:val="000000"/>
          <w:sz w:val="24"/>
          <w:szCs w:val="24"/>
          <w:lang w:eastAsia="es-ES"/>
        </w:rPr>
        <w:t>En “Capacitación, asistencia técnica y entrega de activos para mejorar la actividad productiva”, en el marco de la intervención Hambre Cero se priorizó 49 distritos a nivel nacional, con una meta de 20,725 hogares rurales; asimismo en atención al DU N° 040-2021 para la dinamización económica de la población del ámbito petrolero en el marco del Plan de Cierre de Brechas de Loreto y ámbito minero de Cusco, Apurímac y Ayacucho, ante la Emergencia Sanitaria producida por el COVID-19, se autoriza, al Ministerio de Energía y Minas a realizar transferencias financieras, entre otros a FONCODES, incorporando recursos al PP 0118-Haku Wiñay, para ampliar la cobertura en comunidades nativas del departamento de Loreto, es así que se priorizan 67 distritos a nivel nacional, donde se programa una meta de 30,034 hogares rurales (la meta aumentó en 455 hogares en los distritos del departamento de Loreto).</w:t>
      </w:r>
    </w:p>
    <w:p w14:paraId="00B5E869" w14:textId="77777777" w:rsidR="007669B0" w:rsidRPr="007669B0" w:rsidRDefault="007669B0" w:rsidP="007669B0">
      <w:pPr>
        <w:ind w:left="426"/>
        <w:contextualSpacing/>
        <w:jc w:val="both"/>
        <w:rPr>
          <w:rFonts w:ascii="Arial" w:eastAsiaTheme="minorHAnsi" w:hAnsi="Arial" w:cs="Arial"/>
        </w:rPr>
      </w:pPr>
    </w:p>
    <w:p w14:paraId="5DA1B84B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Theme="minorHAnsi" w:hAnsi="Arial" w:cs="Arial"/>
        </w:rPr>
        <w:t xml:space="preserve">Los usuarios del programa presupuestal 0118 Acceso de Hogares Rurales con Economías de Subsistencia a Mercados Locales – Haku Wiñay, reciben la capacitación, asistencia técnica y activos, a través de los Yachachiq, lo que permite desarrollar capacidades y mejorar los ingresos de los hogares beneficiarios. </w:t>
      </w:r>
      <w:r w:rsidRPr="007669B0">
        <w:rPr>
          <w:rFonts w:ascii="Arial" w:eastAsia="Times New Roman" w:hAnsi="Arial" w:cs="Arial"/>
          <w:color w:val="000000"/>
          <w:lang w:eastAsia="es-PE"/>
        </w:rPr>
        <w:t xml:space="preserve"> </w:t>
      </w:r>
    </w:p>
    <w:p w14:paraId="2027FF46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3978E032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Se aprecia un avance en su ejecución presupuestal en la etapa del Devengado del 99.64% con relación a su PIM  autorizado de S/ 261, 663,521.00, cuyos gastos estuvieron orientados a:</w:t>
      </w:r>
    </w:p>
    <w:p w14:paraId="6D3DA7BE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71590C19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-</w:t>
      </w:r>
      <w:r w:rsidRPr="007669B0">
        <w:rPr>
          <w:rFonts w:ascii="Arial" w:eastAsia="Times New Roman" w:hAnsi="Arial" w:cs="Arial"/>
          <w:color w:val="000000"/>
          <w:lang w:eastAsia="es-PE"/>
        </w:rPr>
        <w:tab/>
        <w:t>Gestión del Programa 96%;</w:t>
      </w:r>
    </w:p>
    <w:p w14:paraId="00320077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19487F91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-</w:t>
      </w:r>
      <w:r w:rsidRPr="007669B0">
        <w:rPr>
          <w:rFonts w:ascii="Arial" w:eastAsia="Times New Roman" w:hAnsi="Arial" w:cs="Arial"/>
          <w:color w:val="000000"/>
          <w:lang w:eastAsia="es-PE"/>
        </w:rPr>
        <w:tab/>
        <w:t>Seguimiento y Evaluación del Programa, avance 100%;</w:t>
      </w:r>
    </w:p>
    <w:p w14:paraId="0D52A935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37321BB2" w14:textId="77777777" w:rsidR="007669B0" w:rsidRPr="007669B0" w:rsidRDefault="007669B0" w:rsidP="007669B0">
      <w:pPr>
        <w:ind w:left="709" w:hanging="283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-</w:t>
      </w:r>
      <w:r w:rsidRPr="007669B0">
        <w:rPr>
          <w:rFonts w:ascii="Arial" w:eastAsia="Times New Roman" w:hAnsi="Arial" w:cs="Arial"/>
          <w:color w:val="000000"/>
          <w:lang w:eastAsia="es-PE"/>
        </w:rPr>
        <w:tab/>
        <w:t xml:space="preserve">Asistencia Técnica a Grupos de interés para la Selección e implementación de perfiles de emprendimientos rurales 100%; </w:t>
      </w:r>
    </w:p>
    <w:p w14:paraId="185D459A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4D43EB01" w14:textId="77777777" w:rsidR="007669B0" w:rsidRDefault="007669B0" w:rsidP="007669B0">
      <w:pPr>
        <w:ind w:left="709" w:hanging="283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-</w:t>
      </w:r>
      <w:r w:rsidRPr="007669B0">
        <w:rPr>
          <w:rFonts w:ascii="Arial" w:eastAsia="Times New Roman" w:hAnsi="Arial" w:cs="Arial"/>
          <w:color w:val="000000"/>
          <w:lang w:eastAsia="es-PE"/>
        </w:rPr>
        <w:tab/>
        <w:t xml:space="preserve">Asistencia técnica a los emprendimientos implementados para la mejora de su gestión económica, financiera y de articulación al mercado 100%; </w:t>
      </w:r>
    </w:p>
    <w:p w14:paraId="419B58D5" w14:textId="77777777" w:rsidR="007669B0" w:rsidRPr="007669B0" w:rsidRDefault="007669B0" w:rsidP="007669B0">
      <w:pPr>
        <w:ind w:left="709" w:hanging="283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7FABCA8D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7C8687FE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-</w:t>
      </w:r>
      <w:r w:rsidRPr="007669B0">
        <w:rPr>
          <w:rFonts w:ascii="Arial" w:eastAsia="Times New Roman" w:hAnsi="Arial" w:cs="Arial"/>
          <w:color w:val="000000"/>
          <w:lang w:eastAsia="es-PE"/>
        </w:rPr>
        <w:tab/>
        <w:t>Promoción de espacios de Intercambio Local 100%;</w:t>
      </w:r>
    </w:p>
    <w:p w14:paraId="501C1661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609371DC" w14:textId="77777777" w:rsidR="007669B0" w:rsidRPr="007669B0" w:rsidRDefault="007669B0" w:rsidP="007669B0">
      <w:pPr>
        <w:ind w:left="709" w:hanging="283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-</w:t>
      </w:r>
      <w:r w:rsidRPr="007669B0">
        <w:rPr>
          <w:rFonts w:ascii="Arial" w:eastAsia="Times New Roman" w:hAnsi="Arial" w:cs="Arial"/>
          <w:color w:val="000000"/>
          <w:lang w:eastAsia="es-PE"/>
        </w:rPr>
        <w:tab/>
        <w:t xml:space="preserve">Promoción y conformación de núcleos ejecutores y núcleos ejecutores centrales 100%; </w:t>
      </w:r>
    </w:p>
    <w:p w14:paraId="1383F0F9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47C03116" w14:textId="77777777" w:rsidR="007669B0" w:rsidRPr="007669B0" w:rsidRDefault="007669B0" w:rsidP="007669B0">
      <w:pPr>
        <w:ind w:left="709" w:hanging="283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-</w:t>
      </w:r>
      <w:r w:rsidRPr="007669B0">
        <w:rPr>
          <w:rFonts w:ascii="Arial" w:eastAsia="Times New Roman" w:hAnsi="Arial" w:cs="Arial"/>
          <w:color w:val="000000"/>
          <w:lang w:eastAsia="es-PE"/>
        </w:rPr>
        <w:tab/>
        <w:t xml:space="preserve">Capacitación, asistencia técnica y entrega de activos para mejorar la actividad productiva; </w:t>
      </w:r>
    </w:p>
    <w:p w14:paraId="3327EE69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1DF20EAF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La inversión de FONCODES al 31 de diciembre  asciende al total de S/ 260</w:t>
      </w:r>
      <w:r w:rsidRPr="007669B0">
        <w:rPr>
          <w:rFonts w:ascii="Arial" w:hAnsi="Arial" w:cs="Arial"/>
          <w:lang w:eastAsia="es-PE"/>
        </w:rPr>
        <w:t>, 728,830.00</w:t>
      </w:r>
      <w:r w:rsidRPr="007669B0">
        <w:rPr>
          <w:rFonts w:ascii="Arial" w:eastAsia="Times New Roman" w:hAnsi="Arial" w:cs="Arial"/>
          <w:color w:val="000000"/>
          <w:lang w:eastAsia="es-PE"/>
        </w:rPr>
        <w:t xml:space="preserve"> por todo concepto.</w:t>
      </w:r>
    </w:p>
    <w:p w14:paraId="6A2A0F90" w14:textId="77777777" w:rsidR="007669B0" w:rsidRPr="007669B0" w:rsidRDefault="007669B0" w:rsidP="007669B0">
      <w:pPr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6AA3E5CB" w14:textId="77777777" w:rsidR="007669B0" w:rsidRPr="007669B0" w:rsidRDefault="007669B0" w:rsidP="007669B0">
      <w:pPr>
        <w:numPr>
          <w:ilvl w:val="3"/>
          <w:numId w:val="1"/>
        </w:numPr>
        <w:spacing w:after="200" w:line="276" w:lineRule="auto"/>
        <w:ind w:left="426" w:hanging="426"/>
        <w:contextualSpacing/>
        <w:jc w:val="both"/>
        <w:rPr>
          <w:rFonts w:ascii="Arial" w:hAnsi="Arial" w:cs="Arial"/>
          <w:lang w:eastAsia="es-PE"/>
        </w:rPr>
      </w:pPr>
      <w:r w:rsidRPr="007669B0">
        <w:rPr>
          <w:rFonts w:ascii="Arial" w:hAnsi="Arial" w:cs="Arial"/>
          <w:b/>
          <w:lang w:eastAsia="es-PE"/>
        </w:rPr>
        <w:t>Acciones Centrales</w:t>
      </w:r>
      <w:r w:rsidRPr="007669B0">
        <w:rPr>
          <w:rFonts w:ascii="Arial" w:hAnsi="Arial" w:cs="Arial"/>
          <w:lang w:eastAsia="es-PE"/>
        </w:rPr>
        <w:t>:</w:t>
      </w:r>
    </w:p>
    <w:p w14:paraId="2CB39ED3" w14:textId="77777777" w:rsidR="007669B0" w:rsidRPr="007669B0" w:rsidRDefault="007669B0" w:rsidP="007669B0">
      <w:pPr>
        <w:ind w:left="426"/>
        <w:contextualSpacing/>
        <w:jc w:val="both"/>
        <w:rPr>
          <w:rFonts w:ascii="Arial" w:hAnsi="Arial" w:cs="Arial"/>
          <w:lang w:eastAsia="es-PE"/>
        </w:rPr>
      </w:pPr>
    </w:p>
    <w:p w14:paraId="01E0C4B8" w14:textId="77777777" w:rsidR="007669B0" w:rsidRPr="007669B0" w:rsidRDefault="007669B0" w:rsidP="007669B0">
      <w:pPr>
        <w:ind w:left="426"/>
        <w:contextualSpacing/>
        <w:jc w:val="both"/>
        <w:rPr>
          <w:rFonts w:ascii="Arial" w:hAnsi="Arial" w:cs="Arial"/>
          <w:lang w:eastAsia="es-PE"/>
        </w:rPr>
      </w:pPr>
      <w:r w:rsidRPr="007669B0">
        <w:rPr>
          <w:rFonts w:ascii="Arial" w:hAnsi="Arial" w:cs="Arial"/>
          <w:lang w:eastAsia="es-PE"/>
        </w:rPr>
        <w:t xml:space="preserve">El avance al 31 de diciembre 2021 es del 87% con respecto al PIM autorizado de          S/ 44, 192,090, se ha devengado la suma de S/ 38,399, 732.00, en esta categoría destacan las actividades: </w:t>
      </w:r>
    </w:p>
    <w:p w14:paraId="26E785EF" w14:textId="77777777" w:rsidR="007669B0" w:rsidRPr="007669B0" w:rsidRDefault="007669B0" w:rsidP="007669B0">
      <w:pPr>
        <w:ind w:left="426"/>
        <w:contextualSpacing/>
        <w:jc w:val="both"/>
        <w:rPr>
          <w:rFonts w:ascii="Arial" w:hAnsi="Arial" w:cs="Arial"/>
          <w:lang w:eastAsia="es-PE"/>
        </w:rPr>
      </w:pPr>
    </w:p>
    <w:p w14:paraId="1B09F96C" w14:textId="77777777" w:rsidR="007669B0" w:rsidRPr="007669B0" w:rsidRDefault="007669B0" w:rsidP="007669B0">
      <w:pPr>
        <w:ind w:left="567" w:hanging="141"/>
        <w:contextualSpacing/>
        <w:jc w:val="both"/>
        <w:rPr>
          <w:rFonts w:ascii="Arial" w:hAnsi="Arial" w:cs="Arial"/>
          <w:lang w:eastAsia="es-PE"/>
        </w:rPr>
      </w:pPr>
      <w:r w:rsidRPr="007669B0">
        <w:rPr>
          <w:rFonts w:ascii="Arial" w:hAnsi="Arial" w:cs="Arial"/>
          <w:lang w:eastAsia="es-PE"/>
        </w:rPr>
        <w:t xml:space="preserve">- Gestión de Recursos Humanos: orientado al pago de planillas (Régimen Laboral 728), así como los costos del Seguro Médico Familiar, entre otros gastos se menciona: servicio de seguridad y vigilancia, servicio de suministro de energía eléctrica, servicios de agua y desagüe, servicio de telefonía fija, servicio de internet, gastos notariales, propinas para practicantes, y servicios diversos, etc. avance del 82%; </w:t>
      </w:r>
    </w:p>
    <w:p w14:paraId="68B2554F" w14:textId="77777777" w:rsidR="007669B0" w:rsidRPr="007669B0" w:rsidRDefault="007669B0" w:rsidP="007669B0">
      <w:pPr>
        <w:ind w:left="567" w:hanging="141"/>
        <w:contextualSpacing/>
        <w:jc w:val="both"/>
        <w:rPr>
          <w:rFonts w:ascii="Arial" w:hAnsi="Arial" w:cs="Arial"/>
          <w:lang w:eastAsia="es-PE"/>
        </w:rPr>
      </w:pPr>
    </w:p>
    <w:p w14:paraId="1C7FB6EE" w14:textId="77777777" w:rsidR="007669B0" w:rsidRPr="007669B0" w:rsidRDefault="007669B0" w:rsidP="007669B0">
      <w:pPr>
        <w:ind w:left="567" w:hanging="141"/>
        <w:contextualSpacing/>
        <w:jc w:val="both"/>
        <w:rPr>
          <w:rFonts w:ascii="Arial" w:hAnsi="Arial" w:cs="Arial"/>
          <w:lang w:eastAsia="es-PE"/>
        </w:rPr>
      </w:pPr>
      <w:r w:rsidRPr="007669B0">
        <w:rPr>
          <w:rFonts w:ascii="Arial" w:hAnsi="Arial" w:cs="Arial"/>
          <w:lang w:eastAsia="es-PE"/>
        </w:rPr>
        <w:t>-</w:t>
      </w:r>
      <w:r w:rsidRPr="007669B0">
        <w:rPr>
          <w:rFonts w:ascii="Arial" w:hAnsi="Arial" w:cs="Arial"/>
          <w:lang w:eastAsia="es-PE"/>
        </w:rPr>
        <w:tab/>
        <w:t xml:space="preserve">Previsiones presupuestales correspondientes a las actividades orientadas a la Conducción y Orientación Superior de la Alta Dirección avance del 91%; </w:t>
      </w:r>
    </w:p>
    <w:p w14:paraId="6A998C45" w14:textId="77777777" w:rsidR="007669B0" w:rsidRPr="007669B0" w:rsidRDefault="007669B0" w:rsidP="007669B0">
      <w:pPr>
        <w:ind w:left="567" w:hanging="141"/>
        <w:contextualSpacing/>
        <w:jc w:val="both"/>
        <w:rPr>
          <w:rFonts w:ascii="Arial" w:hAnsi="Arial" w:cs="Arial"/>
          <w:lang w:eastAsia="es-PE"/>
        </w:rPr>
      </w:pPr>
    </w:p>
    <w:p w14:paraId="1FA71BAB" w14:textId="77777777" w:rsidR="007669B0" w:rsidRPr="007669B0" w:rsidRDefault="007669B0" w:rsidP="007669B0">
      <w:pPr>
        <w:ind w:left="426"/>
        <w:contextualSpacing/>
        <w:jc w:val="both"/>
        <w:rPr>
          <w:rFonts w:ascii="Arial" w:hAnsi="Arial" w:cs="Arial"/>
          <w:lang w:eastAsia="es-PE"/>
        </w:rPr>
      </w:pPr>
      <w:r w:rsidRPr="007669B0">
        <w:rPr>
          <w:rFonts w:ascii="Arial" w:hAnsi="Arial" w:cs="Arial"/>
          <w:lang w:eastAsia="es-PE"/>
        </w:rPr>
        <w:t>- Gestión de los sistemas administrativos, avance del 94%;</w:t>
      </w:r>
    </w:p>
    <w:p w14:paraId="68DD3879" w14:textId="77777777" w:rsidR="007669B0" w:rsidRPr="007669B0" w:rsidRDefault="007669B0" w:rsidP="007669B0">
      <w:pPr>
        <w:ind w:left="426"/>
        <w:contextualSpacing/>
        <w:jc w:val="both"/>
        <w:rPr>
          <w:rFonts w:ascii="Arial" w:hAnsi="Arial" w:cs="Arial"/>
          <w:lang w:eastAsia="es-PE"/>
        </w:rPr>
      </w:pPr>
    </w:p>
    <w:p w14:paraId="09CC737F" w14:textId="77777777" w:rsidR="007669B0" w:rsidRPr="007669B0" w:rsidRDefault="007669B0" w:rsidP="007669B0">
      <w:pPr>
        <w:ind w:left="567" w:hanging="141"/>
        <w:contextualSpacing/>
        <w:jc w:val="both"/>
        <w:rPr>
          <w:rFonts w:ascii="Arial" w:hAnsi="Arial" w:cs="Arial"/>
          <w:lang w:eastAsia="es-PE"/>
        </w:rPr>
      </w:pPr>
      <w:r w:rsidRPr="007669B0">
        <w:rPr>
          <w:rFonts w:ascii="Arial" w:hAnsi="Arial" w:cs="Arial"/>
          <w:lang w:eastAsia="es-PE"/>
        </w:rPr>
        <w:t>-</w:t>
      </w:r>
      <w:r w:rsidRPr="007669B0">
        <w:rPr>
          <w:rFonts w:ascii="Arial" w:hAnsi="Arial" w:cs="Arial"/>
          <w:lang w:eastAsia="es-PE"/>
        </w:rPr>
        <w:tab/>
        <w:t>Planeamiento y Presupuesto 99%, incluye la gestión del  plan operativo, su alineamiento estratégico, el seguimiento y evaluación física y presupuestal, entre otros;</w:t>
      </w:r>
    </w:p>
    <w:p w14:paraId="03777415" w14:textId="77777777" w:rsidR="007669B0" w:rsidRPr="007669B0" w:rsidRDefault="007669B0" w:rsidP="007669B0">
      <w:pPr>
        <w:ind w:left="567" w:hanging="141"/>
        <w:contextualSpacing/>
        <w:jc w:val="both"/>
        <w:rPr>
          <w:rFonts w:ascii="Arial" w:hAnsi="Arial" w:cs="Arial"/>
          <w:lang w:eastAsia="es-PE"/>
        </w:rPr>
      </w:pPr>
      <w:r w:rsidRPr="007669B0">
        <w:rPr>
          <w:rFonts w:ascii="Arial" w:hAnsi="Arial" w:cs="Arial"/>
          <w:lang w:eastAsia="es-PE"/>
        </w:rPr>
        <w:t xml:space="preserve"> </w:t>
      </w:r>
    </w:p>
    <w:p w14:paraId="18ACEBCD" w14:textId="77777777" w:rsidR="007669B0" w:rsidRPr="007669B0" w:rsidRDefault="007669B0" w:rsidP="007669B0">
      <w:pPr>
        <w:ind w:left="567" w:hanging="141"/>
        <w:contextualSpacing/>
        <w:jc w:val="both"/>
        <w:rPr>
          <w:rFonts w:ascii="Arial" w:hAnsi="Arial" w:cs="Arial"/>
          <w:lang w:eastAsia="es-PE"/>
        </w:rPr>
      </w:pPr>
      <w:r w:rsidRPr="007669B0">
        <w:rPr>
          <w:rFonts w:ascii="Arial" w:hAnsi="Arial" w:cs="Arial"/>
          <w:lang w:eastAsia="es-PE"/>
        </w:rPr>
        <w:t>-</w:t>
      </w:r>
      <w:r w:rsidRPr="007669B0">
        <w:rPr>
          <w:rFonts w:ascii="Arial" w:hAnsi="Arial" w:cs="Arial"/>
          <w:lang w:eastAsia="es-PE"/>
        </w:rPr>
        <w:tab/>
        <w:t xml:space="preserve">Gestión Administrativa incorpora recursos para la gestión de Tecnologías de la Información, Contabilidad, Tesorería y Logística), Asesoramiento Técnico y Jurídico avance del100%;  </w:t>
      </w:r>
    </w:p>
    <w:p w14:paraId="3CDEC45B" w14:textId="77777777" w:rsidR="007669B0" w:rsidRPr="007669B0" w:rsidRDefault="007669B0" w:rsidP="007669B0">
      <w:pPr>
        <w:ind w:left="567" w:hanging="141"/>
        <w:contextualSpacing/>
        <w:jc w:val="both"/>
        <w:rPr>
          <w:rFonts w:ascii="Arial" w:hAnsi="Arial" w:cs="Arial"/>
          <w:lang w:eastAsia="es-PE"/>
        </w:rPr>
      </w:pPr>
    </w:p>
    <w:p w14:paraId="491FA954" w14:textId="77777777" w:rsidR="007669B0" w:rsidRPr="007669B0" w:rsidRDefault="007669B0" w:rsidP="007669B0">
      <w:pPr>
        <w:ind w:left="426"/>
        <w:contextualSpacing/>
        <w:jc w:val="both"/>
        <w:rPr>
          <w:rFonts w:ascii="Arial" w:hAnsi="Arial" w:cs="Arial"/>
          <w:lang w:eastAsia="es-PE"/>
        </w:rPr>
      </w:pPr>
      <w:r w:rsidRPr="007669B0">
        <w:rPr>
          <w:rFonts w:ascii="Arial" w:hAnsi="Arial" w:cs="Arial"/>
          <w:lang w:eastAsia="es-PE"/>
        </w:rPr>
        <w:t>- Acciones de Control y Auditoría de la Entidad, 95% de avance;</w:t>
      </w:r>
    </w:p>
    <w:p w14:paraId="5EAFE649" w14:textId="77777777" w:rsidR="007669B0" w:rsidRPr="007669B0" w:rsidRDefault="007669B0" w:rsidP="007669B0">
      <w:pPr>
        <w:spacing w:after="0" w:line="240" w:lineRule="auto"/>
        <w:ind w:left="426"/>
        <w:jc w:val="both"/>
        <w:rPr>
          <w:rFonts w:ascii="Arial" w:eastAsiaTheme="minorHAnsi" w:hAnsi="Arial" w:cs="Arial"/>
          <w:highlight w:val="yellow"/>
          <w:lang w:eastAsia="es-PE"/>
        </w:rPr>
      </w:pPr>
      <w:r w:rsidRPr="007669B0">
        <w:rPr>
          <w:rFonts w:ascii="Arial" w:eastAsiaTheme="minorHAnsi" w:hAnsi="Arial" w:cs="Arial"/>
          <w:lang w:eastAsia="es-PE"/>
        </w:rPr>
        <w:t xml:space="preserve">Asimismo, la asignación de recursos presupuestales para el año 2021, permitió desarrollar las actividades, orientadas principalmente a garantizar los gastos administrativos de la Sede Central y 26 Unidades Territoriales, ubicados en el territorio nacional, </w:t>
      </w:r>
    </w:p>
    <w:p w14:paraId="1D227881" w14:textId="77777777" w:rsidR="007669B0" w:rsidRPr="007669B0" w:rsidRDefault="007669B0" w:rsidP="007669B0">
      <w:pPr>
        <w:ind w:left="426" w:hanging="426"/>
        <w:contextualSpacing/>
        <w:jc w:val="both"/>
        <w:rPr>
          <w:rFonts w:ascii="Arial" w:hAnsi="Arial" w:cs="Arial"/>
          <w:highlight w:val="yellow"/>
          <w:lang w:eastAsia="es-PE"/>
        </w:rPr>
      </w:pPr>
    </w:p>
    <w:p w14:paraId="4E75BB9D" w14:textId="77777777" w:rsidR="007669B0" w:rsidRPr="007669B0" w:rsidRDefault="007669B0" w:rsidP="007669B0">
      <w:pPr>
        <w:numPr>
          <w:ilvl w:val="3"/>
          <w:numId w:val="1"/>
        </w:numPr>
        <w:spacing w:after="0" w:line="276" w:lineRule="auto"/>
        <w:ind w:left="426" w:hanging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b/>
          <w:color w:val="000000"/>
          <w:lang w:eastAsia="es-PE"/>
        </w:rPr>
        <w:t>Asignaciones Presupuestarias que No Resultan en Productos (APNOP)</w:t>
      </w:r>
      <w:r w:rsidRPr="007669B0">
        <w:rPr>
          <w:rFonts w:ascii="Arial" w:eastAsia="Times New Roman" w:hAnsi="Arial" w:cs="Arial"/>
          <w:color w:val="000000"/>
          <w:lang w:eastAsia="es-PE"/>
        </w:rPr>
        <w:t>,</w:t>
      </w:r>
    </w:p>
    <w:p w14:paraId="15AB4C35" w14:textId="77777777" w:rsidR="007669B0" w:rsidRPr="007669B0" w:rsidRDefault="007669B0" w:rsidP="007669B0">
      <w:pPr>
        <w:spacing w:after="0"/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67973C62" w14:textId="77777777" w:rsidR="007669B0" w:rsidRPr="007669B0" w:rsidRDefault="007669B0" w:rsidP="007669B0">
      <w:pPr>
        <w:spacing w:after="0"/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El PIM autorizado al 31 de diciembre asciende a la suma de S/ 17, 933,183.00, de los cuales se ha devengado S/ 15, 611,767.00, lo que representa un avance de 87·% del gasto.</w:t>
      </w:r>
    </w:p>
    <w:p w14:paraId="2FF45F1C" w14:textId="77777777" w:rsidR="007669B0" w:rsidRPr="007669B0" w:rsidRDefault="007669B0" w:rsidP="007669B0">
      <w:pPr>
        <w:spacing w:after="0"/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4CF1710A" w14:textId="77777777" w:rsidR="007669B0" w:rsidRPr="007669B0" w:rsidRDefault="007669B0" w:rsidP="007669B0">
      <w:pPr>
        <w:spacing w:after="0"/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En esta categoría de gasto FONCODES  realiza intervenciones en las que destacan:</w:t>
      </w:r>
    </w:p>
    <w:p w14:paraId="658A6B7D" w14:textId="77777777" w:rsidR="007669B0" w:rsidRPr="007669B0" w:rsidRDefault="007669B0" w:rsidP="007669B0">
      <w:pPr>
        <w:spacing w:after="0"/>
        <w:ind w:left="426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0A4A98F8" w14:textId="77777777" w:rsidR="007669B0" w:rsidRPr="007669B0" w:rsidRDefault="007669B0" w:rsidP="007669B0">
      <w:pPr>
        <w:spacing w:after="0" w:line="240" w:lineRule="auto"/>
        <w:ind w:left="709" w:hanging="283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Calibri" w:hAnsi="Arial" w:cs="Arial"/>
          <w:bCs/>
          <w:color w:val="000000"/>
          <w:lang w:eastAsia="es-ES"/>
        </w:rPr>
        <w:t>-</w:t>
      </w:r>
      <w:r w:rsidRPr="007669B0">
        <w:rPr>
          <w:rFonts w:ascii="Arial" w:eastAsia="Calibri" w:hAnsi="Arial" w:cs="Arial"/>
          <w:bCs/>
          <w:color w:val="000000"/>
          <w:lang w:eastAsia="es-ES"/>
        </w:rPr>
        <w:tab/>
        <w:t>Apoyo a la Infraestructura Económica,</w:t>
      </w:r>
      <w:r w:rsidRPr="007669B0">
        <w:rPr>
          <w:rFonts w:ascii="Arial" w:eastAsia="Calibri" w:hAnsi="Arial" w:cs="Arial"/>
          <w:color w:val="000000"/>
          <w:lang w:eastAsia="es-ES"/>
        </w:rPr>
        <w:t xml:space="preserve"> actividad incorporada, en el marco del DU N° 040-2021 para la dinamización económica para la población del ámbito petrolero en el marco del Plan de Cierre de Brechas de Loreto y ámbito minero de Cusco, Apurímac y Ayacucho, ante la Emergencia Sanitaria producida por el COVID-19 permitiendo realizar transferencias financieras, entre otros a FONCODES, para la construcción de veredas peatonales rurales y para la gestión supervisión y seguimiento de inversiones, tiene </w:t>
      </w:r>
      <w:r w:rsidRPr="007669B0">
        <w:rPr>
          <w:rFonts w:ascii="Arial" w:eastAsia="Times New Roman" w:hAnsi="Arial" w:cs="Arial"/>
          <w:color w:val="000000"/>
          <w:lang w:eastAsia="es-PE"/>
        </w:rPr>
        <w:t>un avance del 87%;</w:t>
      </w:r>
    </w:p>
    <w:p w14:paraId="6ADB0D8D" w14:textId="77777777" w:rsidR="007669B0" w:rsidRPr="007669B0" w:rsidRDefault="007669B0" w:rsidP="007669B0">
      <w:pPr>
        <w:spacing w:after="0" w:line="240" w:lineRule="auto"/>
        <w:ind w:left="709" w:hanging="283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70A3C18C" w14:textId="77777777" w:rsidR="007669B0" w:rsidRDefault="007669B0" w:rsidP="007669B0">
      <w:pPr>
        <w:spacing w:after="0" w:line="240" w:lineRule="auto"/>
        <w:ind w:left="709" w:hanging="283"/>
        <w:contextualSpacing/>
        <w:jc w:val="both"/>
        <w:rPr>
          <w:rFonts w:ascii="Arial" w:eastAsia="Times New Roman" w:hAnsi="Arial" w:cs="Arial"/>
          <w:bCs/>
          <w:lang w:val="es-ES" w:eastAsia="es-ES"/>
        </w:rPr>
      </w:pPr>
      <w:r w:rsidRPr="007669B0">
        <w:rPr>
          <w:rFonts w:ascii="Arial" w:eastAsia="Times New Roman" w:hAnsi="Arial" w:cs="Arial"/>
          <w:lang w:val="es-ES" w:eastAsia="es-ES"/>
        </w:rPr>
        <w:t>-</w:t>
      </w:r>
      <w:r w:rsidRPr="007669B0">
        <w:rPr>
          <w:rFonts w:ascii="Arial" w:eastAsia="Times New Roman" w:hAnsi="Arial" w:cs="Arial"/>
          <w:lang w:val="es-ES" w:eastAsia="es-ES"/>
        </w:rPr>
        <w:tab/>
        <w:t xml:space="preserve">Mantenimiento Vial Local, </w:t>
      </w:r>
      <w:r w:rsidRPr="007669B0">
        <w:rPr>
          <w:rFonts w:ascii="Arial" w:eastAsia="Times New Roman" w:hAnsi="Arial" w:cs="Arial"/>
          <w:bCs/>
          <w:lang w:val="es-ES" w:eastAsia="es-ES"/>
        </w:rPr>
        <w:t>actividad en el marco del mismo DU N° 040-2021, para financiar el mantenimiento de veredas peatonales en concordancia con el Plan de Cierre de Brechas de Loreto, al 31 de diciembre tiene un avance del 82%;</w:t>
      </w:r>
    </w:p>
    <w:p w14:paraId="55450448" w14:textId="77777777" w:rsidR="007669B0" w:rsidRPr="007669B0" w:rsidRDefault="007669B0" w:rsidP="007669B0">
      <w:pPr>
        <w:spacing w:after="0" w:line="240" w:lineRule="auto"/>
        <w:ind w:left="709" w:hanging="283"/>
        <w:contextualSpacing/>
        <w:jc w:val="both"/>
        <w:rPr>
          <w:rFonts w:ascii="Arial" w:eastAsia="Times New Roman" w:hAnsi="Arial" w:cs="Arial"/>
          <w:bCs/>
          <w:lang w:val="es-ES" w:eastAsia="es-ES"/>
        </w:rPr>
      </w:pPr>
    </w:p>
    <w:p w14:paraId="53C211B3" w14:textId="77777777" w:rsidR="007669B0" w:rsidRPr="007669B0" w:rsidRDefault="007669B0" w:rsidP="007669B0">
      <w:pPr>
        <w:spacing w:after="0" w:line="240" w:lineRule="auto"/>
        <w:ind w:left="709" w:hanging="283"/>
        <w:contextualSpacing/>
        <w:jc w:val="both"/>
        <w:rPr>
          <w:rFonts w:ascii="Arial" w:eastAsia="Times New Roman" w:hAnsi="Arial" w:cs="Arial"/>
          <w:bCs/>
          <w:lang w:val="es-ES" w:eastAsia="es-ES"/>
        </w:rPr>
      </w:pPr>
    </w:p>
    <w:p w14:paraId="572DEE2C" w14:textId="77777777" w:rsidR="007669B0" w:rsidRPr="007669B0" w:rsidRDefault="007669B0" w:rsidP="007669B0">
      <w:pPr>
        <w:spacing w:after="0"/>
        <w:ind w:left="709" w:hanging="283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-</w:t>
      </w:r>
      <w:r w:rsidRPr="007669B0">
        <w:rPr>
          <w:rFonts w:ascii="Arial" w:eastAsia="Times New Roman" w:hAnsi="Arial" w:cs="Arial"/>
          <w:color w:val="000000"/>
          <w:lang w:eastAsia="es-PE"/>
        </w:rPr>
        <w:tab/>
        <w:t>Transferencia e Inventario de Obras, orientado a la transferencia de 500 obras, ejecución de 3 publicaciones y 1 informe de liquidación de obras, su avance representa el 89%;</w:t>
      </w:r>
    </w:p>
    <w:p w14:paraId="1816E847" w14:textId="77777777" w:rsidR="007669B0" w:rsidRPr="007669B0" w:rsidRDefault="007669B0" w:rsidP="007669B0">
      <w:pPr>
        <w:spacing w:after="0"/>
        <w:ind w:left="709" w:hanging="283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</w:p>
    <w:p w14:paraId="41D99A8C" w14:textId="77777777" w:rsidR="007669B0" w:rsidRPr="007669B0" w:rsidRDefault="007669B0" w:rsidP="007669B0">
      <w:pPr>
        <w:spacing w:after="0"/>
        <w:ind w:left="709" w:hanging="283"/>
        <w:contextualSpacing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-</w:t>
      </w:r>
      <w:r w:rsidRPr="007669B0">
        <w:rPr>
          <w:rFonts w:ascii="Arial" w:eastAsia="Times New Roman" w:hAnsi="Arial" w:cs="Arial"/>
          <w:color w:val="000000"/>
          <w:lang w:eastAsia="es-PE"/>
        </w:rPr>
        <w:tab/>
        <w:t xml:space="preserve"> Mantenimiento, Reposición y Operación de Sistema de Agua y Saneamiento en Zonas Rurales 100% de avance; Promoción, Implementación y Ejecución de Actividades para la Reactivación Económica 100%</w:t>
      </w:r>
    </w:p>
    <w:p w14:paraId="540AD3E3" w14:textId="77777777" w:rsidR="007669B0" w:rsidRDefault="007669B0" w:rsidP="008733C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E6F7BF0" w14:textId="77777777" w:rsidR="007669B0" w:rsidRPr="007669B0" w:rsidRDefault="007669B0" w:rsidP="007669B0">
      <w:pPr>
        <w:spacing w:after="0"/>
        <w:jc w:val="both"/>
        <w:rPr>
          <w:rFonts w:ascii="Arial" w:eastAsia="Times New Roman" w:hAnsi="Arial" w:cs="Arial"/>
          <w:color w:val="000000"/>
          <w:lang w:eastAsia="es-PE"/>
        </w:rPr>
      </w:pPr>
      <w:r w:rsidRPr="007669B0">
        <w:rPr>
          <w:rFonts w:ascii="Arial" w:eastAsia="Times New Roman" w:hAnsi="Arial" w:cs="Arial"/>
          <w:color w:val="000000"/>
          <w:lang w:eastAsia="es-PE"/>
        </w:rPr>
        <w:t>El comportamiento del gasto a nivel de Categoría y Grupo Genérico del Gasto al mes de diciembre se observa en el siguiente cuadro:</w:t>
      </w:r>
    </w:p>
    <w:p w14:paraId="55F2832C" w14:textId="77777777" w:rsidR="00307541" w:rsidRDefault="00307541" w:rsidP="00307541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14:paraId="539F18C8" w14:textId="77777777" w:rsidR="001C0C79" w:rsidRDefault="001C0C79" w:rsidP="001059E2">
      <w:pPr>
        <w:spacing w:after="0"/>
        <w:jc w:val="center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14:paraId="19869CC8" w14:textId="77777777" w:rsidR="00DF62F6" w:rsidRDefault="007669B0" w:rsidP="001059E2">
      <w:pPr>
        <w:spacing w:after="0"/>
        <w:jc w:val="center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 w:rsidRPr="007669B0">
        <w:rPr>
          <w:noProof/>
        </w:rPr>
        <w:drawing>
          <wp:inline distT="0" distB="0" distL="0" distR="0" wp14:anchorId="158FF5DE" wp14:editId="4ED7FBBF">
            <wp:extent cx="6210935" cy="275056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95C40" w14:textId="77777777" w:rsidR="00DF62F6" w:rsidRDefault="00DF62F6" w:rsidP="001059E2">
      <w:pPr>
        <w:spacing w:after="0"/>
        <w:jc w:val="center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14:paraId="1F94FAEA" w14:textId="77777777" w:rsidR="007669B0" w:rsidRDefault="007669B0" w:rsidP="001059E2">
      <w:pPr>
        <w:spacing w:after="0"/>
        <w:jc w:val="center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14:paraId="316A998F" w14:textId="77777777" w:rsidR="007669B0" w:rsidRDefault="007669B0" w:rsidP="007669B0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  <w:sectPr w:rsidR="007669B0" w:rsidSect="00630CF0">
          <w:headerReference w:type="default" r:id="rId17"/>
          <w:pgSz w:w="11907" w:h="16839" w:code="9"/>
          <w:pgMar w:top="568" w:right="992" w:bottom="709" w:left="1134" w:header="564" w:footer="708" w:gutter="0"/>
          <w:cols w:space="708"/>
          <w:docGrid w:linePitch="360"/>
        </w:sectPr>
      </w:pPr>
    </w:p>
    <w:p w14:paraId="6191BF6A" w14:textId="77777777" w:rsidR="00307541" w:rsidRDefault="00307541" w:rsidP="00307541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14:paraId="2F6935C0" w14:textId="77777777" w:rsidR="009652D7" w:rsidRDefault="009652D7" w:rsidP="009652D7">
      <w:pPr>
        <w:spacing w:after="0"/>
        <w:rPr>
          <w:rFonts w:ascii="Arial" w:eastAsia="Times New Roman" w:hAnsi="Arial" w:cs="Arial"/>
          <w:color w:val="000000"/>
          <w:lang w:eastAsia="es-PE"/>
        </w:rPr>
      </w:pPr>
      <w:r w:rsidRPr="009652D7">
        <w:rPr>
          <w:rFonts w:ascii="Arial" w:eastAsia="Times New Roman" w:hAnsi="Arial" w:cs="Arial"/>
          <w:color w:val="000000"/>
          <w:lang w:eastAsia="es-PE"/>
        </w:rPr>
        <w:t>En los siguientes cuadros se puede apreciar el comportamiento del gasto y el porcentaje de avance en los últimos seis años:</w:t>
      </w:r>
    </w:p>
    <w:p w14:paraId="723FE455" w14:textId="77777777" w:rsidR="009652D7" w:rsidRPr="009652D7" w:rsidRDefault="009652D7" w:rsidP="009652D7">
      <w:pPr>
        <w:spacing w:after="0"/>
        <w:rPr>
          <w:rFonts w:ascii="Arial" w:eastAsia="Times New Roman" w:hAnsi="Arial" w:cs="Arial"/>
          <w:color w:val="000000"/>
          <w:lang w:eastAsia="es-PE"/>
        </w:rPr>
      </w:pPr>
    </w:p>
    <w:p w14:paraId="18278C10" w14:textId="77777777" w:rsidR="009652D7" w:rsidRPr="009652D7" w:rsidRDefault="009652D7" w:rsidP="009652D7">
      <w:pPr>
        <w:spacing w:after="0"/>
        <w:rPr>
          <w:rFonts w:ascii="Arial" w:eastAsia="Times New Roman" w:hAnsi="Arial" w:cs="Arial"/>
          <w:color w:val="000000"/>
          <w:lang w:eastAsia="es-PE"/>
        </w:rPr>
      </w:pPr>
      <w:r w:rsidRPr="009652D7">
        <w:rPr>
          <w:rFonts w:eastAsiaTheme="minorHAnsi"/>
          <w:noProof/>
          <w:lang w:eastAsia="es-PE"/>
        </w:rPr>
        <w:drawing>
          <wp:inline distT="0" distB="0" distL="0" distR="0" wp14:anchorId="4EE1ADC5" wp14:editId="42D4412C">
            <wp:extent cx="9522460" cy="1514533"/>
            <wp:effectExtent l="0" t="0" r="254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15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50CF7" w14:textId="77777777" w:rsidR="009652D7" w:rsidRDefault="009652D7" w:rsidP="009652D7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 w:rsidRPr="009652D7">
        <w:rPr>
          <w:rFonts w:ascii="Arial" w:eastAsia="Times New Roman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 wp14:anchorId="63D51052" wp14:editId="7FE003BC">
            <wp:extent cx="9405257" cy="4018101"/>
            <wp:effectExtent l="0" t="0" r="571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538" cy="401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F40B0" w14:textId="77777777" w:rsidR="009652D7" w:rsidRDefault="009652D7" w:rsidP="009652D7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14:paraId="6BA17B6C" w14:textId="77777777" w:rsidR="009652D7" w:rsidRDefault="009652D7" w:rsidP="009652D7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14:paraId="2D08D61F" w14:textId="77777777" w:rsidR="009652D7" w:rsidRPr="009652D7" w:rsidRDefault="009652D7" w:rsidP="009652D7">
      <w:pPr>
        <w:spacing w:after="0" w:line="240" w:lineRule="auto"/>
        <w:rPr>
          <w:rFonts w:eastAsiaTheme="minorHAnsi"/>
        </w:rPr>
      </w:pPr>
      <w:r w:rsidRPr="009652D7">
        <w:rPr>
          <w:rFonts w:eastAsiaTheme="minorHAnsi"/>
        </w:rPr>
        <w:t xml:space="preserve"> </w:t>
      </w:r>
      <w:r w:rsidRPr="009652D7">
        <w:rPr>
          <w:rFonts w:eastAsiaTheme="minorHAnsi"/>
          <w:noProof/>
          <w:lang w:eastAsia="es-PE"/>
        </w:rPr>
        <w:drawing>
          <wp:inline distT="0" distB="0" distL="0" distR="0" wp14:anchorId="4FFC3D5B" wp14:editId="1ACAA1DB">
            <wp:extent cx="9522460" cy="992342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99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2EB7" w14:textId="77777777" w:rsidR="009652D7" w:rsidRPr="009652D7" w:rsidRDefault="009652D7" w:rsidP="009652D7">
      <w:pPr>
        <w:spacing w:after="0" w:line="240" w:lineRule="auto"/>
        <w:rPr>
          <w:rFonts w:eastAsiaTheme="minorHAnsi"/>
        </w:rPr>
      </w:pPr>
    </w:p>
    <w:p w14:paraId="130BF8F3" w14:textId="77777777" w:rsidR="009652D7" w:rsidRDefault="009652D7" w:rsidP="009652D7">
      <w:pPr>
        <w:spacing w:after="0" w:line="240" w:lineRule="auto"/>
        <w:rPr>
          <w:rFonts w:eastAsia="Times New Roman" w:cs="Times New Roman"/>
          <w:color w:val="000000"/>
          <w:lang w:eastAsia="es-PE"/>
        </w:rPr>
      </w:pPr>
      <w:r w:rsidRPr="009652D7">
        <w:rPr>
          <w:rFonts w:eastAsia="Times New Roman" w:cs="Times New Roman"/>
          <w:color w:val="000000"/>
          <w:lang w:eastAsia="es-PE"/>
        </w:rPr>
        <w:t xml:space="preserve"> </w:t>
      </w:r>
      <w:r w:rsidRPr="009652D7">
        <w:rPr>
          <w:rFonts w:eastAsia="Times New Roman" w:cs="Times New Roman"/>
          <w:noProof/>
          <w:color w:val="000000"/>
          <w:lang w:eastAsia="es-PE"/>
        </w:rPr>
        <w:drawing>
          <wp:inline distT="0" distB="0" distL="0" distR="0" wp14:anchorId="6AB00135" wp14:editId="7D2B465C">
            <wp:extent cx="9374521" cy="436453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30" cy="436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A4D48" w14:textId="77777777" w:rsidR="00F040CC" w:rsidRPr="009652D7" w:rsidRDefault="00F040CC" w:rsidP="009652D7">
      <w:pPr>
        <w:spacing w:after="0" w:line="240" w:lineRule="auto"/>
        <w:rPr>
          <w:rFonts w:eastAsia="Times New Roman" w:cs="Times New Roman"/>
          <w:color w:val="000000"/>
          <w:lang w:eastAsia="es-PE"/>
        </w:rPr>
      </w:pPr>
    </w:p>
    <w:sectPr w:rsidR="00F040CC" w:rsidRPr="009652D7" w:rsidSect="001C0C79">
      <w:pgSz w:w="16839" w:h="11907" w:orient="landscape" w:code="9"/>
      <w:pgMar w:top="1134" w:right="567" w:bottom="992" w:left="709" w:header="5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6EB8F" w14:textId="77777777" w:rsidR="00722949" w:rsidRDefault="00722949" w:rsidP="00E57FB7">
      <w:pPr>
        <w:spacing w:after="0" w:line="240" w:lineRule="auto"/>
      </w:pPr>
      <w:r>
        <w:separator/>
      </w:r>
    </w:p>
  </w:endnote>
  <w:endnote w:type="continuationSeparator" w:id="0">
    <w:p w14:paraId="0FA706DF" w14:textId="77777777" w:rsidR="00722949" w:rsidRDefault="00722949" w:rsidP="00E57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95766" w14:textId="77777777" w:rsidR="00722949" w:rsidRDefault="00722949" w:rsidP="00E57FB7">
      <w:pPr>
        <w:spacing w:after="0" w:line="240" w:lineRule="auto"/>
      </w:pPr>
      <w:r>
        <w:separator/>
      </w:r>
    </w:p>
  </w:footnote>
  <w:footnote w:type="continuationSeparator" w:id="0">
    <w:p w14:paraId="55B07BEA" w14:textId="77777777" w:rsidR="00722949" w:rsidRDefault="00722949" w:rsidP="00E57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76059" w14:textId="77777777" w:rsidR="00CD2A0C" w:rsidRDefault="00CD2A0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BC2B6C" wp14:editId="76DAB5C8">
              <wp:simplePos x="0" y="0"/>
              <wp:positionH relativeFrom="column">
                <wp:posOffset>2953716</wp:posOffset>
              </wp:positionH>
              <wp:positionV relativeFrom="paragraph">
                <wp:posOffset>-240030</wp:posOffset>
              </wp:positionV>
              <wp:extent cx="3362959" cy="726439"/>
              <wp:effectExtent l="0" t="0" r="9525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959" cy="7264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A90F3" w14:textId="77777777" w:rsidR="00A24DDC" w:rsidRDefault="00A24DDC">
                          <w:pPr>
                            <w:rPr>
                              <w:b/>
                              <w:i/>
                              <w:color w:val="E20000"/>
                              <w:sz w:val="20"/>
                              <w:szCs w:val="20"/>
                            </w:rPr>
                          </w:pPr>
                        </w:p>
                        <w:p w14:paraId="219789A1" w14:textId="77777777" w:rsidR="00CD2A0C" w:rsidRPr="00330DDD" w:rsidRDefault="00CD2A0C">
                          <w:pPr>
                            <w:rPr>
                              <w:b/>
                              <w:i/>
                              <w:color w:val="E20000"/>
                              <w:sz w:val="20"/>
                              <w:szCs w:val="20"/>
                            </w:rPr>
                          </w:pPr>
                          <w:r w:rsidRPr="00330DDD">
                            <w:rPr>
                              <w:b/>
                              <w:i/>
                              <w:color w:val="E20000"/>
                              <w:sz w:val="20"/>
                              <w:szCs w:val="20"/>
                            </w:rPr>
                            <w:t>Fondo de Cooperación para el Desarrollo Social - FONCODES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DBC2B6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32.6pt;margin-top:-18.9pt;width:264.8pt;height:57.2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" stroked="f">
              <v:textbox style="mso-fit-shape-to-text:t">
                <w:txbxContent>
                  <w:p w14:paraId="42FA90F3" w14:textId="77777777" w:rsidR="00A24DDC" w:rsidRDefault="00A24DDC">
                    <w:pPr>
                      <w:rPr>
                        <w:b/>
                        <w:i/>
                        <w:color w:val="E20000"/>
                        <w:sz w:val="20"/>
                        <w:szCs w:val="20"/>
                      </w:rPr>
                    </w:pPr>
                  </w:p>
                  <w:p w14:paraId="219789A1" w14:textId="77777777" w:rsidR="00CD2A0C" w:rsidRPr="00330DDD" w:rsidRDefault="00CD2A0C">
                    <w:pPr>
                      <w:rPr>
                        <w:b/>
                        <w:i/>
                        <w:color w:val="E20000"/>
                        <w:sz w:val="20"/>
                        <w:szCs w:val="20"/>
                      </w:rPr>
                    </w:pPr>
                    <w:r w:rsidRPr="00330DDD">
                      <w:rPr>
                        <w:b/>
                        <w:i/>
                        <w:color w:val="E20000"/>
                        <w:sz w:val="20"/>
                        <w:szCs w:val="20"/>
                      </w:rPr>
                      <w:t>Fondo de Cooperación para el Desarrollo Social - FONCODES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7CBAE8" wp14:editId="2F1B3CDC">
              <wp:simplePos x="0" y="0"/>
              <wp:positionH relativeFrom="column">
                <wp:posOffset>-770890</wp:posOffset>
              </wp:positionH>
              <wp:positionV relativeFrom="paragraph">
                <wp:posOffset>340995</wp:posOffset>
              </wp:positionV>
              <wp:extent cx="9775833" cy="0"/>
              <wp:effectExtent l="0" t="0" r="158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77583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67C271" id="3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7pt,26.85pt" to="709.0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" strokecolor="#4579b8 [304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B42C7"/>
    <w:multiLevelType w:val="hybridMultilevel"/>
    <w:tmpl w:val="EB7E030E"/>
    <w:lvl w:ilvl="0" w:tplc="28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42CA79E9"/>
    <w:multiLevelType w:val="hybridMultilevel"/>
    <w:tmpl w:val="3C3C42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723CD5"/>
    <w:multiLevelType w:val="hybridMultilevel"/>
    <w:tmpl w:val="EE4C76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FB7"/>
    <w:rsid w:val="000114D1"/>
    <w:rsid w:val="000149BB"/>
    <w:rsid w:val="00031A0B"/>
    <w:rsid w:val="00031C0E"/>
    <w:rsid w:val="000321B7"/>
    <w:rsid w:val="00034517"/>
    <w:rsid w:val="000373C2"/>
    <w:rsid w:val="00040160"/>
    <w:rsid w:val="0004647A"/>
    <w:rsid w:val="0005471C"/>
    <w:rsid w:val="0005797B"/>
    <w:rsid w:val="0006061E"/>
    <w:rsid w:val="00062754"/>
    <w:rsid w:val="00065E3C"/>
    <w:rsid w:val="00065FBA"/>
    <w:rsid w:val="000733C0"/>
    <w:rsid w:val="000806E8"/>
    <w:rsid w:val="000917F4"/>
    <w:rsid w:val="00092A7D"/>
    <w:rsid w:val="000936CE"/>
    <w:rsid w:val="0009543B"/>
    <w:rsid w:val="000A642D"/>
    <w:rsid w:val="000A67AD"/>
    <w:rsid w:val="000A70C0"/>
    <w:rsid w:val="000B06DD"/>
    <w:rsid w:val="000B1725"/>
    <w:rsid w:val="000C24AE"/>
    <w:rsid w:val="000C3588"/>
    <w:rsid w:val="000C40F1"/>
    <w:rsid w:val="000C6CC9"/>
    <w:rsid w:val="000C7022"/>
    <w:rsid w:val="000D0F48"/>
    <w:rsid w:val="000D16AB"/>
    <w:rsid w:val="000D373D"/>
    <w:rsid w:val="000D391D"/>
    <w:rsid w:val="000D3E2C"/>
    <w:rsid w:val="00101644"/>
    <w:rsid w:val="0010352D"/>
    <w:rsid w:val="001041B7"/>
    <w:rsid w:val="00104C93"/>
    <w:rsid w:val="001059E2"/>
    <w:rsid w:val="001073EA"/>
    <w:rsid w:val="00107B2B"/>
    <w:rsid w:val="00122865"/>
    <w:rsid w:val="00130A95"/>
    <w:rsid w:val="001356DF"/>
    <w:rsid w:val="00137463"/>
    <w:rsid w:val="001506F9"/>
    <w:rsid w:val="00157A48"/>
    <w:rsid w:val="00157FF0"/>
    <w:rsid w:val="0016029F"/>
    <w:rsid w:val="00160515"/>
    <w:rsid w:val="001610AE"/>
    <w:rsid w:val="00163EB5"/>
    <w:rsid w:val="001669C6"/>
    <w:rsid w:val="00176064"/>
    <w:rsid w:val="00176C4F"/>
    <w:rsid w:val="0018231C"/>
    <w:rsid w:val="00187A22"/>
    <w:rsid w:val="00194F9B"/>
    <w:rsid w:val="001A0852"/>
    <w:rsid w:val="001A3D48"/>
    <w:rsid w:val="001A47F3"/>
    <w:rsid w:val="001A5253"/>
    <w:rsid w:val="001A5E68"/>
    <w:rsid w:val="001B1FCA"/>
    <w:rsid w:val="001B3760"/>
    <w:rsid w:val="001B3DAD"/>
    <w:rsid w:val="001B6D04"/>
    <w:rsid w:val="001B7BDD"/>
    <w:rsid w:val="001C09F4"/>
    <w:rsid w:val="001C0C79"/>
    <w:rsid w:val="001D2419"/>
    <w:rsid w:val="001E14B2"/>
    <w:rsid w:val="001E3E94"/>
    <w:rsid w:val="001E5111"/>
    <w:rsid w:val="001E5BC3"/>
    <w:rsid w:val="001E6539"/>
    <w:rsid w:val="001E72F2"/>
    <w:rsid w:val="001F0BD4"/>
    <w:rsid w:val="001F3EC1"/>
    <w:rsid w:val="001F5E5E"/>
    <w:rsid w:val="001F7563"/>
    <w:rsid w:val="001F766B"/>
    <w:rsid w:val="00204241"/>
    <w:rsid w:val="00206250"/>
    <w:rsid w:val="002071D0"/>
    <w:rsid w:val="00207831"/>
    <w:rsid w:val="0021100D"/>
    <w:rsid w:val="00211801"/>
    <w:rsid w:val="002119B6"/>
    <w:rsid w:val="00214283"/>
    <w:rsid w:val="00217798"/>
    <w:rsid w:val="00217A13"/>
    <w:rsid w:val="00222C80"/>
    <w:rsid w:val="00224397"/>
    <w:rsid w:val="00225165"/>
    <w:rsid w:val="002270F2"/>
    <w:rsid w:val="00232778"/>
    <w:rsid w:val="0023297D"/>
    <w:rsid w:val="002338D6"/>
    <w:rsid w:val="00236C99"/>
    <w:rsid w:val="00240A3E"/>
    <w:rsid w:val="00240CD9"/>
    <w:rsid w:val="00241F49"/>
    <w:rsid w:val="00245A25"/>
    <w:rsid w:val="002472D4"/>
    <w:rsid w:val="00260C4B"/>
    <w:rsid w:val="0026297C"/>
    <w:rsid w:val="00270B50"/>
    <w:rsid w:val="002720FC"/>
    <w:rsid w:val="00275DB6"/>
    <w:rsid w:val="002772ED"/>
    <w:rsid w:val="00282ED2"/>
    <w:rsid w:val="00283742"/>
    <w:rsid w:val="00291EE0"/>
    <w:rsid w:val="0029291F"/>
    <w:rsid w:val="002948FD"/>
    <w:rsid w:val="002A343C"/>
    <w:rsid w:val="002A7052"/>
    <w:rsid w:val="002B3758"/>
    <w:rsid w:val="002B6607"/>
    <w:rsid w:val="002B6DDD"/>
    <w:rsid w:val="002C0A36"/>
    <w:rsid w:val="002C1294"/>
    <w:rsid w:val="002C4680"/>
    <w:rsid w:val="002C54E1"/>
    <w:rsid w:val="002D36FE"/>
    <w:rsid w:val="002D67F9"/>
    <w:rsid w:val="002D697C"/>
    <w:rsid w:val="002E0671"/>
    <w:rsid w:val="002E3142"/>
    <w:rsid w:val="002F128F"/>
    <w:rsid w:val="002F1BB4"/>
    <w:rsid w:val="002F40FE"/>
    <w:rsid w:val="002F486F"/>
    <w:rsid w:val="002F4E0F"/>
    <w:rsid w:val="003034D4"/>
    <w:rsid w:val="00303FDF"/>
    <w:rsid w:val="00305AF7"/>
    <w:rsid w:val="00306CC1"/>
    <w:rsid w:val="00307541"/>
    <w:rsid w:val="003168B3"/>
    <w:rsid w:val="003205F6"/>
    <w:rsid w:val="00321FA1"/>
    <w:rsid w:val="0032620B"/>
    <w:rsid w:val="00326FB6"/>
    <w:rsid w:val="00330DDD"/>
    <w:rsid w:val="00334A5E"/>
    <w:rsid w:val="00336BFC"/>
    <w:rsid w:val="00340D32"/>
    <w:rsid w:val="00341007"/>
    <w:rsid w:val="0034393B"/>
    <w:rsid w:val="00352464"/>
    <w:rsid w:val="00355E50"/>
    <w:rsid w:val="00357120"/>
    <w:rsid w:val="00360F8C"/>
    <w:rsid w:val="00366987"/>
    <w:rsid w:val="00370E3A"/>
    <w:rsid w:val="0037328D"/>
    <w:rsid w:val="003734AB"/>
    <w:rsid w:val="00373D82"/>
    <w:rsid w:val="00383F77"/>
    <w:rsid w:val="003848D2"/>
    <w:rsid w:val="00384AFE"/>
    <w:rsid w:val="003858D9"/>
    <w:rsid w:val="00395DB5"/>
    <w:rsid w:val="00396C6C"/>
    <w:rsid w:val="003A1CDD"/>
    <w:rsid w:val="003A221D"/>
    <w:rsid w:val="003A7A55"/>
    <w:rsid w:val="003B123A"/>
    <w:rsid w:val="003B3CB1"/>
    <w:rsid w:val="003B3D70"/>
    <w:rsid w:val="003B6985"/>
    <w:rsid w:val="003D0C92"/>
    <w:rsid w:val="003D3BAB"/>
    <w:rsid w:val="003D696C"/>
    <w:rsid w:val="003E0973"/>
    <w:rsid w:val="003E246C"/>
    <w:rsid w:val="003E35B1"/>
    <w:rsid w:val="003E4C44"/>
    <w:rsid w:val="003F16B7"/>
    <w:rsid w:val="003F2489"/>
    <w:rsid w:val="003F3988"/>
    <w:rsid w:val="003F4099"/>
    <w:rsid w:val="003F43AA"/>
    <w:rsid w:val="003F45CC"/>
    <w:rsid w:val="003F464B"/>
    <w:rsid w:val="00401AE4"/>
    <w:rsid w:val="004023BA"/>
    <w:rsid w:val="004038EB"/>
    <w:rsid w:val="00425B11"/>
    <w:rsid w:val="004353A5"/>
    <w:rsid w:val="0044067D"/>
    <w:rsid w:val="00450944"/>
    <w:rsid w:val="004529CC"/>
    <w:rsid w:val="00452CF6"/>
    <w:rsid w:val="00456710"/>
    <w:rsid w:val="004573E9"/>
    <w:rsid w:val="0046183C"/>
    <w:rsid w:val="00470CE1"/>
    <w:rsid w:val="004711F3"/>
    <w:rsid w:val="00472EE9"/>
    <w:rsid w:val="0047462C"/>
    <w:rsid w:val="00476B57"/>
    <w:rsid w:val="004850BD"/>
    <w:rsid w:val="00492ECB"/>
    <w:rsid w:val="004938C2"/>
    <w:rsid w:val="00493965"/>
    <w:rsid w:val="004A1672"/>
    <w:rsid w:val="004A1CCC"/>
    <w:rsid w:val="004B1056"/>
    <w:rsid w:val="004C173F"/>
    <w:rsid w:val="004C1F17"/>
    <w:rsid w:val="004C38F5"/>
    <w:rsid w:val="004C5EF5"/>
    <w:rsid w:val="004C69C2"/>
    <w:rsid w:val="004C6D7D"/>
    <w:rsid w:val="004D0C92"/>
    <w:rsid w:val="004D37BF"/>
    <w:rsid w:val="004D7193"/>
    <w:rsid w:val="004E7B42"/>
    <w:rsid w:val="004F1F79"/>
    <w:rsid w:val="004F243C"/>
    <w:rsid w:val="004F5C9C"/>
    <w:rsid w:val="005028A5"/>
    <w:rsid w:val="0051228A"/>
    <w:rsid w:val="00514797"/>
    <w:rsid w:val="00515F13"/>
    <w:rsid w:val="00516B04"/>
    <w:rsid w:val="00523B50"/>
    <w:rsid w:val="00525BFB"/>
    <w:rsid w:val="00527133"/>
    <w:rsid w:val="00527FF7"/>
    <w:rsid w:val="005321D1"/>
    <w:rsid w:val="00533E94"/>
    <w:rsid w:val="0054430E"/>
    <w:rsid w:val="0054465F"/>
    <w:rsid w:val="00545444"/>
    <w:rsid w:val="00545875"/>
    <w:rsid w:val="005469F7"/>
    <w:rsid w:val="005511F2"/>
    <w:rsid w:val="005515DC"/>
    <w:rsid w:val="00553FC4"/>
    <w:rsid w:val="0055603D"/>
    <w:rsid w:val="00557AF3"/>
    <w:rsid w:val="00560CDA"/>
    <w:rsid w:val="00563443"/>
    <w:rsid w:val="00563B29"/>
    <w:rsid w:val="00566BF2"/>
    <w:rsid w:val="00570242"/>
    <w:rsid w:val="00574C91"/>
    <w:rsid w:val="005819C9"/>
    <w:rsid w:val="005852B7"/>
    <w:rsid w:val="00590D86"/>
    <w:rsid w:val="00593A9B"/>
    <w:rsid w:val="00593E70"/>
    <w:rsid w:val="00595CFD"/>
    <w:rsid w:val="005A0ABB"/>
    <w:rsid w:val="005A17EB"/>
    <w:rsid w:val="005A3B58"/>
    <w:rsid w:val="005B03D4"/>
    <w:rsid w:val="005C2832"/>
    <w:rsid w:val="005C5E5B"/>
    <w:rsid w:val="005C5FA2"/>
    <w:rsid w:val="005D0A70"/>
    <w:rsid w:val="005D777A"/>
    <w:rsid w:val="005E0048"/>
    <w:rsid w:val="005E07E5"/>
    <w:rsid w:val="005E09CC"/>
    <w:rsid w:val="005E3001"/>
    <w:rsid w:val="005F05D0"/>
    <w:rsid w:val="005F4987"/>
    <w:rsid w:val="006044D6"/>
    <w:rsid w:val="006102F3"/>
    <w:rsid w:val="00612F5D"/>
    <w:rsid w:val="006135AE"/>
    <w:rsid w:val="0061507C"/>
    <w:rsid w:val="00623441"/>
    <w:rsid w:val="00623D68"/>
    <w:rsid w:val="00624EDB"/>
    <w:rsid w:val="00625AE7"/>
    <w:rsid w:val="00630CE6"/>
    <w:rsid w:val="00630CF0"/>
    <w:rsid w:val="0064184C"/>
    <w:rsid w:val="00641F81"/>
    <w:rsid w:val="00643934"/>
    <w:rsid w:val="00644D40"/>
    <w:rsid w:val="0065358E"/>
    <w:rsid w:val="00655F4E"/>
    <w:rsid w:val="0065691F"/>
    <w:rsid w:val="00665CE0"/>
    <w:rsid w:val="00670934"/>
    <w:rsid w:val="00677EE5"/>
    <w:rsid w:val="00680115"/>
    <w:rsid w:val="00682FC2"/>
    <w:rsid w:val="00686247"/>
    <w:rsid w:val="006924C4"/>
    <w:rsid w:val="0069316F"/>
    <w:rsid w:val="006A09A6"/>
    <w:rsid w:val="006A3C24"/>
    <w:rsid w:val="006A4428"/>
    <w:rsid w:val="006B0B23"/>
    <w:rsid w:val="006B34BD"/>
    <w:rsid w:val="006B4903"/>
    <w:rsid w:val="006B4EB5"/>
    <w:rsid w:val="006B61EC"/>
    <w:rsid w:val="006C2CF5"/>
    <w:rsid w:val="006C5102"/>
    <w:rsid w:val="006D2F06"/>
    <w:rsid w:val="006E68F1"/>
    <w:rsid w:val="006F1378"/>
    <w:rsid w:val="006F2543"/>
    <w:rsid w:val="00701FF6"/>
    <w:rsid w:val="00704DE6"/>
    <w:rsid w:val="00705EA7"/>
    <w:rsid w:val="00713D3D"/>
    <w:rsid w:val="007178C4"/>
    <w:rsid w:val="00722949"/>
    <w:rsid w:val="00724A81"/>
    <w:rsid w:val="00731DDB"/>
    <w:rsid w:val="007322B8"/>
    <w:rsid w:val="007324BB"/>
    <w:rsid w:val="00732F9A"/>
    <w:rsid w:val="00740E7C"/>
    <w:rsid w:val="007437C1"/>
    <w:rsid w:val="007442FB"/>
    <w:rsid w:val="00747F89"/>
    <w:rsid w:val="00764018"/>
    <w:rsid w:val="007669B0"/>
    <w:rsid w:val="00766E51"/>
    <w:rsid w:val="00773E11"/>
    <w:rsid w:val="0077607A"/>
    <w:rsid w:val="00777542"/>
    <w:rsid w:val="00782FD4"/>
    <w:rsid w:val="007903E6"/>
    <w:rsid w:val="00791881"/>
    <w:rsid w:val="00794574"/>
    <w:rsid w:val="00797783"/>
    <w:rsid w:val="007A0A05"/>
    <w:rsid w:val="007A2603"/>
    <w:rsid w:val="007A528C"/>
    <w:rsid w:val="007A52D9"/>
    <w:rsid w:val="007B6DAF"/>
    <w:rsid w:val="007C0847"/>
    <w:rsid w:val="007C0B43"/>
    <w:rsid w:val="007C11AA"/>
    <w:rsid w:val="007C2867"/>
    <w:rsid w:val="007C6D73"/>
    <w:rsid w:val="007D0CFA"/>
    <w:rsid w:val="007D1846"/>
    <w:rsid w:val="007D527F"/>
    <w:rsid w:val="007D5CBE"/>
    <w:rsid w:val="007E033E"/>
    <w:rsid w:val="007F20DF"/>
    <w:rsid w:val="00813543"/>
    <w:rsid w:val="00813EB6"/>
    <w:rsid w:val="00815ADE"/>
    <w:rsid w:val="00816D64"/>
    <w:rsid w:val="00825E3D"/>
    <w:rsid w:val="00826697"/>
    <w:rsid w:val="00832488"/>
    <w:rsid w:val="00835FBA"/>
    <w:rsid w:val="008449A7"/>
    <w:rsid w:val="00844DF8"/>
    <w:rsid w:val="00845151"/>
    <w:rsid w:val="0084685A"/>
    <w:rsid w:val="00846F77"/>
    <w:rsid w:val="00852061"/>
    <w:rsid w:val="008520AC"/>
    <w:rsid w:val="0085531D"/>
    <w:rsid w:val="0086436E"/>
    <w:rsid w:val="008653A1"/>
    <w:rsid w:val="00865D38"/>
    <w:rsid w:val="00866754"/>
    <w:rsid w:val="008733C4"/>
    <w:rsid w:val="0087780F"/>
    <w:rsid w:val="00884F30"/>
    <w:rsid w:val="00886171"/>
    <w:rsid w:val="0088656E"/>
    <w:rsid w:val="008900BF"/>
    <w:rsid w:val="008906AC"/>
    <w:rsid w:val="008B30A7"/>
    <w:rsid w:val="008B331B"/>
    <w:rsid w:val="008C483B"/>
    <w:rsid w:val="008C6ED2"/>
    <w:rsid w:val="008C719A"/>
    <w:rsid w:val="008D1E0A"/>
    <w:rsid w:val="008D5027"/>
    <w:rsid w:val="008D6040"/>
    <w:rsid w:val="008E5F92"/>
    <w:rsid w:val="008E79CD"/>
    <w:rsid w:val="008F0E0A"/>
    <w:rsid w:val="008F2C78"/>
    <w:rsid w:val="008F3CB1"/>
    <w:rsid w:val="00900315"/>
    <w:rsid w:val="009015BE"/>
    <w:rsid w:val="00902BC8"/>
    <w:rsid w:val="00904060"/>
    <w:rsid w:val="009048FB"/>
    <w:rsid w:val="00911F81"/>
    <w:rsid w:val="00912ED7"/>
    <w:rsid w:val="00914CB9"/>
    <w:rsid w:val="00914FAC"/>
    <w:rsid w:val="009269A8"/>
    <w:rsid w:val="0092712A"/>
    <w:rsid w:val="00932318"/>
    <w:rsid w:val="00937940"/>
    <w:rsid w:val="00940D4D"/>
    <w:rsid w:val="00946597"/>
    <w:rsid w:val="00955DDA"/>
    <w:rsid w:val="00963827"/>
    <w:rsid w:val="009652D7"/>
    <w:rsid w:val="0096627E"/>
    <w:rsid w:val="009667BC"/>
    <w:rsid w:val="00966A31"/>
    <w:rsid w:val="00975948"/>
    <w:rsid w:val="0098138D"/>
    <w:rsid w:val="00982C27"/>
    <w:rsid w:val="00985AA6"/>
    <w:rsid w:val="00991986"/>
    <w:rsid w:val="009A1636"/>
    <w:rsid w:val="009A349F"/>
    <w:rsid w:val="009A56F2"/>
    <w:rsid w:val="009A5D10"/>
    <w:rsid w:val="009B4F08"/>
    <w:rsid w:val="009B6555"/>
    <w:rsid w:val="009C014E"/>
    <w:rsid w:val="009D0966"/>
    <w:rsid w:val="009E2186"/>
    <w:rsid w:val="009E50D7"/>
    <w:rsid w:val="009F0C5D"/>
    <w:rsid w:val="009F1A38"/>
    <w:rsid w:val="009F4EB1"/>
    <w:rsid w:val="009F5280"/>
    <w:rsid w:val="009F5C29"/>
    <w:rsid w:val="009F7033"/>
    <w:rsid w:val="009F79A4"/>
    <w:rsid w:val="00A00248"/>
    <w:rsid w:val="00A003BE"/>
    <w:rsid w:val="00A05DB5"/>
    <w:rsid w:val="00A1156A"/>
    <w:rsid w:val="00A11865"/>
    <w:rsid w:val="00A22E75"/>
    <w:rsid w:val="00A233D1"/>
    <w:rsid w:val="00A24DDC"/>
    <w:rsid w:val="00A31399"/>
    <w:rsid w:val="00A33823"/>
    <w:rsid w:val="00A36566"/>
    <w:rsid w:val="00A37CBD"/>
    <w:rsid w:val="00A412E7"/>
    <w:rsid w:val="00A42F48"/>
    <w:rsid w:val="00A43408"/>
    <w:rsid w:val="00A43C7A"/>
    <w:rsid w:val="00A535B4"/>
    <w:rsid w:val="00A61093"/>
    <w:rsid w:val="00A6203F"/>
    <w:rsid w:val="00A71D40"/>
    <w:rsid w:val="00A77D6E"/>
    <w:rsid w:val="00A82ECC"/>
    <w:rsid w:val="00A917AC"/>
    <w:rsid w:val="00A9231D"/>
    <w:rsid w:val="00A954E2"/>
    <w:rsid w:val="00A95566"/>
    <w:rsid w:val="00AA4E5C"/>
    <w:rsid w:val="00AB2681"/>
    <w:rsid w:val="00AB2A51"/>
    <w:rsid w:val="00AB3C71"/>
    <w:rsid w:val="00AB5114"/>
    <w:rsid w:val="00AB667C"/>
    <w:rsid w:val="00AC4158"/>
    <w:rsid w:val="00AD034D"/>
    <w:rsid w:val="00AD4D16"/>
    <w:rsid w:val="00AD66F0"/>
    <w:rsid w:val="00AF1E78"/>
    <w:rsid w:val="00AF2E5F"/>
    <w:rsid w:val="00AF60E1"/>
    <w:rsid w:val="00B0095F"/>
    <w:rsid w:val="00B05B3B"/>
    <w:rsid w:val="00B06B0D"/>
    <w:rsid w:val="00B10994"/>
    <w:rsid w:val="00B119A5"/>
    <w:rsid w:val="00B17382"/>
    <w:rsid w:val="00B22623"/>
    <w:rsid w:val="00B243D3"/>
    <w:rsid w:val="00B24BFF"/>
    <w:rsid w:val="00B26306"/>
    <w:rsid w:val="00B305B4"/>
    <w:rsid w:val="00B30A41"/>
    <w:rsid w:val="00B30A92"/>
    <w:rsid w:val="00B35E1C"/>
    <w:rsid w:val="00B366DE"/>
    <w:rsid w:val="00B407EA"/>
    <w:rsid w:val="00B41F4F"/>
    <w:rsid w:val="00B43A41"/>
    <w:rsid w:val="00B5513D"/>
    <w:rsid w:val="00B576BA"/>
    <w:rsid w:val="00B615DB"/>
    <w:rsid w:val="00B62653"/>
    <w:rsid w:val="00B63AD4"/>
    <w:rsid w:val="00B67180"/>
    <w:rsid w:val="00B7227B"/>
    <w:rsid w:val="00B8128B"/>
    <w:rsid w:val="00B9074A"/>
    <w:rsid w:val="00B96F8F"/>
    <w:rsid w:val="00BA1D4E"/>
    <w:rsid w:val="00BA620A"/>
    <w:rsid w:val="00BA7645"/>
    <w:rsid w:val="00BB0BDF"/>
    <w:rsid w:val="00BB1719"/>
    <w:rsid w:val="00BB2E1B"/>
    <w:rsid w:val="00BB6095"/>
    <w:rsid w:val="00BC1930"/>
    <w:rsid w:val="00BE6FFE"/>
    <w:rsid w:val="00BF1EE8"/>
    <w:rsid w:val="00BF39C4"/>
    <w:rsid w:val="00BF7668"/>
    <w:rsid w:val="00C03A3B"/>
    <w:rsid w:val="00C03C36"/>
    <w:rsid w:val="00C138DB"/>
    <w:rsid w:val="00C17A41"/>
    <w:rsid w:val="00C17EE5"/>
    <w:rsid w:val="00C24D8F"/>
    <w:rsid w:val="00C25254"/>
    <w:rsid w:val="00C25E25"/>
    <w:rsid w:val="00C33C62"/>
    <w:rsid w:val="00C342E5"/>
    <w:rsid w:val="00C364AF"/>
    <w:rsid w:val="00C37483"/>
    <w:rsid w:val="00C43A07"/>
    <w:rsid w:val="00C63851"/>
    <w:rsid w:val="00C71E6A"/>
    <w:rsid w:val="00C72EB6"/>
    <w:rsid w:val="00C734D3"/>
    <w:rsid w:val="00C756E7"/>
    <w:rsid w:val="00C84452"/>
    <w:rsid w:val="00C8454C"/>
    <w:rsid w:val="00CA0DFF"/>
    <w:rsid w:val="00CA21AC"/>
    <w:rsid w:val="00CA5E94"/>
    <w:rsid w:val="00CA6624"/>
    <w:rsid w:val="00CA6C6B"/>
    <w:rsid w:val="00CB20C8"/>
    <w:rsid w:val="00CB6B33"/>
    <w:rsid w:val="00CB792F"/>
    <w:rsid w:val="00CC45E2"/>
    <w:rsid w:val="00CD2A0C"/>
    <w:rsid w:val="00CD622A"/>
    <w:rsid w:val="00CD7444"/>
    <w:rsid w:val="00CD7C2B"/>
    <w:rsid w:val="00CE0804"/>
    <w:rsid w:val="00CE572F"/>
    <w:rsid w:val="00CE70A8"/>
    <w:rsid w:val="00CF3429"/>
    <w:rsid w:val="00CF7620"/>
    <w:rsid w:val="00D01CF3"/>
    <w:rsid w:val="00D04178"/>
    <w:rsid w:val="00D07A48"/>
    <w:rsid w:val="00D1391F"/>
    <w:rsid w:val="00D13AFD"/>
    <w:rsid w:val="00D30A98"/>
    <w:rsid w:val="00D409A2"/>
    <w:rsid w:val="00D4422A"/>
    <w:rsid w:val="00D44B2B"/>
    <w:rsid w:val="00D44D22"/>
    <w:rsid w:val="00D63B81"/>
    <w:rsid w:val="00D7527F"/>
    <w:rsid w:val="00D76942"/>
    <w:rsid w:val="00D774C6"/>
    <w:rsid w:val="00D80D0B"/>
    <w:rsid w:val="00D80D0E"/>
    <w:rsid w:val="00D8226E"/>
    <w:rsid w:val="00D8749F"/>
    <w:rsid w:val="00D91D0F"/>
    <w:rsid w:val="00D93AC6"/>
    <w:rsid w:val="00D94CCC"/>
    <w:rsid w:val="00D9583D"/>
    <w:rsid w:val="00DA1A27"/>
    <w:rsid w:val="00DA544E"/>
    <w:rsid w:val="00DA67AE"/>
    <w:rsid w:val="00DA73C5"/>
    <w:rsid w:val="00DB1352"/>
    <w:rsid w:val="00DB347B"/>
    <w:rsid w:val="00DB4D70"/>
    <w:rsid w:val="00DB642A"/>
    <w:rsid w:val="00DB68BD"/>
    <w:rsid w:val="00DC0669"/>
    <w:rsid w:val="00DC2BB9"/>
    <w:rsid w:val="00DC41B4"/>
    <w:rsid w:val="00DC7620"/>
    <w:rsid w:val="00DD2F68"/>
    <w:rsid w:val="00DD337D"/>
    <w:rsid w:val="00DE5F5D"/>
    <w:rsid w:val="00DF234B"/>
    <w:rsid w:val="00DF3745"/>
    <w:rsid w:val="00DF62F6"/>
    <w:rsid w:val="00DF717F"/>
    <w:rsid w:val="00E053A8"/>
    <w:rsid w:val="00E07D51"/>
    <w:rsid w:val="00E11F8E"/>
    <w:rsid w:val="00E145A0"/>
    <w:rsid w:val="00E21F69"/>
    <w:rsid w:val="00E22FC3"/>
    <w:rsid w:val="00E30D0C"/>
    <w:rsid w:val="00E30DB0"/>
    <w:rsid w:val="00E34BC1"/>
    <w:rsid w:val="00E35A27"/>
    <w:rsid w:val="00E422A3"/>
    <w:rsid w:val="00E54D59"/>
    <w:rsid w:val="00E552C5"/>
    <w:rsid w:val="00E57FB7"/>
    <w:rsid w:val="00E64F8B"/>
    <w:rsid w:val="00E661E3"/>
    <w:rsid w:val="00E67BE6"/>
    <w:rsid w:val="00E71197"/>
    <w:rsid w:val="00E73CB2"/>
    <w:rsid w:val="00E7484D"/>
    <w:rsid w:val="00E76144"/>
    <w:rsid w:val="00E778F2"/>
    <w:rsid w:val="00E801E9"/>
    <w:rsid w:val="00E90F39"/>
    <w:rsid w:val="00E96178"/>
    <w:rsid w:val="00EA5CFC"/>
    <w:rsid w:val="00EA5DC9"/>
    <w:rsid w:val="00EB3B87"/>
    <w:rsid w:val="00EB3C47"/>
    <w:rsid w:val="00EC1C9A"/>
    <w:rsid w:val="00EC1F50"/>
    <w:rsid w:val="00EC32AE"/>
    <w:rsid w:val="00EC40F8"/>
    <w:rsid w:val="00EC7E70"/>
    <w:rsid w:val="00ED6CCA"/>
    <w:rsid w:val="00EF2233"/>
    <w:rsid w:val="00EF4F03"/>
    <w:rsid w:val="00EF6C6E"/>
    <w:rsid w:val="00F00DAD"/>
    <w:rsid w:val="00F040CC"/>
    <w:rsid w:val="00F048C5"/>
    <w:rsid w:val="00F07A41"/>
    <w:rsid w:val="00F1013F"/>
    <w:rsid w:val="00F10B32"/>
    <w:rsid w:val="00F11543"/>
    <w:rsid w:val="00F14D58"/>
    <w:rsid w:val="00F16C6F"/>
    <w:rsid w:val="00F22340"/>
    <w:rsid w:val="00F24692"/>
    <w:rsid w:val="00F24BDC"/>
    <w:rsid w:val="00F2796B"/>
    <w:rsid w:val="00F30B91"/>
    <w:rsid w:val="00F33249"/>
    <w:rsid w:val="00F33C30"/>
    <w:rsid w:val="00F353D3"/>
    <w:rsid w:val="00F35E89"/>
    <w:rsid w:val="00F365EE"/>
    <w:rsid w:val="00F52625"/>
    <w:rsid w:val="00F528E0"/>
    <w:rsid w:val="00F52CB1"/>
    <w:rsid w:val="00F66666"/>
    <w:rsid w:val="00F670EE"/>
    <w:rsid w:val="00F67483"/>
    <w:rsid w:val="00F67941"/>
    <w:rsid w:val="00F72CA3"/>
    <w:rsid w:val="00F77D5D"/>
    <w:rsid w:val="00F816DA"/>
    <w:rsid w:val="00F83DD2"/>
    <w:rsid w:val="00F951D6"/>
    <w:rsid w:val="00F97B3A"/>
    <w:rsid w:val="00F97B77"/>
    <w:rsid w:val="00FA2D25"/>
    <w:rsid w:val="00FA54E3"/>
    <w:rsid w:val="00FA57F8"/>
    <w:rsid w:val="00FA5BD0"/>
    <w:rsid w:val="00FB0945"/>
    <w:rsid w:val="00FB4CCD"/>
    <w:rsid w:val="00FB75B9"/>
    <w:rsid w:val="00FC5579"/>
    <w:rsid w:val="00FD51E9"/>
    <w:rsid w:val="00FE2161"/>
    <w:rsid w:val="00FF60AD"/>
    <w:rsid w:val="00F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8D23F"/>
  <w15:docId w15:val="{1B040337-A253-4082-BCBF-30E13FC7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EF5"/>
  </w:style>
  <w:style w:type="paragraph" w:styleId="Ttulo1">
    <w:name w:val="heading 1"/>
    <w:basedOn w:val="Normal"/>
    <w:next w:val="Normal"/>
    <w:link w:val="Ttulo1Car"/>
    <w:uiPriority w:val="9"/>
    <w:qFormat/>
    <w:rsid w:val="004C5E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5E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C5E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5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5E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5E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5E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5E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5E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7F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7FB7"/>
  </w:style>
  <w:style w:type="paragraph" w:styleId="Piedepgina">
    <w:name w:val="footer"/>
    <w:basedOn w:val="Normal"/>
    <w:link w:val="PiedepginaCar"/>
    <w:uiPriority w:val="99"/>
    <w:unhideWhenUsed/>
    <w:rsid w:val="00E57F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FB7"/>
  </w:style>
  <w:style w:type="paragraph" w:styleId="Textodeglobo">
    <w:name w:val="Balloon Text"/>
    <w:basedOn w:val="Normal"/>
    <w:link w:val="TextodegloboCar"/>
    <w:uiPriority w:val="99"/>
    <w:semiHidden/>
    <w:unhideWhenUsed/>
    <w:rsid w:val="00E5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FB7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C5EF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72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21F69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semiHidden/>
    <w:rsid w:val="00570242"/>
    <w:pPr>
      <w:spacing w:after="0" w:line="240" w:lineRule="auto"/>
      <w:ind w:left="5220" w:hanging="12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57024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C5EF5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5E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C5EF5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5EF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5EF5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5EF5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5EF5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5EF5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5EF5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C5EF5"/>
    <w:pPr>
      <w:spacing w:line="240" w:lineRule="auto"/>
    </w:pPr>
    <w:rPr>
      <w:b/>
      <w:bCs/>
      <w:smallCaps/>
      <w:color w:val="1F497D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4C5E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4C5EF5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4C5E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C5EF5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4C5EF5"/>
    <w:rPr>
      <w:b/>
      <w:bCs/>
    </w:rPr>
  </w:style>
  <w:style w:type="character" w:styleId="nfasis">
    <w:name w:val="Emphasis"/>
    <w:basedOn w:val="Fuentedeprrafopredeter"/>
    <w:uiPriority w:val="20"/>
    <w:qFormat/>
    <w:rsid w:val="004C5EF5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4C5EF5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4C5EF5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5E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5EF5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4C5EF5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4C5EF5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4C5E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4C5EF5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4C5EF5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C5EF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package" Target="embeddings/Microsoft_Excel_Worksheet.xlsx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Juana%20Huerto\2021\PARA%20LA%20PAG%20WEB\IV%20TRIMESTRE\Marco%20Legal%20al%2031%20DIC%20202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Juana%20Huerto\2021\PARA%20LA%20PAG%20WEB\IV%20TRIMESTRE\Marco%20Legal%20al%2031%20DIC%2020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PE" sz="900"/>
              <a:t>GRAFICO Nº 01</a:t>
            </a:r>
          </a:p>
          <a:p>
            <a:pPr>
              <a:defRPr/>
            </a:pPr>
            <a:r>
              <a:rPr lang="es-PE" sz="900"/>
              <a:t>DISTRIBUCION DEL PIM POR PROGRAMA</a:t>
            </a:r>
          </a:p>
          <a:p>
            <a:pPr>
              <a:defRPr/>
            </a:pPr>
            <a:r>
              <a:rPr lang="es-PE" sz="900"/>
              <a:t>AL 31 DE DICIEMBRE 2021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2"/>
          <c:dLbls>
            <c:dLbl>
              <c:idx val="0"/>
              <c:layout>
                <c:manualLayout>
                  <c:x val="3.1679250977092899E-2"/>
                  <c:y val="-0.587506293582027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0118. HAKU WIÑAY, 261,663,521,</a:t>
                    </a:r>
                  </a:p>
                  <a:p>
                    <a:r>
                      <a:rPr lang="en-US"/>
                      <a:t> 81%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ACD-4E9E-9BAB-0CA7C09107E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9001. Acciones Centrales, 44,192,090, </a:t>
                    </a:r>
                  </a:p>
                  <a:p>
                    <a:r>
                      <a:rPr lang="en-US" sz="8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14%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ACD-4E9E-9BAB-0CA7C09107EB}"/>
                </c:ext>
              </c:extLst>
            </c:dLbl>
            <c:dLbl>
              <c:idx val="2"/>
              <c:layout>
                <c:manualLayout>
                  <c:x val="0.21693614969090802"/>
                  <c:y val="4.69678471626602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9002. APNOP, 17,933,183,</a:t>
                    </a:r>
                  </a:p>
                  <a:p>
                    <a:r>
                      <a:rPr lang="en-US"/>
                      <a:t> 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ACD-4E9E-9BAB-0CA7C09107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s-PE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'Grafico 01'!$H$16:$H$18</c:f>
              <c:strCache>
                <c:ptCount val="3"/>
                <c:pt idx="0">
                  <c:v>0118. HAKU WIÑAY</c:v>
                </c:pt>
                <c:pt idx="1">
                  <c:v>9001. Acciones Centrales</c:v>
                </c:pt>
                <c:pt idx="2">
                  <c:v>9002. APNOP</c:v>
                </c:pt>
              </c:strCache>
            </c:strRef>
          </c:cat>
          <c:val>
            <c:numRef>
              <c:f>'Grafico 01'!$I$16:$I$18</c:f>
              <c:numCache>
                <c:formatCode>#,##0</c:formatCode>
                <c:ptCount val="3"/>
                <c:pt idx="0">
                  <c:v>261663521</c:v>
                </c:pt>
                <c:pt idx="1">
                  <c:v>44192090</c:v>
                </c:pt>
                <c:pt idx="2">
                  <c:v>17933183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ACD-4E9E-9BAB-0CA7C09107EB}"/>
            </c:ext>
          </c:extLst>
        </c:ser>
        <c:ser>
          <c:idx val="1"/>
          <c:order val="1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'Grafico 01'!$H$16:$H$18</c:f>
              <c:strCache>
                <c:ptCount val="3"/>
                <c:pt idx="0">
                  <c:v>0118. HAKU WIÑAY</c:v>
                </c:pt>
                <c:pt idx="1">
                  <c:v>9001. Acciones Centrales</c:v>
                </c:pt>
                <c:pt idx="2">
                  <c:v>9002. APNOP</c:v>
                </c:pt>
              </c:strCache>
            </c:strRef>
          </c:cat>
          <c:val>
            <c:numRef>
              <c:f>'Grafico 01'!$J$16:$J$18</c:f>
              <c:numCache>
                <c:formatCode>0%</c:formatCode>
                <c:ptCount val="3"/>
                <c:pt idx="0">
                  <c:v>0.80813025604585931</c:v>
                </c:pt>
                <c:pt idx="1">
                  <c:v>0.13648430958361085</c:v>
                </c:pt>
                <c:pt idx="2">
                  <c:v>5.5385434370529819E-2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ACD-4E9E-9BAB-0CA7C09107E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PE" sz="900"/>
              <a:t>GRAFICO Nº02</a:t>
            </a:r>
          </a:p>
          <a:p>
            <a:pPr>
              <a:defRPr/>
            </a:pPr>
            <a:r>
              <a:rPr lang="es-PE" sz="900"/>
              <a:t>COMPORTAMIENTO DEL GASTO</a:t>
            </a:r>
          </a:p>
          <a:p>
            <a:pPr>
              <a:defRPr/>
            </a:pPr>
            <a:r>
              <a:rPr lang="es-PE" sz="900"/>
              <a:t>AL 31 DE DICIEMBRE 2021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282189293833825E-2"/>
          <c:y val="0.25229378559922755"/>
          <c:w val="0.90158601236665903"/>
          <c:h val="0.70717647932633609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23"/>
            <c:extLst>
              <c:ext xmlns:c16="http://schemas.microsoft.com/office/drawing/2014/chart" uri="{C3380CC4-5D6E-409C-BE32-E72D297353CC}">
                <c16:uniqueId val="{00000000-F210-430C-A967-7B8D9A93A8EB}"/>
              </c:ext>
            </c:extLst>
          </c:dPt>
          <c:dLbls>
            <c:dLbl>
              <c:idx val="0"/>
              <c:layout>
                <c:manualLayout>
                  <c:x val="8.4695631027905352E-2"/>
                  <c:y val="-0.461056053999207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0118: </a:t>
                    </a:r>
                  </a:p>
                  <a:p>
                    <a:r>
                      <a:rPr lang="en-US"/>
                      <a:t> HAKU WIÑAY, 260,728,830, </a:t>
                    </a:r>
                  </a:p>
                  <a:p>
                    <a:r>
                      <a:rPr lang="en-US"/>
                      <a:t>83%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210-430C-A967-7B8D9A93A8EB}"/>
                </c:ext>
              </c:extLst>
            </c:dLbl>
            <c:dLbl>
              <c:idx val="1"/>
              <c:layout>
                <c:manualLayout>
                  <c:x val="-0.10236497120925495"/>
                  <c:y val="5.92365629330065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9001</a:t>
                    </a:r>
                  </a:p>
                  <a:p>
                    <a:r>
                      <a:rPr lang="en-US"/>
                      <a:t>: ACCIONES CENTRALES, 38,399,732, </a:t>
                    </a:r>
                  </a:p>
                  <a:p>
                    <a:r>
                      <a:rPr lang="en-US"/>
                      <a:t>12%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210-430C-A967-7B8D9A93A8EB}"/>
                </c:ext>
              </c:extLst>
            </c:dLbl>
            <c:dLbl>
              <c:idx val="2"/>
              <c:layout>
                <c:manualLayout>
                  <c:x val="0.23715663013895955"/>
                  <c:y val="6.4077158932127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9002:</a:t>
                    </a:r>
                  </a:p>
                  <a:p>
                    <a:r>
                      <a:rPr lang="en-US"/>
                      <a:t> APNOP, 15,611,767, </a:t>
                    </a:r>
                  </a:p>
                  <a:p>
                    <a:r>
                      <a:rPr lang="en-US"/>
                      <a:t>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210-430C-A967-7B8D9A93A8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Arial Narrow" panose="020B0606020202030204" pitchFamily="34" charset="0"/>
                  </a:defRPr>
                </a:pPr>
                <a:endParaRPr lang="es-PE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'Grafico 02'!$H$49:$H$51</c:f>
              <c:strCache>
                <c:ptCount val="3"/>
                <c:pt idx="0">
                  <c:v>0118:  HAKU WIÑAY</c:v>
                </c:pt>
                <c:pt idx="1">
                  <c:v>9001: ACCIONES CENTRALES</c:v>
                </c:pt>
                <c:pt idx="2">
                  <c:v>9002: APNOP</c:v>
                </c:pt>
              </c:strCache>
            </c:strRef>
          </c:cat>
          <c:val>
            <c:numRef>
              <c:f>'Grafico 02'!$I$49:$I$51</c:f>
              <c:numCache>
                <c:formatCode>#,##0</c:formatCode>
                <c:ptCount val="3"/>
                <c:pt idx="0">
                  <c:v>260728830</c:v>
                </c:pt>
                <c:pt idx="1">
                  <c:v>38399732</c:v>
                </c:pt>
                <c:pt idx="2">
                  <c:v>15611767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10-430C-A967-7B8D9A93A8EB}"/>
            </c:ext>
          </c:extLst>
        </c:ser>
        <c:ser>
          <c:idx val="1"/>
          <c:order val="1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'Grafico 02'!$H$49:$H$51</c:f>
              <c:strCache>
                <c:ptCount val="3"/>
                <c:pt idx="0">
                  <c:v>0118:  HAKU WIÑAY</c:v>
                </c:pt>
                <c:pt idx="1">
                  <c:v>9001: ACCIONES CENTRALES</c:v>
                </c:pt>
                <c:pt idx="2">
                  <c:v>9002: APNOP</c:v>
                </c:pt>
              </c:strCache>
            </c:strRef>
          </c:cat>
          <c:val>
            <c:numRef>
              <c:f>'Grafico 02'!$J$49:$J$51</c:f>
              <c:numCache>
                <c:formatCode>0%</c:formatCode>
                <c:ptCount val="3"/>
                <c:pt idx="0">
                  <c:v>0.82839345954931631</c:v>
                </c:pt>
                <c:pt idx="1">
                  <c:v>0.12200448579946677</c:v>
                </c:pt>
                <c:pt idx="2">
                  <c:v>4.9602054651216941E-2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10-430C-A967-7B8D9A93A8E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B97EC-3658-463B-805D-868F9C6A1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1593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FONCODES - MIMDES</Company>
  <LinksUpToDate>false</LinksUpToDate>
  <CharactersWithSpaces>10337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Chimpen Balarezo</dc:creator>
  <cp:lastModifiedBy>Marisol Rengifo Nakama</cp:lastModifiedBy>
  <cp:revision>2</cp:revision>
  <cp:lastPrinted>2020-01-14T17:19:00Z</cp:lastPrinted>
  <dcterms:created xsi:type="dcterms:W3CDTF">2022-01-10T13:31:00Z</dcterms:created>
  <dcterms:modified xsi:type="dcterms:W3CDTF">2022-01-10T13:31:00Z</dcterms:modified>
</cp:coreProperties>
</file>