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EB6" w:rsidRPr="00E71197" w:rsidRDefault="00C72EB6" w:rsidP="00C25E25">
      <w:pPr>
        <w:pStyle w:val="Sinespaciado"/>
        <w:jc w:val="center"/>
        <w:rPr>
          <w:rFonts w:cstheme="minorHAnsi"/>
          <w:b/>
        </w:rPr>
      </w:pPr>
    </w:p>
    <w:p w:rsidR="00D93AC6" w:rsidRDefault="00975948" w:rsidP="00E57FB7">
      <w:pPr>
        <w:pStyle w:val="Sinespaciad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</w:p>
    <w:p w:rsidR="00E57FB7" w:rsidRPr="00FA222B" w:rsidRDefault="00A77D6E" w:rsidP="00E57FB7">
      <w:pPr>
        <w:pStyle w:val="Sinespaciad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PRESUPUESTO INSTITUCIONAL </w:t>
      </w:r>
    </w:p>
    <w:p w:rsidR="00E57FB7" w:rsidRDefault="00306CC1" w:rsidP="00E57FB7">
      <w:pPr>
        <w:pStyle w:val="Sinespaciad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POR TODA </w:t>
      </w:r>
      <w:r w:rsidR="00E57FB7" w:rsidRPr="00FA222B">
        <w:rPr>
          <w:rFonts w:cstheme="minorHAnsi"/>
          <w:b/>
          <w:sz w:val="24"/>
          <w:szCs w:val="24"/>
        </w:rPr>
        <w:t>FUENTE DE FINANCIAMIENTO</w:t>
      </w:r>
      <w:r>
        <w:rPr>
          <w:rFonts w:cstheme="minorHAnsi"/>
          <w:b/>
          <w:sz w:val="24"/>
          <w:szCs w:val="24"/>
        </w:rPr>
        <w:t xml:space="preserve"> – </w:t>
      </w:r>
      <w:r w:rsidR="007A0A05">
        <w:rPr>
          <w:rFonts w:cstheme="minorHAnsi"/>
          <w:b/>
          <w:sz w:val="24"/>
          <w:szCs w:val="24"/>
        </w:rPr>
        <w:t xml:space="preserve"> </w:t>
      </w:r>
      <w:r w:rsidR="009F5280">
        <w:rPr>
          <w:rFonts w:cstheme="minorHAnsi"/>
          <w:b/>
          <w:sz w:val="24"/>
          <w:szCs w:val="24"/>
        </w:rPr>
        <w:t xml:space="preserve">AL </w:t>
      </w:r>
      <w:r w:rsidR="005511F2">
        <w:rPr>
          <w:rFonts w:cstheme="minorHAnsi"/>
          <w:b/>
          <w:sz w:val="24"/>
          <w:szCs w:val="24"/>
        </w:rPr>
        <w:t>I</w:t>
      </w:r>
      <w:r w:rsidR="007437C1">
        <w:rPr>
          <w:rFonts w:cstheme="minorHAnsi"/>
          <w:b/>
          <w:sz w:val="24"/>
          <w:szCs w:val="24"/>
        </w:rPr>
        <w:t>V</w:t>
      </w:r>
      <w:r w:rsidR="009F5280">
        <w:rPr>
          <w:rFonts w:cstheme="minorHAnsi"/>
          <w:b/>
          <w:sz w:val="24"/>
          <w:szCs w:val="24"/>
        </w:rPr>
        <w:t xml:space="preserve"> TRIMESTRE 2</w:t>
      </w:r>
      <w:r w:rsidR="00E57FB7" w:rsidRPr="00FA222B">
        <w:rPr>
          <w:rFonts w:cstheme="minorHAnsi"/>
          <w:b/>
          <w:sz w:val="24"/>
          <w:szCs w:val="24"/>
        </w:rPr>
        <w:t>0</w:t>
      </w:r>
      <w:r w:rsidR="00914CB9">
        <w:rPr>
          <w:rFonts w:cstheme="minorHAnsi"/>
          <w:b/>
          <w:sz w:val="24"/>
          <w:szCs w:val="24"/>
        </w:rPr>
        <w:t>20</w:t>
      </w:r>
    </w:p>
    <w:p w:rsidR="00D93AC6" w:rsidRDefault="00D93AC6" w:rsidP="00E57FB7">
      <w:pPr>
        <w:pStyle w:val="Sinespaciado"/>
        <w:jc w:val="center"/>
        <w:rPr>
          <w:rFonts w:cstheme="minorHAnsi"/>
          <w:b/>
          <w:sz w:val="24"/>
          <w:szCs w:val="24"/>
        </w:rPr>
      </w:pPr>
    </w:p>
    <w:p w:rsidR="00C03C36" w:rsidRDefault="00C03C36" w:rsidP="00E57FB7">
      <w:pPr>
        <w:pStyle w:val="Sinespaciado"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10561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9"/>
        <w:gridCol w:w="7632"/>
      </w:tblGrid>
      <w:tr w:rsidR="008C483B" w:rsidTr="00DA544E">
        <w:trPr>
          <w:trHeight w:val="4807"/>
        </w:trPr>
        <w:tc>
          <w:tcPr>
            <w:tcW w:w="2929" w:type="dxa"/>
          </w:tcPr>
          <w:p w:rsidR="004F5C9C" w:rsidRDefault="004F5C9C" w:rsidP="00C72EB6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91881" w:rsidRPr="00F353D3" w:rsidRDefault="000D0F48" w:rsidP="00C72EB6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53D3">
              <w:rPr>
                <w:rFonts w:ascii="Arial" w:hAnsi="Arial" w:cs="Arial"/>
                <w:sz w:val="20"/>
                <w:szCs w:val="20"/>
              </w:rPr>
              <w:t>Me</w:t>
            </w:r>
            <w:r w:rsidR="00791881" w:rsidRPr="00F353D3">
              <w:rPr>
                <w:rFonts w:ascii="Arial" w:hAnsi="Arial" w:cs="Arial"/>
                <w:sz w:val="20"/>
                <w:szCs w:val="20"/>
              </w:rPr>
              <w:t>diante Ley No. 29792 se crea el Ministerio de Desarrollo e Inclusión Social –</w:t>
            </w:r>
            <w:r w:rsidRPr="00F353D3">
              <w:rPr>
                <w:rFonts w:ascii="Arial" w:hAnsi="Arial" w:cs="Arial"/>
                <w:sz w:val="20"/>
                <w:szCs w:val="20"/>
              </w:rPr>
              <w:t xml:space="preserve"> MIDIS, que tiene personería jurídica de derecho público y </w:t>
            </w:r>
            <w:r w:rsidR="001041B7" w:rsidRPr="00F353D3">
              <w:rPr>
                <w:rFonts w:ascii="Arial" w:hAnsi="Arial" w:cs="Arial"/>
                <w:sz w:val="20"/>
                <w:szCs w:val="20"/>
              </w:rPr>
              <w:t xml:space="preserve">se </w:t>
            </w:r>
            <w:r w:rsidRPr="00F353D3">
              <w:rPr>
                <w:rFonts w:ascii="Arial" w:hAnsi="Arial" w:cs="Arial"/>
                <w:sz w:val="20"/>
                <w:szCs w:val="20"/>
              </w:rPr>
              <w:t xml:space="preserve">constituye </w:t>
            </w:r>
            <w:r w:rsidR="001041B7" w:rsidRPr="00F353D3">
              <w:rPr>
                <w:rFonts w:ascii="Arial" w:hAnsi="Arial" w:cs="Arial"/>
                <w:sz w:val="20"/>
                <w:szCs w:val="20"/>
              </w:rPr>
              <w:t xml:space="preserve">como </w:t>
            </w:r>
            <w:r w:rsidRPr="00F353D3">
              <w:rPr>
                <w:rFonts w:ascii="Arial" w:hAnsi="Arial" w:cs="Arial"/>
                <w:sz w:val="20"/>
                <w:szCs w:val="20"/>
              </w:rPr>
              <w:t>pliego</w:t>
            </w:r>
            <w:r w:rsidR="004E7B42" w:rsidRPr="00F353D3">
              <w:rPr>
                <w:rFonts w:ascii="Arial" w:hAnsi="Arial" w:cs="Arial"/>
                <w:sz w:val="20"/>
                <w:szCs w:val="20"/>
              </w:rPr>
              <w:t xml:space="preserve"> presupuestal.</w:t>
            </w:r>
            <w:r w:rsidRPr="00F353D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91881" w:rsidRDefault="00791881" w:rsidP="00C72EB6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356DF" w:rsidRPr="00F353D3" w:rsidRDefault="001356DF" w:rsidP="001356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53D3">
              <w:rPr>
                <w:rFonts w:ascii="Arial" w:hAnsi="Arial" w:cs="Arial"/>
                <w:sz w:val="20"/>
                <w:szCs w:val="20"/>
              </w:rPr>
              <w:t>Mediante Decreto de Urgencia N° 014-2019, de fecha 19 de noviembre de 2019, se aprueba el Presupuesto Institucional de Apertura (PIA) para el año Fiscal 2020 a favor del Pliego 040: Ministerio de Desarrollo e Inclusión Social - MIDIS, el mismo que asigna recursos a favor de la Unidad Ejecutora 004: FONCODES, la suma de S/ 292’765,845, en la fuente de financiamiento Recursos Ordinarios</w:t>
            </w:r>
            <w:r w:rsidR="00E9617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C756E7">
              <w:rPr>
                <w:rFonts w:ascii="Arial" w:hAnsi="Arial" w:cs="Arial"/>
                <w:sz w:val="20"/>
                <w:szCs w:val="20"/>
              </w:rPr>
              <w:t xml:space="preserve">mediante </w:t>
            </w:r>
            <w:r w:rsidR="00E96178">
              <w:rPr>
                <w:rFonts w:ascii="Arial" w:hAnsi="Arial" w:cs="Arial"/>
                <w:sz w:val="20"/>
                <w:szCs w:val="20"/>
              </w:rPr>
              <w:t>R.M. Nº</w:t>
            </w:r>
            <w:r w:rsidR="00D1391F">
              <w:rPr>
                <w:rFonts w:ascii="Arial" w:hAnsi="Arial" w:cs="Arial"/>
                <w:sz w:val="20"/>
                <w:szCs w:val="20"/>
              </w:rPr>
              <w:t xml:space="preserve"> 285-219 </w:t>
            </w:r>
            <w:r w:rsidR="005F4987">
              <w:rPr>
                <w:rFonts w:ascii="Arial" w:hAnsi="Arial" w:cs="Arial"/>
                <w:sz w:val="20"/>
                <w:szCs w:val="20"/>
              </w:rPr>
              <w:t>MIDIS.</w:t>
            </w:r>
          </w:p>
          <w:p w:rsidR="001356DF" w:rsidRPr="00F353D3" w:rsidRDefault="001356DF" w:rsidP="001356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43A41" w:rsidRPr="00F14D58" w:rsidRDefault="00B43A41" w:rsidP="00F11543">
            <w:pPr>
              <w:pStyle w:val="Sinespaciado"/>
              <w:jc w:val="both"/>
              <w:rPr>
                <w:rFonts w:ascii="Calibri" w:hAnsi="Calibri" w:cs="Calibri"/>
              </w:rPr>
            </w:pPr>
          </w:p>
        </w:tc>
        <w:tc>
          <w:tcPr>
            <w:tcW w:w="7632" w:type="dxa"/>
          </w:tcPr>
          <w:p w:rsidR="00C72EB6" w:rsidRDefault="00C03C36" w:rsidP="00E57FB7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  <w:lang w:eastAsia="es-PE"/>
              </w:rPr>
              <w:drawing>
                <wp:inline distT="0" distB="0" distL="0" distR="0" wp14:anchorId="289514CD" wp14:editId="7A4BC107">
                  <wp:extent cx="4057650" cy="3139566"/>
                  <wp:effectExtent l="0" t="0" r="0" b="381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3136" cy="31438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2EB6" w:rsidTr="00DA544E">
        <w:tblPrEx>
          <w:tblCellMar>
            <w:left w:w="108" w:type="dxa"/>
            <w:right w:w="108" w:type="dxa"/>
          </w:tblCellMar>
        </w:tblPrEx>
        <w:trPr>
          <w:trHeight w:val="1141"/>
        </w:trPr>
        <w:tc>
          <w:tcPr>
            <w:tcW w:w="10561" w:type="dxa"/>
            <w:gridSpan w:val="2"/>
          </w:tcPr>
          <w:p w:rsidR="007D5CBE" w:rsidRDefault="007D5CBE" w:rsidP="00A115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71D40" w:rsidRDefault="00E145A0" w:rsidP="00A115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53D3">
              <w:rPr>
                <w:rFonts w:ascii="Arial" w:hAnsi="Arial" w:cs="Arial"/>
                <w:sz w:val="20"/>
                <w:szCs w:val="20"/>
              </w:rPr>
              <w:t xml:space="preserve">Al </w:t>
            </w:r>
            <w:r w:rsidR="00C03C36">
              <w:rPr>
                <w:rFonts w:ascii="Arial" w:hAnsi="Arial" w:cs="Arial"/>
                <w:sz w:val="20"/>
                <w:szCs w:val="20"/>
              </w:rPr>
              <w:t>IV</w:t>
            </w:r>
            <w:r w:rsidRPr="00F353D3">
              <w:rPr>
                <w:rFonts w:ascii="Arial" w:hAnsi="Arial" w:cs="Arial"/>
                <w:sz w:val="20"/>
                <w:szCs w:val="20"/>
              </w:rPr>
              <w:t xml:space="preserve"> Trimestre 2020 el Presupuesto Institucional Modificado </w:t>
            </w:r>
            <w:r w:rsidR="00A71D40">
              <w:rPr>
                <w:rFonts w:ascii="Arial" w:hAnsi="Arial" w:cs="Arial"/>
                <w:sz w:val="20"/>
                <w:szCs w:val="20"/>
              </w:rPr>
              <w:t xml:space="preserve">– PIM, </w:t>
            </w:r>
            <w:r w:rsidRPr="00F353D3">
              <w:rPr>
                <w:rFonts w:ascii="Arial" w:hAnsi="Arial" w:cs="Arial"/>
                <w:sz w:val="20"/>
                <w:szCs w:val="20"/>
              </w:rPr>
              <w:t xml:space="preserve">asciende a S/  </w:t>
            </w:r>
            <w:r w:rsidR="00C03C36">
              <w:rPr>
                <w:rFonts w:ascii="Arial" w:hAnsi="Arial" w:cs="Arial"/>
                <w:sz w:val="20"/>
                <w:szCs w:val="20"/>
              </w:rPr>
              <w:t>1,048,086,237</w:t>
            </w:r>
            <w:r w:rsidRPr="00F353D3">
              <w:rPr>
                <w:rFonts w:ascii="Arial" w:hAnsi="Arial" w:cs="Arial"/>
                <w:sz w:val="20"/>
                <w:szCs w:val="20"/>
              </w:rPr>
              <w:t>.00, habiendo sido modificado</w:t>
            </w:r>
            <w:r w:rsidR="00A71D40">
              <w:rPr>
                <w:rFonts w:ascii="Arial" w:hAnsi="Arial" w:cs="Arial"/>
                <w:sz w:val="20"/>
                <w:szCs w:val="20"/>
              </w:rPr>
              <w:t xml:space="preserve"> según los siguientes dispositivos:</w:t>
            </w:r>
          </w:p>
          <w:p w:rsidR="00A71D40" w:rsidRDefault="00A71D40" w:rsidP="00A115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71D40" w:rsidRPr="00A71D40" w:rsidRDefault="00A71D40" w:rsidP="00A71D40">
            <w:pPr>
              <w:pStyle w:val="Prrafodelista"/>
              <w:numPr>
                <w:ilvl w:val="0"/>
                <w:numId w:val="3"/>
              </w:numPr>
              <w:ind w:left="24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1D40">
              <w:rPr>
                <w:rFonts w:ascii="Arial" w:hAnsi="Arial" w:cs="Arial"/>
                <w:bCs/>
                <w:sz w:val="20"/>
              </w:rPr>
              <w:t>Resolución Ministerial Nº 074-2020-MIDIS del 23/04/2020, autoriza l</w:t>
            </w:r>
            <w:r w:rsidRPr="00A71D40">
              <w:rPr>
                <w:rFonts w:ascii="Arial" w:hAnsi="Arial" w:cs="Arial"/>
                <w:sz w:val="20"/>
              </w:rPr>
              <w:t>a desagregación de los recursos aprobados mediante el Decreto Supremo N° 083-2020-EF destinados a la Reserva de Contingencia, a fin de mitigar los efectos de la Emergencia Sanitaria declarada debido a la existencia del COVID 19, transfiriendo FONCODES el monto de S/ 3`000,000.00</w:t>
            </w:r>
            <w:r>
              <w:rPr>
                <w:rFonts w:ascii="Arial" w:hAnsi="Arial" w:cs="Arial"/>
                <w:sz w:val="20"/>
              </w:rPr>
              <w:t>.</w:t>
            </w:r>
          </w:p>
          <w:p w:rsidR="004F5C9C" w:rsidRPr="00A71D40" w:rsidRDefault="004F5C9C" w:rsidP="00A71D40">
            <w:pPr>
              <w:pStyle w:val="Prrafodelista"/>
              <w:ind w:left="24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71D40" w:rsidRDefault="00176C4F" w:rsidP="00A71D40">
            <w:pPr>
              <w:pStyle w:val="Prrafodelista"/>
              <w:numPr>
                <w:ilvl w:val="0"/>
                <w:numId w:val="3"/>
              </w:numPr>
              <w:ind w:left="24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6C4F">
              <w:rPr>
                <w:rFonts w:ascii="Arial" w:hAnsi="Arial" w:cs="Arial"/>
                <w:sz w:val="20"/>
                <w:szCs w:val="20"/>
              </w:rPr>
              <w:t>Resolución Ministerial Nº 095-2020-MIDIS de fecha 01/07/2020, autoriza la desagregación de los recursos aprobados mediante el numeral 3.1 del artículo 3 del Decreto de Urgencia N° 075-2020, hasta por la suma de S/.58'917,473.00, con cargo a la reserva de contingencia del Ministerio de Economía y Finanzas, a favor del Pliego 040: Ministerio de Desarrollo e Inclusión Social para la Unidad Ejecutora 004 FONCODES, para financiar los gastos operativos para la conformación e implementación de los núcleos ejecutores de compras, para la adquisición de bienes manufacturados por las micros y pequeñas empresas (MYPES),</w:t>
            </w:r>
          </w:p>
          <w:p w:rsidR="00176C4F" w:rsidRDefault="00176C4F" w:rsidP="00176C4F">
            <w:pPr>
              <w:pStyle w:val="Prrafodelista"/>
              <w:ind w:left="24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76C4F" w:rsidRPr="008E79CD" w:rsidRDefault="007D5CBE" w:rsidP="00A71D40">
            <w:pPr>
              <w:pStyle w:val="Prrafodelista"/>
              <w:numPr>
                <w:ilvl w:val="0"/>
                <w:numId w:val="3"/>
              </w:numPr>
              <w:ind w:left="24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Con </w:t>
            </w:r>
            <w:r w:rsidR="008E79CD" w:rsidRPr="008E79CD">
              <w:rPr>
                <w:rFonts w:ascii="Arial" w:hAnsi="Arial" w:cs="Arial"/>
                <w:sz w:val="20"/>
              </w:rPr>
              <w:t xml:space="preserve">Resolución Ministerial Nº 0119-2020-MIDIS del 14/082020  y en atención al D.U 095-2020, se autoriza la incorporación de S/ 80´000,000, por la </w:t>
            </w:r>
            <w:proofErr w:type="spellStart"/>
            <w:r w:rsidR="008E79CD" w:rsidRPr="008E79CD">
              <w:rPr>
                <w:rFonts w:ascii="Arial" w:hAnsi="Arial" w:cs="Arial"/>
                <w:sz w:val="20"/>
              </w:rPr>
              <w:t>fte.de</w:t>
            </w:r>
            <w:proofErr w:type="spellEnd"/>
            <w:r w:rsidR="008E79CD" w:rsidRPr="008E79C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8E79CD" w:rsidRPr="008E79CD">
              <w:rPr>
                <w:rFonts w:ascii="Arial" w:hAnsi="Arial" w:cs="Arial"/>
                <w:sz w:val="20"/>
              </w:rPr>
              <w:t>fto</w:t>
            </w:r>
            <w:proofErr w:type="spellEnd"/>
            <w:r w:rsidR="008E79CD" w:rsidRPr="008E79CD">
              <w:rPr>
                <w:rFonts w:ascii="Arial" w:hAnsi="Arial" w:cs="Arial"/>
                <w:sz w:val="20"/>
              </w:rPr>
              <w:t>. ROOC, destinado a intervenciones temporales del MIDIS frente a la pandemia del COVID 19</w:t>
            </w:r>
            <w:r w:rsidR="008E79CD">
              <w:rPr>
                <w:rFonts w:ascii="Arial" w:hAnsi="Arial" w:cs="Arial"/>
                <w:sz w:val="20"/>
              </w:rPr>
              <w:t>.</w:t>
            </w:r>
          </w:p>
          <w:p w:rsidR="004F5C9C" w:rsidRPr="008E79CD" w:rsidRDefault="004F5C9C" w:rsidP="008E79CD">
            <w:pPr>
              <w:pStyle w:val="Prrafodelista"/>
              <w:ind w:left="24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E79CD" w:rsidRPr="005C5FA2" w:rsidRDefault="006D2F06" w:rsidP="00A71D40">
            <w:pPr>
              <w:pStyle w:val="Prrafodelista"/>
              <w:numPr>
                <w:ilvl w:val="0"/>
                <w:numId w:val="3"/>
              </w:numPr>
              <w:ind w:left="24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2F06">
              <w:rPr>
                <w:rFonts w:ascii="Arial" w:hAnsi="Arial" w:cs="Arial"/>
                <w:sz w:val="20"/>
              </w:rPr>
              <w:t>En atención al D.S.</w:t>
            </w:r>
            <w:r w:rsidR="00B35E1C">
              <w:rPr>
                <w:rFonts w:ascii="Arial" w:hAnsi="Arial" w:cs="Arial"/>
                <w:sz w:val="20"/>
              </w:rPr>
              <w:t xml:space="preserve"> </w:t>
            </w:r>
            <w:r w:rsidRPr="006D2F06">
              <w:rPr>
                <w:rFonts w:ascii="Arial" w:hAnsi="Arial" w:cs="Arial"/>
                <w:sz w:val="20"/>
              </w:rPr>
              <w:t>Nº 279-2020-EF se incorpora mediante R.M. Nº 159-2020-MIDIS, el monto de S/ 284,389 destinados al pago de sentencias judiciales en calidad de cosa juzgada</w:t>
            </w:r>
            <w:r>
              <w:rPr>
                <w:rFonts w:ascii="Arial" w:hAnsi="Arial" w:cs="Arial"/>
                <w:sz w:val="20"/>
              </w:rPr>
              <w:t>.</w:t>
            </w:r>
          </w:p>
          <w:p w:rsidR="005C5FA2" w:rsidRDefault="005C5FA2" w:rsidP="005C5F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95DB5" w:rsidRDefault="007D5CBE" w:rsidP="005C5FA2">
            <w:pPr>
              <w:pStyle w:val="Prrafodelista"/>
              <w:numPr>
                <w:ilvl w:val="0"/>
                <w:numId w:val="3"/>
              </w:numPr>
              <w:ind w:left="246" w:hanging="24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Mediante la </w:t>
            </w:r>
            <w:r w:rsidR="005C5FA2" w:rsidRPr="005C5FA2">
              <w:rPr>
                <w:rFonts w:ascii="Arial" w:hAnsi="Arial" w:cs="Arial"/>
                <w:sz w:val="20"/>
                <w:szCs w:val="20"/>
              </w:rPr>
              <w:t>R.M. Nº 032-2020-MIDIS/SG0</w:t>
            </w:r>
            <w:r w:rsidR="005C5FA2">
              <w:rPr>
                <w:rFonts w:ascii="Arial" w:hAnsi="Arial" w:cs="Arial"/>
                <w:sz w:val="20"/>
                <w:szCs w:val="20"/>
              </w:rPr>
              <w:t xml:space="preserve"> de fecha </w:t>
            </w:r>
            <w:r w:rsidR="005C5FA2" w:rsidRPr="005C5FA2">
              <w:rPr>
                <w:rFonts w:ascii="Arial" w:hAnsi="Arial" w:cs="Arial"/>
                <w:sz w:val="20"/>
                <w:szCs w:val="20"/>
              </w:rPr>
              <w:t>5/10/2020</w:t>
            </w:r>
            <w:r w:rsidR="005C5FA2">
              <w:rPr>
                <w:rFonts w:ascii="Arial" w:hAnsi="Arial" w:cs="Arial"/>
                <w:sz w:val="20"/>
                <w:szCs w:val="20"/>
              </w:rPr>
              <w:t xml:space="preserve"> se realizó una t</w:t>
            </w:r>
            <w:r w:rsidR="005C5FA2" w:rsidRPr="005C5FA2">
              <w:rPr>
                <w:rFonts w:ascii="Arial" w:hAnsi="Arial" w:cs="Arial"/>
                <w:sz w:val="20"/>
                <w:szCs w:val="20"/>
              </w:rPr>
              <w:t>ransferencia a la Contraloría General de la República para financiar los gastos por auditoría a los estados financieros del periodo 2020 del Pliego</w:t>
            </w:r>
            <w:r w:rsidR="00395DB5">
              <w:rPr>
                <w:rFonts w:ascii="Arial" w:hAnsi="Arial" w:cs="Arial"/>
                <w:sz w:val="20"/>
                <w:szCs w:val="20"/>
              </w:rPr>
              <w:t xml:space="preserve"> por S/ 42,912.00.</w:t>
            </w:r>
          </w:p>
          <w:p w:rsidR="00395DB5" w:rsidRDefault="00395DB5" w:rsidP="00395DB5">
            <w:pPr>
              <w:pStyle w:val="Prrafodelista"/>
              <w:ind w:left="24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A54E3" w:rsidRDefault="006B61EC" w:rsidP="00176C4F">
            <w:pPr>
              <w:pStyle w:val="Prrafodelista"/>
              <w:numPr>
                <w:ilvl w:val="0"/>
                <w:numId w:val="3"/>
              </w:numPr>
              <w:ind w:left="246" w:hanging="24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61EC">
              <w:rPr>
                <w:rFonts w:ascii="Arial" w:hAnsi="Arial" w:cs="Arial"/>
                <w:sz w:val="20"/>
                <w:szCs w:val="20"/>
              </w:rPr>
              <w:t>En atención al DU 126-2020 se autoriza una transferencia por el monto de S/ 9</w:t>
            </w:r>
            <w:r w:rsidR="003F464B" w:rsidRPr="006B61EC">
              <w:rPr>
                <w:rFonts w:ascii="Arial" w:hAnsi="Arial" w:cs="Arial"/>
                <w:sz w:val="20"/>
                <w:szCs w:val="20"/>
              </w:rPr>
              <w:t>, 977,175.00</w:t>
            </w:r>
            <w:r w:rsidRPr="006B61EC">
              <w:rPr>
                <w:rFonts w:ascii="Arial" w:hAnsi="Arial" w:cs="Arial"/>
                <w:sz w:val="20"/>
                <w:szCs w:val="20"/>
              </w:rPr>
              <w:t>, a fin de iniciar la implementación de las intervenciones del Plan de cierre de brechas, así como para formulación de fichas técnicas y/o formatos de inversiones - IOARRS, elaboración de expedientes técnicos de inversión en materia de veredas y embarcaderos locales, monto que se incorporó mediante R.M. Nº 042-2020-MIDIS/SG de fecha 06/11/2020</w:t>
            </w:r>
            <w:r w:rsidR="00E73CB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57AF3" w:rsidRDefault="00557AF3" w:rsidP="00557A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7AF3" w:rsidRDefault="00557AF3" w:rsidP="00557A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7AF3" w:rsidRPr="00557AF3" w:rsidRDefault="00557AF3" w:rsidP="00557A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A54E3" w:rsidRDefault="00FA54E3" w:rsidP="00FA54E3">
            <w:pPr>
              <w:pStyle w:val="Prrafodelista"/>
              <w:ind w:left="24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A54E3" w:rsidRDefault="00FA54E3" w:rsidP="003F464B">
            <w:pPr>
              <w:pStyle w:val="Prrafodelista"/>
              <w:numPr>
                <w:ilvl w:val="0"/>
                <w:numId w:val="3"/>
              </w:numPr>
              <w:ind w:left="246" w:hanging="24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 </w:t>
            </w:r>
            <w:r w:rsidRPr="00FA54E3">
              <w:rPr>
                <w:rFonts w:ascii="Arial" w:hAnsi="Arial" w:cs="Arial"/>
                <w:sz w:val="20"/>
                <w:szCs w:val="20"/>
              </w:rPr>
              <w:t>R.M. Nº 054-2020-MIDIS/SG</w:t>
            </w:r>
            <w:r>
              <w:rPr>
                <w:rFonts w:ascii="Arial" w:hAnsi="Arial" w:cs="Arial"/>
                <w:sz w:val="20"/>
                <w:szCs w:val="20"/>
              </w:rPr>
              <w:t xml:space="preserve"> de fecha 22/12/2020, se transfiere el monto de S/ 196,933.00 y se incorpora el monto de S/ 154,797.00 para el pago de vacaciones truncas y pago derivado de procesos judiciales.</w:t>
            </w:r>
          </w:p>
          <w:p w:rsidR="007D5CBE" w:rsidRDefault="007D5CBE" w:rsidP="003F464B">
            <w:pPr>
              <w:pStyle w:val="Prrafodelista"/>
              <w:ind w:left="24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A54E3" w:rsidRPr="003F464B" w:rsidRDefault="00FA54E3" w:rsidP="003F464B">
            <w:pPr>
              <w:pStyle w:val="Prrafodelista"/>
              <w:numPr>
                <w:ilvl w:val="0"/>
                <w:numId w:val="3"/>
              </w:numPr>
              <w:ind w:left="246" w:hanging="24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464B">
              <w:rPr>
                <w:rFonts w:ascii="Arial" w:hAnsi="Arial" w:cs="Arial"/>
                <w:sz w:val="20"/>
                <w:szCs w:val="20"/>
              </w:rPr>
              <w:t xml:space="preserve">Mediante R.M. Nº 216-2020-MIDIS del 17/12/2020 </w:t>
            </w:r>
            <w:r w:rsidR="003F464B" w:rsidRPr="003F464B">
              <w:rPr>
                <w:rFonts w:ascii="Arial" w:hAnsi="Arial" w:cs="Arial"/>
                <w:sz w:val="20"/>
                <w:szCs w:val="20"/>
              </w:rPr>
              <w:t>y e</w:t>
            </w:r>
            <w:r w:rsidRPr="003F464B">
              <w:rPr>
                <w:rFonts w:ascii="Arial" w:hAnsi="Arial" w:cs="Arial"/>
                <w:sz w:val="20"/>
                <w:szCs w:val="20"/>
              </w:rPr>
              <w:t>n atención al DS Nº</w:t>
            </w:r>
            <w:r w:rsidR="003F464B" w:rsidRPr="003F46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64B">
              <w:rPr>
                <w:rFonts w:ascii="Arial" w:hAnsi="Arial" w:cs="Arial"/>
                <w:sz w:val="20"/>
                <w:szCs w:val="20"/>
              </w:rPr>
              <w:t xml:space="preserve">393-2020-EF </w:t>
            </w:r>
            <w:r w:rsidR="003F464B" w:rsidRPr="003F464B">
              <w:rPr>
                <w:rFonts w:ascii="Arial" w:hAnsi="Arial" w:cs="Arial"/>
                <w:sz w:val="20"/>
                <w:szCs w:val="20"/>
              </w:rPr>
              <w:t xml:space="preserve">se </w:t>
            </w:r>
            <w:r w:rsidRPr="003F464B">
              <w:rPr>
                <w:rFonts w:ascii="Arial" w:hAnsi="Arial" w:cs="Arial"/>
                <w:sz w:val="20"/>
                <w:szCs w:val="20"/>
              </w:rPr>
              <w:t xml:space="preserve">autoriza </w:t>
            </w:r>
            <w:r w:rsidR="003F464B" w:rsidRPr="003F464B">
              <w:rPr>
                <w:rFonts w:ascii="Arial" w:hAnsi="Arial" w:cs="Arial"/>
                <w:sz w:val="20"/>
                <w:szCs w:val="20"/>
              </w:rPr>
              <w:t xml:space="preserve">una </w:t>
            </w:r>
            <w:r w:rsidRPr="003F464B">
              <w:rPr>
                <w:rFonts w:ascii="Arial" w:hAnsi="Arial" w:cs="Arial"/>
                <w:sz w:val="20"/>
                <w:szCs w:val="20"/>
              </w:rPr>
              <w:t xml:space="preserve">transferencia </w:t>
            </w:r>
            <w:r w:rsidR="003F464B" w:rsidRPr="003F464B">
              <w:rPr>
                <w:rFonts w:ascii="Arial" w:hAnsi="Arial" w:cs="Arial"/>
                <w:sz w:val="20"/>
                <w:szCs w:val="20"/>
              </w:rPr>
              <w:t xml:space="preserve">de recursos ascendente a </w:t>
            </w:r>
            <w:r w:rsidR="003F464B">
              <w:rPr>
                <w:rFonts w:ascii="Arial" w:hAnsi="Arial" w:cs="Arial"/>
                <w:sz w:val="20"/>
                <w:szCs w:val="20"/>
              </w:rPr>
              <w:t>S</w:t>
            </w:r>
            <w:r w:rsidR="003F464B" w:rsidRPr="003F464B">
              <w:rPr>
                <w:rFonts w:ascii="Arial" w:hAnsi="Arial" w:cs="Arial"/>
                <w:sz w:val="20"/>
                <w:szCs w:val="20"/>
              </w:rPr>
              <w:t>/ 156,699,955</w:t>
            </w:r>
            <w:r w:rsidR="003F464B">
              <w:rPr>
                <w:rFonts w:ascii="Arial" w:hAnsi="Arial" w:cs="Arial"/>
                <w:sz w:val="20"/>
                <w:szCs w:val="20"/>
              </w:rPr>
              <w:t xml:space="preserve">.00, </w:t>
            </w:r>
            <w:r w:rsidRPr="003F464B">
              <w:rPr>
                <w:rFonts w:ascii="Arial" w:hAnsi="Arial" w:cs="Arial"/>
                <w:sz w:val="20"/>
                <w:szCs w:val="20"/>
              </w:rPr>
              <w:t>para financiar la adquisición de bienes solicitados por el Ministerio de Educación, Ministerio de Salud y el Ministerio de Defensa, en el marco del DU Nº 075-2020</w:t>
            </w:r>
            <w:r w:rsidR="003F464B">
              <w:rPr>
                <w:rFonts w:ascii="Arial" w:hAnsi="Arial" w:cs="Arial"/>
                <w:sz w:val="20"/>
                <w:szCs w:val="20"/>
              </w:rPr>
              <w:t>.</w:t>
            </w:r>
            <w:r w:rsidRPr="003F464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A54E3" w:rsidRDefault="00FA54E3" w:rsidP="003F464B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A54E3" w:rsidRDefault="003F464B" w:rsidP="003F464B">
            <w:pPr>
              <w:pStyle w:val="Prrafodelista"/>
              <w:numPr>
                <w:ilvl w:val="0"/>
                <w:numId w:val="3"/>
              </w:numPr>
              <w:ind w:left="246" w:hanging="24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 </w:t>
            </w:r>
            <w:r w:rsidR="00FA54E3" w:rsidRPr="00FA54E3">
              <w:rPr>
                <w:rFonts w:ascii="Arial" w:hAnsi="Arial" w:cs="Arial"/>
                <w:sz w:val="20"/>
                <w:szCs w:val="20"/>
              </w:rPr>
              <w:t>R.M. Nº 230-2020-MIDIS</w:t>
            </w:r>
            <w:r w:rsidR="00FA54E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de fecha </w:t>
            </w:r>
            <w:r w:rsidR="00FA54E3" w:rsidRPr="00FA54E3">
              <w:rPr>
                <w:rFonts w:ascii="Arial" w:hAnsi="Arial" w:cs="Arial"/>
                <w:sz w:val="20"/>
                <w:szCs w:val="20"/>
              </w:rPr>
              <w:t>30/12/2020</w:t>
            </w:r>
            <w:r w:rsidR="00FA54E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FA54E3" w:rsidRPr="00FA54E3">
              <w:rPr>
                <w:rFonts w:ascii="Arial" w:hAnsi="Arial" w:cs="Arial"/>
                <w:sz w:val="20"/>
                <w:szCs w:val="20"/>
              </w:rPr>
              <w:t>n atención a la Nonagésima Segunda Disposición Complementaria Final de la Ley 31084 Ley de P</w:t>
            </w:r>
            <w:r>
              <w:rPr>
                <w:rFonts w:ascii="Arial" w:hAnsi="Arial" w:cs="Arial"/>
                <w:sz w:val="20"/>
                <w:szCs w:val="20"/>
              </w:rPr>
              <w:t xml:space="preserve">resupuesto </w:t>
            </w:r>
            <w:r w:rsidR="00FA54E3" w:rsidRPr="00FA54E3">
              <w:rPr>
                <w:rFonts w:ascii="Arial" w:hAnsi="Arial" w:cs="Arial"/>
                <w:sz w:val="20"/>
                <w:szCs w:val="20"/>
              </w:rPr>
              <w:t>para</w:t>
            </w:r>
            <w:r>
              <w:rPr>
                <w:rFonts w:ascii="Arial" w:hAnsi="Arial" w:cs="Arial"/>
                <w:sz w:val="20"/>
                <w:szCs w:val="20"/>
              </w:rPr>
              <w:t xml:space="preserve"> el año fiscal </w:t>
            </w:r>
            <w:r w:rsidR="00FA54E3" w:rsidRPr="00FA54E3">
              <w:rPr>
                <w:rFonts w:ascii="Arial" w:hAnsi="Arial" w:cs="Arial"/>
                <w:sz w:val="20"/>
                <w:szCs w:val="20"/>
              </w:rPr>
              <w:t xml:space="preserve">2021, </w:t>
            </w:r>
            <w:r>
              <w:rPr>
                <w:rFonts w:ascii="Arial" w:hAnsi="Arial" w:cs="Arial"/>
                <w:sz w:val="20"/>
                <w:szCs w:val="20"/>
              </w:rPr>
              <w:t xml:space="preserve">se </w:t>
            </w:r>
            <w:r w:rsidR="00FA54E3" w:rsidRPr="00FA54E3">
              <w:rPr>
                <w:rFonts w:ascii="Arial" w:hAnsi="Arial" w:cs="Arial"/>
                <w:sz w:val="20"/>
                <w:szCs w:val="20"/>
              </w:rPr>
              <w:t xml:space="preserve">autoriza de manera excepcional un bono para la reactivación </w:t>
            </w:r>
            <w:r w:rsidRPr="00FA54E3">
              <w:rPr>
                <w:rFonts w:ascii="Arial" w:hAnsi="Arial" w:cs="Arial"/>
                <w:sz w:val="20"/>
                <w:szCs w:val="20"/>
              </w:rPr>
              <w:t>económica</w:t>
            </w:r>
            <w:r w:rsidR="00FA54E3" w:rsidRPr="00FA54E3">
              <w:rPr>
                <w:rFonts w:ascii="Arial" w:hAnsi="Arial" w:cs="Arial"/>
                <w:sz w:val="20"/>
                <w:szCs w:val="20"/>
              </w:rPr>
              <w:t xml:space="preserve"> en el mes de diciembre del 2020</w:t>
            </w:r>
            <w:r>
              <w:rPr>
                <w:rFonts w:ascii="Arial" w:hAnsi="Arial" w:cs="Arial"/>
                <w:sz w:val="20"/>
                <w:szCs w:val="20"/>
              </w:rPr>
              <w:t xml:space="preserve"> ascendente a </w:t>
            </w:r>
            <w:r w:rsidR="005E09CC"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r>
              <w:rPr>
                <w:rFonts w:ascii="Arial" w:hAnsi="Arial" w:cs="Arial"/>
                <w:sz w:val="20"/>
                <w:szCs w:val="20"/>
              </w:rPr>
              <w:t>S/</w:t>
            </w:r>
            <w:r w:rsidR="00FA54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54E3" w:rsidRPr="00FA54E3">
              <w:rPr>
                <w:rFonts w:ascii="Arial" w:hAnsi="Arial" w:cs="Arial"/>
                <w:sz w:val="20"/>
                <w:szCs w:val="20"/>
              </w:rPr>
              <w:t>192,500</w:t>
            </w:r>
            <w:r>
              <w:rPr>
                <w:rFonts w:ascii="Arial" w:hAnsi="Arial" w:cs="Arial"/>
                <w:sz w:val="20"/>
                <w:szCs w:val="20"/>
              </w:rPr>
              <w:t>.00.</w:t>
            </w:r>
          </w:p>
          <w:p w:rsidR="00FA54E3" w:rsidRDefault="00FA54E3" w:rsidP="00FA54E3">
            <w:pPr>
              <w:pStyle w:val="Prrafodelista"/>
              <w:ind w:left="246"/>
              <w:rPr>
                <w:rFonts w:ascii="Arial" w:hAnsi="Arial" w:cs="Arial"/>
                <w:sz w:val="20"/>
                <w:szCs w:val="20"/>
              </w:rPr>
            </w:pPr>
          </w:p>
          <w:p w:rsidR="002B6607" w:rsidRDefault="002B6607" w:rsidP="00FA54E3">
            <w:pPr>
              <w:pStyle w:val="Prrafodelista"/>
              <w:ind w:left="2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="00DA544E">
              <w:rPr>
                <w:rFonts w:ascii="Arial" w:hAnsi="Arial" w:cs="Arial"/>
                <w:sz w:val="20"/>
                <w:szCs w:val="20"/>
              </w:rPr>
              <w:t xml:space="preserve">cuadro de </w:t>
            </w:r>
            <w:r>
              <w:rPr>
                <w:rFonts w:ascii="Arial" w:hAnsi="Arial" w:cs="Arial"/>
                <w:sz w:val="20"/>
                <w:szCs w:val="20"/>
              </w:rPr>
              <w:t>marco legal se muestra en el siguiente cuadro:</w:t>
            </w:r>
          </w:p>
          <w:p w:rsidR="004F5C9C" w:rsidRPr="00176C4F" w:rsidRDefault="006B61EC" w:rsidP="002B6607">
            <w:pPr>
              <w:pStyle w:val="Prrafodelista"/>
              <w:ind w:left="24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61EC">
              <w:rPr>
                <w:rFonts w:ascii="Arial" w:hAnsi="Arial" w:cs="Arial"/>
                <w:sz w:val="20"/>
                <w:szCs w:val="20"/>
              </w:rPr>
              <w:tab/>
            </w:r>
          </w:p>
          <w:p w:rsidR="00176C4F" w:rsidRDefault="00DA544E" w:rsidP="00DA544E">
            <w:pPr>
              <w:ind w:left="360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14685" w:dyaOrig="166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2.95pt;height:421.75pt" o:ole="">
                  <v:imagedata r:id="rId10" o:title=""/>
                </v:shape>
                <o:OLEObject Type="Embed" ProgID="Excel.Sheet.12" ShapeID="_x0000_i1025" DrawAspect="Content" ObjectID="_1673799566" r:id="rId11"/>
              </w:object>
            </w:r>
          </w:p>
          <w:p w:rsidR="00D93AC6" w:rsidRPr="00D93AC6" w:rsidRDefault="00D93AC6" w:rsidP="004F5C9C">
            <w:pPr>
              <w:jc w:val="both"/>
            </w:pPr>
          </w:p>
        </w:tc>
      </w:tr>
    </w:tbl>
    <w:p w:rsidR="00C84452" w:rsidRDefault="00C84452" w:rsidP="00C84452">
      <w:pPr>
        <w:pStyle w:val="Sinespaciado"/>
        <w:ind w:left="-426" w:firstLine="426"/>
        <w:rPr>
          <w:rFonts w:eastAsia="Times New Roman"/>
          <w:lang w:eastAsia="es-PE"/>
        </w:rPr>
      </w:pPr>
    </w:p>
    <w:p w:rsidR="00FA57F8" w:rsidRPr="00F353D3" w:rsidRDefault="00FA57F8" w:rsidP="00C84452">
      <w:pPr>
        <w:pStyle w:val="Sinespaciad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  <w:r w:rsidRPr="00F353D3">
        <w:rPr>
          <w:rFonts w:ascii="Arial" w:eastAsia="Times New Roman" w:hAnsi="Arial" w:cs="Arial"/>
          <w:sz w:val="20"/>
          <w:szCs w:val="20"/>
          <w:lang w:eastAsia="es-PE"/>
        </w:rPr>
        <w:t>Al  3</w:t>
      </w:r>
      <w:r w:rsidR="00624EDB">
        <w:rPr>
          <w:rFonts w:ascii="Arial" w:eastAsia="Times New Roman" w:hAnsi="Arial" w:cs="Arial"/>
          <w:sz w:val="20"/>
          <w:szCs w:val="20"/>
          <w:lang w:eastAsia="es-PE"/>
        </w:rPr>
        <w:t>1</w:t>
      </w:r>
      <w:r w:rsidRPr="00F353D3">
        <w:rPr>
          <w:rFonts w:ascii="Arial" w:eastAsia="Times New Roman" w:hAnsi="Arial" w:cs="Arial"/>
          <w:sz w:val="20"/>
          <w:szCs w:val="20"/>
          <w:lang w:eastAsia="es-PE"/>
        </w:rPr>
        <w:t xml:space="preserve"> de </w:t>
      </w:r>
      <w:r w:rsidR="00624EDB">
        <w:rPr>
          <w:rFonts w:ascii="Arial" w:eastAsia="Times New Roman" w:hAnsi="Arial" w:cs="Arial"/>
          <w:sz w:val="20"/>
          <w:szCs w:val="20"/>
          <w:lang w:eastAsia="es-PE"/>
        </w:rPr>
        <w:t>dic</w:t>
      </w:r>
      <w:r w:rsidR="004F5C9C">
        <w:rPr>
          <w:rFonts w:ascii="Arial" w:eastAsia="Times New Roman" w:hAnsi="Arial" w:cs="Arial"/>
          <w:sz w:val="20"/>
          <w:szCs w:val="20"/>
          <w:lang w:eastAsia="es-PE"/>
        </w:rPr>
        <w:t>iembre</w:t>
      </w:r>
      <w:r w:rsidR="00B30A41" w:rsidRPr="00F353D3">
        <w:rPr>
          <w:rFonts w:ascii="Arial" w:eastAsia="Times New Roman" w:hAnsi="Arial" w:cs="Arial"/>
          <w:sz w:val="20"/>
          <w:szCs w:val="20"/>
          <w:lang w:eastAsia="es-PE"/>
        </w:rPr>
        <w:t xml:space="preserve"> </w:t>
      </w:r>
      <w:r w:rsidRPr="00F353D3">
        <w:rPr>
          <w:rFonts w:ascii="Arial" w:eastAsia="Times New Roman" w:hAnsi="Arial" w:cs="Arial"/>
          <w:sz w:val="20"/>
          <w:szCs w:val="20"/>
          <w:lang w:eastAsia="es-PE"/>
        </w:rPr>
        <w:t xml:space="preserve"> la ejecución (etapa de devengado) asciende a S/</w:t>
      </w:r>
      <w:r w:rsidR="00E67BE6">
        <w:rPr>
          <w:rFonts w:ascii="Arial" w:eastAsia="Times New Roman" w:hAnsi="Arial" w:cs="Arial"/>
          <w:sz w:val="20"/>
          <w:szCs w:val="20"/>
          <w:lang w:eastAsia="es-PE"/>
        </w:rPr>
        <w:t xml:space="preserve"> 1</w:t>
      </w:r>
      <w:r w:rsidR="00DC2BB9">
        <w:rPr>
          <w:rFonts w:ascii="Arial" w:eastAsia="Times New Roman" w:hAnsi="Arial" w:cs="Arial"/>
          <w:sz w:val="20"/>
          <w:szCs w:val="20"/>
          <w:lang w:eastAsia="es-PE"/>
        </w:rPr>
        <w:t>, 038, 169,079.97</w:t>
      </w:r>
      <w:r w:rsidRPr="00F353D3">
        <w:rPr>
          <w:rFonts w:ascii="Arial" w:eastAsia="Times New Roman" w:hAnsi="Arial" w:cs="Arial"/>
          <w:sz w:val="20"/>
          <w:szCs w:val="20"/>
          <w:lang w:eastAsia="es-PE"/>
        </w:rPr>
        <w:t>, lo que significa un avance de</w:t>
      </w:r>
      <w:r w:rsidR="00B30A41" w:rsidRPr="00F353D3">
        <w:rPr>
          <w:rFonts w:ascii="Arial" w:eastAsia="Times New Roman" w:hAnsi="Arial" w:cs="Arial"/>
          <w:sz w:val="20"/>
          <w:szCs w:val="20"/>
          <w:lang w:eastAsia="es-PE"/>
        </w:rPr>
        <w:t>l</w:t>
      </w:r>
      <w:r w:rsidRPr="00F353D3">
        <w:rPr>
          <w:rFonts w:ascii="Arial" w:eastAsia="Times New Roman" w:hAnsi="Arial" w:cs="Arial"/>
          <w:sz w:val="20"/>
          <w:szCs w:val="20"/>
          <w:lang w:eastAsia="es-PE"/>
        </w:rPr>
        <w:t xml:space="preserve"> </w:t>
      </w:r>
      <w:r w:rsidR="00E67BE6">
        <w:rPr>
          <w:rFonts w:ascii="Arial" w:eastAsia="Times New Roman" w:hAnsi="Arial" w:cs="Arial"/>
          <w:sz w:val="20"/>
          <w:szCs w:val="20"/>
          <w:lang w:eastAsia="es-PE"/>
        </w:rPr>
        <w:t>99</w:t>
      </w:r>
      <w:r w:rsidRPr="00F353D3">
        <w:rPr>
          <w:rFonts w:ascii="Arial" w:eastAsia="Times New Roman" w:hAnsi="Arial" w:cs="Arial"/>
          <w:sz w:val="20"/>
          <w:szCs w:val="20"/>
          <w:lang w:eastAsia="es-PE"/>
        </w:rPr>
        <w:t>% con respecto al PIM aprobado</w:t>
      </w:r>
      <w:r w:rsidR="00E67BE6">
        <w:rPr>
          <w:rFonts w:ascii="Arial" w:eastAsia="Times New Roman" w:hAnsi="Arial" w:cs="Arial"/>
          <w:sz w:val="20"/>
          <w:szCs w:val="20"/>
          <w:lang w:eastAsia="es-PE"/>
        </w:rPr>
        <w:t xml:space="preserve"> ascendente a S/ 1</w:t>
      </w:r>
      <w:r w:rsidR="00DC2BB9">
        <w:rPr>
          <w:rFonts w:ascii="Arial" w:eastAsia="Times New Roman" w:hAnsi="Arial" w:cs="Arial"/>
          <w:sz w:val="20"/>
          <w:szCs w:val="20"/>
          <w:lang w:eastAsia="es-PE"/>
        </w:rPr>
        <w:t>, 048, 086,237</w:t>
      </w:r>
      <w:r w:rsidRPr="00F353D3">
        <w:rPr>
          <w:rFonts w:ascii="Arial" w:eastAsia="Times New Roman" w:hAnsi="Arial" w:cs="Arial"/>
          <w:sz w:val="20"/>
          <w:szCs w:val="20"/>
          <w:lang w:eastAsia="es-PE"/>
        </w:rPr>
        <w:t>.</w:t>
      </w:r>
    </w:p>
    <w:p w:rsidR="00C84452" w:rsidRDefault="00C84452" w:rsidP="00C84452">
      <w:pPr>
        <w:pStyle w:val="Sinespaciad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</w:p>
    <w:p w:rsidR="00E67BE6" w:rsidRDefault="00E67BE6" w:rsidP="00C84452">
      <w:pPr>
        <w:pStyle w:val="Sinespaciad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</w:p>
    <w:p w:rsidR="00E67BE6" w:rsidRDefault="00E67BE6" w:rsidP="00C84452">
      <w:pPr>
        <w:pStyle w:val="Sinespaciad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</w:p>
    <w:p w:rsidR="00E67BE6" w:rsidRDefault="00E67BE6" w:rsidP="00C84452">
      <w:pPr>
        <w:pStyle w:val="Sinespaciad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</w:p>
    <w:p w:rsidR="00E67BE6" w:rsidRDefault="00E67BE6" w:rsidP="00C84452">
      <w:pPr>
        <w:pStyle w:val="Sinespaciad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</w:p>
    <w:p w:rsidR="00A954E2" w:rsidRDefault="00A954E2" w:rsidP="00C84452">
      <w:pPr>
        <w:pStyle w:val="Sinespaciad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  <w:bookmarkStart w:id="0" w:name="_GoBack"/>
      <w:bookmarkEnd w:id="0"/>
    </w:p>
    <w:p w:rsidR="00E67BE6" w:rsidRDefault="00E67BE6" w:rsidP="00C84452">
      <w:pPr>
        <w:pStyle w:val="Sinespaciad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</w:p>
    <w:p w:rsidR="00E67BE6" w:rsidRDefault="00E67BE6" w:rsidP="00C84452">
      <w:pPr>
        <w:pStyle w:val="Sinespaciad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</w:p>
    <w:p w:rsidR="00E67BE6" w:rsidRPr="00F353D3" w:rsidRDefault="00E67BE6" w:rsidP="00C84452">
      <w:pPr>
        <w:pStyle w:val="Sinespaciad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</w:p>
    <w:p w:rsidR="00FA57F8" w:rsidRDefault="00FA57F8" w:rsidP="00C84452">
      <w:pPr>
        <w:spacing w:after="0"/>
        <w:jc w:val="both"/>
        <w:rPr>
          <w:rFonts w:ascii="Calibri" w:eastAsia="Times New Roman" w:hAnsi="Calibri" w:cs="Times New Roman"/>
          <w:color w:val="000000"/>
          <w:lang w:eastAsia="es-PE"/>
        </w:rPr>
      </w:pPr>
      <w:r w:rsidRPr="00F353D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El comportamiento del gasto al </w:t>
      </w:r>
      <w:r w:rsidR="002A7052" w:rsidRPr="00F353D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I</w:t>
      </w:r>
      <w:r w:rsidR="00E67BE6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V</w:t>
      </w:r>
      <w:r w:rsidRPr="00F353D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</w:t>
      </w:r>
      <w:r w:rsidR="002A7052" w:rsidRPr="00F353D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Trimestre</w:t>
      </w:r>
      <w:r w:rsidR="00B30A41" w:rsidRPr="00F353D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</w:t>
      </w:r>
      <w:r w:rsidRPr="00F353D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20</w:t>
      </w:r>
      <w:r w:rsidR="002A7052" w:rsidRPr="00F353D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20</w:t>
      </w:r>
      <w:r w:rsidRPr="00F353D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, por Categoría del Gasto se muestra en el siguiente cuadro</w:t>
      </w:r>
      <w:r w:rsidRPr="00FA57F8">
        <w:rPr>
          <w:rFonts w:ascii="Calibri" w:eastAsia="Times New Roman" w:hAnsi="Calibri" w:cs="Times New Roman"/>
          <w:color w:val="000000"/>
          <w:lang w:eastAsia="es-PE"/>
        </w:rPr>
        <w:t xml:space="preserve">: </w:t>
      </w:r>
    </w:p>
    <w:p w:rsidR="00F353D3" w:rsidRDefault="00F353D3" w:rsidP="00C84452">
      <w:pPr>
        <w:spacing w:after="0"/>
        <w:jc w:val="both"/>
        <w:rPr>
          <w:rFonts w:ascii="Calibri" w:eastAsia="Times New Roman" w:hAnsi="Calibri" w:cs="Times New Roman"/>
          <w:color w:val="000000"/>
          <w:lang w:eastAsia="es-PE"/>
        </w:rPr>
      </w:pPr>
    </w:p>
    <w:p w:rsidR="0065358E" w:rsidRDefault="003E35B1" w:rsidP="00630CE6">
      <w:pPr>
        <w:spacing w:after="0"/>
        <w:jc w:val="center"/>
        <w:rPr>
          <w:rFonts w:cstheme="minorHAnsi"/>
        </w:rPr>
      </w:pPr>
      <w:r>
        <w:rPr>
          <w:noProof/>
          <w:lang w:val="es-ES" w:eastAsia="es-ES"/>
        </w:rPr>
        <w:object w:dxaOrig="15059" w:dyaOrig="3671">
          <v:shape id="_x0000_i1026" type="#_x0000_t75" style="width:496.2pt;height:150.7pt" o:ole="">
            <v:imagedata r:id="rId12" o:title=""/>
          </v:shape>
          <o:OLEObject Type="Embed" ProgID="Excel.Sheet.12" ShapeID="_x0000_i1026" DrawAspect="Content" ObjectID="_1673799567" r:id="rId13"/>
        </w:object>
      </w:r>
    </w:p>
    <w:p w:rsidR="00B30A41" w:rsidRDefault="00B30A41" w:rsidP="00BB0BDF">
      <w:pPr>
        <w:ind w:hanging="709"/>
        <w:jc w:val="right"/>
        <w:rPr>
          <w:rFonts w:cstheme="minorHAnsi"/>
        </w:rPr>
      </w:pPr>
    </w:p>
    <w:p w:rsidR="000917F4" w:rsidRDefault="003E35B1" w:rsidP="0055603D">
      <w:pPr>
        <w:ind w:hanging="709"/>
        <w:jc w:val="center"/>
        <w:rPr>
          <w:rFonts w:cstheme="minorHAnsi"/>
        </w:rPr>
      </w:pPr>
      <w:r>
        <w:rPr>
          <w:rFonts w:cstheme="minorHAnsi"/>
          <w:noProof/>
          <w:lang w:eastAsia="es-PE"/>
        </w:rPr>
        <w:drawing>
          <wp:inline distT="0" distB="0" distL="0" distR="0" wp14:anchorId="373F99EE">
            <wp:extent cx="4706620" cy="322516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6620" cy="3225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0E7C" w:rsidRDefault="00740E7C" w:rsidP="00282ED2">
      <w:pPr>
        <w:jc w:val="center"/>
        <w:rPr>
          <w:rFonts w:cstheme="minorHAnsi"/>
        </w:rPr>
      </w:pPr>
    </w:p>
    <w:p w:rsidR="00C17A41" w:rsidRDefault="003E35B1" w:rsidP="00282ED2">
      <w:pPr>
        <w:jc w:val="center"/>
        <w:rPr>
          <w:rFonts w:cstheme="minorHAnsi"/>
        </w:rPr>
      </w:pPr>
      <w:r>
        <w:rPr>
          <w:rFonts w:cstheme="minorHAnsi"/>
        </w:rPr>
        <w:object w:dxaOrig="6030" w:dyaOrig="2497">
          <v:shape id="_x0000_i1027" type="#_x0000_t75" style="width:301.5pt;height:124.85pt" o:ole="">
            <v:imagedata r:id="rId15" o:title=""/>
          </v:shape>
          <o:OLEObject Type="Embed" ProgID="Excel.Sheet.12" ShapeID="_x0000_i1027" DrawAspect="Content" ObjectID="_1673799568" r:id="rId16"/>
        </w:object>
      </w:r>
      <w:r w:rsidR="00740E7C">
        <w:rPr>
          <w:rFonts w:cstheme="minorHAnsi"/>
        </w:rPr>
        <w:t xml:space="preserve"> </w:t>
      </w:r>
      <w:r w:rsidR="00C17A41">
        <w:rPr>
          <w:rFonts w:cstheme="minorHAnsi"/>
        </w:rPr>
        <w:br w:type="page"/>
      </w:r>
    </w:p>
    <w:p w:rsidR="001073EA" w:rsidRDefault="001073EA" w:rsidP="0055603D">
      <w:pPr>
        <w:ind w:hanging="709"/>
        <w:jc w:val="center"/>
        <w:rPr>
          <w:rFonts w:cstheme="minorHAnsi"/>
        </w:rPr>
      </w:pPr>
    </w:p>
    <w:p w:rsidR="008733C4" w:rsidRDefault="008733C4" w:rsidP="008733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733C4" w:rsidRPr="008733C4" w:rsidRDefault="008733C4" w:rsidP="008733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733C4">
        <w:rPr>
          <w:rFonts w:ascii="Arial" w:hAnsi="Arial" w:cs="Arial"/>
          <w:b/>
          <w:sz w:val="24"/>
          <w:szCs w:val="24"/>
        </w:rPr>
        <w:t>EJECUCION PRESUPUESTAL POR TODA FUENTE DE FINANCIAMIENTO</w:t>
      </w:r>
    </w:p>
    <w:p w:rsidR="008733C4" w:rsidRPr="008733C4" w:rsidRDefault="008733C4" w:rsidP="008733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733C4" w:rsidRPr="008733C4" w:rsidRDefault="008733C4" w:rsidP="008733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733C4">
        <w:rPr>
          <w:rFonts w:ascii="Arial" w:hAnsi="Arial" w:cs="Arial"/>
          <w:b/>
          <w:sz w:val="24"/>
          <w:szCs w:val="24"/>
        </w:rPr>
        <w:t xml:space="preserve">AL </w:t>
      </w:r>
      <w:r>
        <w:rPr>
          <w:rFonts w:ascii="Arial" w:hAnsi="Arial" w:cs="Arial"/>
          <w:b/>
          <w:sz w:val="24"/>
          <w:szCs w:val="24"/>
        </w:rPr>
        <w:t>I</w:t>
      </w:r>
      <w:r w:rsidR="001669C6">
        <w:rPr>
          <w:rFonts w:ascii="Arial" w:hAnsi="Arial" w:cs="Arial"/>
          <w:b/>
          <w:sz w:val="24"/>
          <w:szCs w:val="24"/>
        </w:rPr>
        <w:t>V</w:t>
      </w:r>
      <w:r w:rsidRPr="008733C4">
        <w:rPr>
          <w:rFonts w:ascii="Arial" w:hAnsi="Arial" w:cs="Arial"/>
          <w:b/>
          <w:sz w:val="24"/>
          <w:szCs w:val="24"/>
        </w:rPr>
        <w:t xml:space="preserve"> TRIMESTRE DEL 20</w:t>
      </w:r>
      <w:r w:rsidR="007C0847">
        <w:rPr>
          <w:rFonts w:ascii="Arial" w:hAnsi="Arial" w:cs="Arial"/>
          <w:b/>
          <w:sz w:val="24"/>
          <w:szCs w:val="24"/>
        </w:rPr>
        <w:t>20</w:t>
      </w:r>
    </w:p>
    <w:p w:rsidR="008733C4" w:rsidRPr="008733C4" w:rsidRDefault="008733C4" w:rsidP="008733C4">
      <w:pPr>
        <w:spacing w:after="0" w:line="240" w:lineRule="auto"/>
        <w:jc w:val="both"/>
        <w:rPr>
          <w:rFonts w:ascii="Arial" w:hAnsi="Arial" w:cs="Arial"/>
        </w:rPr>
      </w:pPr>
    </w:p>
    <w:p w:rsidR="008733C4" w:rsidRPr="008733C4" w:rsidRDefault="008733C4" w:rsidP="008733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733C4">
        <w:rPr>
          <w:rFonts w:ascii="Arial" w:hAnsi="Arial" w:cs="Arial"/>
          <w:sz w:val="20"/>
          <w:szCs w:val="20"/>
        </w:rPr>
        <w:t>(</w:t>
      </w:r>
      <w:r w:rsidRPr="008733C4">
        <w:rPr>
          <w:rFonts w:ascii="Arial" w:hAnsi="Arial" w:cs="Arial"/>
          <w:b/>
          <w:sz w:val="20"/>
          <w:szCs w:val="20"/>
        </w:rPr>
        <w:t>Fase Devengado</w:t>
      </w:r>
      <w:r w:rsidRPr="008733C4">
        <w:rPr>
          <w:rFonts w:ascii="Arial" w:hAnsi="Arial" w:cs="Arial"/>
          <w:sz w:val="20"/>
          <w:szCs w:val="20"/>
        </w:rPr>
        <w:t>) La Ejecución Presupuestal por toda fuente de financiamiento al I</w:t>
      </w:r>
      <w:r w:rsidR="001669C6">
        <w:rPr>
          <w:rFonts w:ascii="Arial" w:hAnsi="Arial" w:cs="Arial"/>
          <w:sz w:val="20"/>
          <w:szCs w:val="20"/>
        </w:rPr>
        <w:t>V</w:t>
      </w:r>
      <w:r w:rsidRPr="008733C4">
        <w:rPr>
          <w:rFonts w:ascii="Arial" w:hAnsi="Arial" w:cs="Arial"/>
          <w:sz w:val="20"/>
          <w:szCs w:val="20"/>
        </w:rPr>
        <w:t xml:space="preserve"> Trimestre del 20</w:t>
      </w:r>
      <w:r w:rsidR="001F5E5E">
        <w:rPr>
          <w:rFonts w:ascii="Arial" w:hAnsi="Arial" w:cs="Arial"/>
          <w:sz w:val="20"/>
          <w:szCs w:val="20"/>
        </w:rPr>
        <w:t>20</w:t>
      </w:r>
      <w:r w:rsidRPr="008733C4">
        <w:rPr>
          <w:rFonts w:ascii="Arial" w:hAnsi="Arial" w:cs="Arial"/>
          <w:sz w:val="20"/>
          <w:szCs w:val="20"/>
        </w:rPr>
        <w:t xml:space="preserve">, ascendió a S/ </w:t>
      </w:r>
      <w:r w:rsidR="001669C6">
        <w:rPr>
          <w:rFonts w:ascii="Arial" w:hAnsi="Arial" w:cs="Arial"/>
          <w:sz w:val="20"/>
          <w:szCs w:val="20"/>
        </w:rPr>
        <w:t>1</w:t>
      </w:r>
      <w:r w:rsidR="00A36566">
        <w:rPr>
          <w:rFonts w:ascii="Arial" w:hAnsi="Arial" w:cs="Arial"/>
          <w:sz w:val="20"/>
          <w:szCs w:val="20"/>
        </w:rPr>
        <w:t>, 038, 269,079.97</w:t>
      </w:r>
      <w:r w:rsidRPr="008733C4">
        <w:rPr>
          <w:rFonts w:ascii="Arial" w:hAnsi="Arial" w:cs="Arial"/>
          <w:sz w:val="20"/>
          <w:szCs w:val="20"/>
        </w:rPr>
        <w:t xml:space="preserve">, que en términos porcentuales comparado con el PIM </w:t>
      </w:r>
      <w:r w:rsidR="001F5E5E">
        <w:rPr>
          <w:rFonts w:ascii="Arial" w:hAnsi="Arial" w:cs="Arial"/>
          <w:sz w:val="20"/>
          <w:szCs w:val="20"/>
        </w:rPr>
        <w:t xml:space="preserve">asignado </w:t>
      </w:r>
      <w:r w:rsidRPr="008733C4">
        <w:rPr>
          <w:rFonts w:ascii="Arial" w:hAnsi="Arial" w:cs="Arial"/>
          <w:sz w:val="20"/>
          <w:szCs w:val="20"/>
        </w:rPr>
        <w:t>de</w:t>
      </w:r>
      <w:r w:rsidR="00740E7C">
        <w:rPr>
          <w:rFonts w:ascii="Arial" w:hAnsi="Arial" w:cs="Arial"/>
          <w:sz w:val="20"/>
          <w:szCs w:val="20"/>
        </w:rPr>
        <w:t xml:space="preserve">                              </w:t>
      </w:r>
      <w:r w:rsidRPr="008733C4">
        <w:rPr>
          <w:rFonts w:ascii="Arial" w:hAnsi="Arial" w:cs="Arial"/>
          <w:sz w:val="20"/>
          <w:szCs w:val="20"/>
        </w:rPr>
        <w:t xml:space="preserve"> S/ </w:t>
      </w:r>
      <w:r w:rsidR="001669C6">
        <w:rPr>
          <w:rFonts w:ascii="Arial" w:hAnsi="Arial" w:cs="Arial"/>
          <w:sz w:val="20"/>
          <w:szCs w:val="20"/>
        </w:rPr>
        <w:t>1</w:t>
      </w:r>
      <w:r w:rsidR="00A36566">
        <w:rPr>
          <w:rFonts w:ascii="Arial" w:hAnsi="Arial" w:cs="Arial"/>
          <w:sz w:val="20"/>
          <w:szCs w:val="20"/>
        </w:rPr>
        <w:t>, 048, 086,237.00</w:t>
      </w:r>
      <w:r w:rsidRPr="008733C4">
        <w:rPr>
          <w:rFonts w:ascii="Arial" w:hAnsi="Arial" w:cs="Arial"/>
          <w:sz w:val="20"/>
          <w:szCs w:val="20"/>
        </w:rPr>
        <w:t xml:space="preserve"> alcanz</w:t>
      </w:r>
      <w:r w:rsidR="001E5111">
        <w:rPr>
          <w:rFonts w:ascii="Arial" w:hAnsi="Arial" w:cs="Arial"/>
          <w:sz w:val="20"/>
          <w:szCs w:val="20"/>
        </w:rPr>
        <w:t>ó</w:t>
      </w:r>
      <w:r w:rsidRPr="008733C4">
        <w:rPr>
          <w:rFonts w:ascii="Arial" w:hAnsi="Arial" w:cs="Arial"/>
          <w:sz w:val="20"/>
          <w:szCs w:val="20"/>
        </w:rPr>
        <w:t xml:space="preserve"> un nivel de </w:t>
      </w:r>
      <w:r w:rsidR="001669C6">
        <w:rPr>
          <w:rFonts w:ascii="Arial" w:hAnsi="Arial" w:cs="Arial"/>
          <w:sz w:val="20"/>
          <w:szCs w:val="20"/>
        </w:rPr>
        <w:t>99</w:t>
      </w:r>
      <w:r w:rsidRPr="008733C4">
        <w:rPr>
          <w:rFonts w:ascii="Arial" w:hAnsi="Arial" w:cs="Arial"/>
          <w:sz w:val="20"/>
          <w:szCs w:val="20"/>
        </w:rPr>
        <w:t>%</w:t>
      </w:r>
      <w:r w:rsidR="001F5E5E">
        <w:rPr>
          <w:rFonts w:ascii="Arial" w:hAnsi="Arial" w:cs="Arial"/>
          <w:sz w:val="20"/>
          <w:szCs w:val="20"/>
        </w:rPr>
        <w:t>.</w:t>
      </w:r>
    </w:p>
    <w:p w:rsidR="008733C4" w:rsidRPr="008733C4" w:rsidRDefault="008733C4" w:rsidP="008733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33C4" w:rsidRPr="008733C4" w:rsidRDefault="008733C4" w:rsidP="008733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733C4">
        <w:rPr>
          <w:rFonts w:ascii="Arial" w:hAnsi="Arial" w:cs="Arial"/>
          <w:sz w:val="20"/>
          <w:szCs w:val="20"/>
        </w:rPr>
        <w:t xml:space="preserve">Con un PIM total de S/ </w:t>
      </w:r>
      <w:r w:rsidR="001669C6">
        <w:rPr>
          <w:rFonts w:ascii="Arial" w:hAnsi="Arial" w:cs="Arial"/>
          <w:sz w:val="20"/>
          <w:szCs w:val="20"/>
        </w:rPr>
        <w:t>1</w:t>
      </w:r>
      <w:r w:rsidR="00A36566">
        <w:rPr>
          <w:rFonts w:ascii="Arial" w:hAnsi="Arial" w:cs="Arial"/>
          <w:sz w:val="20"/>
          <w:szCs w:val="20"/>
        </w:rPr>
        <w:t>, 048, 086,237.00</w:t>
      </w:r>
      <w:r w:rsidRPr="008733C4">
        <w:rPr>
          <w:rFonts w:ascii="Arial" w:hAnsi="Arial" w:cs="Arial"/>
          <w:sz w:val="20"/>
          <w:szCs w:val="20"/>
        </w:rPr>
        <w:t xml:space="preserve"> se ejecutaron actividades tales como:</w:t>
      </w:r>
    </w:p>
    <w:p w:rsidR="008733C4" w:rsidRPr="008733C4" w:rsidRDefault="008733C4" w:rsidP="008733C4">
      <w:pPr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</w:p>
    <w:p w:rsidR="007C11AA" w:rsidRDefault="007C11AA" w:rsidP="00B305B4">
      <w:pPr>
        <w:pStyle w:val="Prrafodelista"/>
        <w:numPr>
          <w:ilvl w:val="0"/>
          <w:numId w:val="2"/>
        </w:numPr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7C11AA">
        <w:rPr>
          <w:rFonts w:ascii="Arial" w:eastAsia="Times New Roman" w:hAnsi="Arial" w:cs="Arial"/>
          <w:b/>
          <w:color w:val="000000"/>
          <w:sz w:val="20"/>
          <w:szCs w:val="20"/>
          <w:lang w:eastAsia="es-PE"/>
        </w:rPr>
        <w:t xml:space="preserve">En el Programa Presupuestal  0118 </w:t>
      </w:r>
      <w:r w:rsidRPr="007C11AA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“Acceso de Hogares Rurales con Economías de Subsistencia a Mercados Locales” se aprecia un avance en su ejecución presupuestal en la etapa del Devengado del 9</w:t>
      </w:r>
      <w:r w:rsidR="00A36566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9.6</w:t>
      </w:r>
      <w:r w:rsidRPr="007C11AA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% con relación a su PIM  autorizado, cuyos gastos estuvieron orientados a la Gestión del Programa; Seguimiento y Evaluación del Programa, Asistencia Técnica a Grupos de interés para la Selección e implementación de perfiles de emprendimientos rurales; Asistencia técnica a los emprendimientos implementados para la mejora de su gestión económica, financiera y de articulación al mercado; Promoción de espacios de Intercambio Local, Promoción y conformación de núcleos ejecutores y núcleos ejecutores centrales; Capacitación, asistencia técnica y entrega de activos para mejorar la actividad productiva;  la inversión de FONCODES al 3</w:t>
      </w:r>
      <w:r w:rsidR="00A36566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1</w:t>
      </w:r>
      <w:r w:rsidRPr="007C11AA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de </w:t>
      </w:r>
      <w:r w:rsidR="00A36566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dic</w:t>
      </w:r>
      <w:r w:rsidRPr="007C11AA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iembre  asciende al total de </w:t>
      </w:r>
      <w:r w:rsidR="00A36566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                         </w:t>
      </w:r>
      <w:r w:rsidRPr="007C11AA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S/ 2</w:t>
      </w:r>
      <w:r w:rsidR="00A36566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49</w:t>
      </w:r>
      <w:r w:rsidRPr="007C11AA">
        <w:rPr>
          <w:rFonts w:ascii="Arial" w:hAnsi="Arial" w:cs="Arial"/>
          <w:sz w:val="20"/>
          <w:szCs w:val="20"/>
          <w:lang w:eastAsia="es-PE"/>
        </w:rPr>
        <w:t>,7</w:t>
      </w:r>
      <w:r w:rsidR="00A36566">
        <w:rPr>
          <w:rFonts w:ascii="Arial" w:hAnsi="Arial" w:cs="Arial"/>
          <w:sz w:val="20"/>
          <w:szCs w:val="20"/>
          <w:lang w:eastAsia="es-PE"/>
        </w:rPr>
        <w:t>43</w:t>
      </w:r>
      <w:r w:rsidRPr="007C11AA">
        <w:rPr>
          <w:rFonts w:ascii="Arial" w:hAnsi="Arial" w:cs="Arial"/>
          <w:sz w:val="20"/>
          <w:szCs w:val="20"/>
          <w:lang w:eastAsia="es-PE"/>
        </w:rPr>
        <w:t>,</w:t>
      </w:r>
      <w:r w:rsidR="00A36566">
        <w:rPr>
          <w:rFonts w:ascii="Arial" w:hAnsi="Arial" w:cs="Arial"/>
          <w:sz w:val="20"/>
          <w:szCs w:val="20"/>
          <w:lang w:eastAsia="es-PE"/>
        </w:rPr>
        <w:t>389</w:t>
      </w:r>
      <w:r w:rsidRPr="007C11AA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.00 por todo concepto. </w:t>
      </w:r>
    </w:p>
    <w:p w:rsidR="007C11AA" w:rsidRPr="007C11AA" w:rsidRDefault="007C11AA" w:rsidP="007C11AA">
      <w:pPr>
        <w:pStyle w:val="Prrafodelista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</w:p>
    <w:p w:rsidR="007C11AA" w:rsidRDefault="007C11AA" w:rsidP="00B305B4">
      <w:pPr>
        <w:pStyle w:val="Prrafodelista"/>
        <w:numPr>
          <w:ilvl w:val="3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  <w:lang w:eastAsia="es-PE"/>
        </w:rPr>
      </w:pPr>
      <w:r w:rsidRPr="007C11AA">
        <w:rPr>
          <w:rFonts w:ascii="Arial" w:hAnsi="Arial" w:cs="Arial"/>
          <w:b/>
          <w:sz w:val="20"/>
          <w:szCs w:val="20"/>
          <w:lang w:eastAsia="es-PE"/>
        </w:rPr>
        <w:t>Acciones Centrales</w:t>
      </w:r>
      <w:r w:rsidRPr="007C11AA">
        <w:rPr>
          <w:rFonts w:ascii="Arial" w:hAnsi="Arial" w:cs="Arial"/>
          <w:sz w:val="20"/>
          <w:szCs w:val="20"/>
          <w:lang w:eastAsia="es-PE"/>
        </w:rPr>
        <w:t>, el avance al 3</w:t>
      </w:r>
      <w:r w:rsidR="008B331B">
        <w:rPr>
          <w:rFonts w:ascii="Arial" w:hAnsi="Arial" w:cs="Arial"/>
          <w:sz w:val="20"/>
          <w:szCs w:val="20"/>
          <w:lang w:eastAsia="es-PE"/>
        </w:rPr>
        <w:t>1</w:t>
      </w:r>
      <w:r w:rsidRPr="007C11AA">
        <w:rPr>
          <w:rFonts w:ascii="Arial" w:hAnsi="Arial" w:cs="Arial"/>
          <w:sz w:val="20"/>
          <w:szCs w:val="20"/>
          <w:lang w:eastAsia="es-PE"/>
        </w:rPr>
        <w:t xml:space="preserve"> de </w:t>
      </w:r>
      <w:r w:rsidR="008B331B">
        <w:rPr>
          <w:rFonts w:ascii="Arial" w:hAnsi="Arial" w:cs="Arial"/>
          <w:sz w:val="20"/>
          <w:szCs w:val="20"/>
          <w:lang w:eastAsia="es-PE"/>
        </w:rPr>
        <w:t>dic</w:t>
      </w:r>
      <w:r w:rsidRPr="007C11AA">
        <w:rPr>
          <w:rFonts w:ascii="Arial" w:hAnsi="Arial" w:cs="Arial"/>
          <w:sz w:val="20"/>
          <w:szCs w:val="20"/>
          <w:lang w:eastAsia="es-PE"/>
        </w:rPr>
        <w:t xml:space="preserve">iembre 2020 es de </w:t>
      </w:r>
      <w:r w:rsidR="008B331B">
        <w:rPr>
          <w:rFonts w:ascii="Arial" w:hAnsi="Arial" w:cs="Arial"/>
          <w:sz w:val="20"/>
          <w:szCs w:val="20"/>
          <w:lang w:eastAsia="es-PE"/>
        </w:rPr>
        <w:t>88.3</w:t>
      </w:r>
      <w:r w:rsidRPr="007C11AA">
        <w:rPr>
          <w:rFonts w:ascii="Arial" w:hAnsi="Arial" w:cs="Arial"/>
          <w:sz w:val="20"/>
          <w:szCs w:val="20"/>
          <w:lang w:eastAsia="es-PE"/>
        </w:rPr>
        <w:t xml:space="preserve">% del devengado con respecto a su PIM autorizado, se ha devengado la suma de S/ </w:t>
      </w:r>
      <w:r w:rsidR="008B331B">
        <w:rPr>
          <w:rFonts w:ascii="Arial" w:hAnsi="Arial" w:cs="Arial"/>
          <w:sz w:val="20"/>
          <w:szCs w:val="20"/>
          <w:lang w:eastAsia="es-PE"/>
        </w:rPr>
        <w:t>38</w:t>
      </w:r>
      <w:r w:rsidRPr="007C11AA">
        <w:rPr>
          <w:rFonts w:ascii="Arial" w:hAnsi="Arial" w:cs="Arial"/>
          <w:sz w:val="20"/>
          <w:szCs w:val="20"/>
          <w:lang w:eastAsia="es-PE"/>
        </w:rPr>
        <w:t>,</w:t>
      </w:r>
      <w:r w:rsidR="008B331B">
        <w:rPr>
          <w:rFonts w:ascii="Arial" w:hAnsi="Arial" w:cs="Arial"/>
          <w:sz w:val="20"/>
          <w:szCs w:val="20"/>
          <w:lang w:eastAsia="es-PE"/>
        </w:rPr>
        <w:t>019</w:t>
      </w:r>
      <w:r w:rsidRPr="007C11AA">
        <w:rPr>
          <w:rFonts w:ascii="Arial" w:hAnsi="Arial" w:cs="Arial"/>
          <w:sz w:val="20"/>
          <w:szCs w:val="20"/>
          <w:lang w:eastAsia="es-PE"/>
        </w:rPr>
        <w:t>,</w:t>
      </w:r>
      <w:r w:rsidR="008B331B">
        <w:rPr>
          <w:rFonts w:ascii="Arial" w:hAnsi="Arial" w:cs="Arial"/>
          <w:sz w:val="20"/>
          <w:szCs w:val="20"/>
          <w:lang w:eastAsia="es-PE"/>
        </w:rPr>
        <w:t>569</w:t>
      </w:r>
      <w:r w:rsidRPr="007C11AA">
        <w:rPr>
          <w:rFonts w:ascii="Arial" w:hAnsi="Arial" w:cs="Arial"/>
          <w:sz w:val="20"/>
          <w:szCs w:val="20"/>
          <w:lang w:eastAsia="es-PE"/>
        </w:rPr>
        <w:t>.00, respecto a un PIM autorizado de</w:t>
      </w:r>
      <w:r w:rsidR="00DB642A">
        <w:rPr>
          <w:rFonts w:ascii="Arial" w:hAnsi="Arial" w:cs="Arial"/>
          <w:sz w:val="20"/>
          <w:szCs w:val="20"/>
          <w:lang w:eastAsia="es-PE"/>
        </w:rPr>
        <w:t xml:space="preserve">              </w:t>
      </w:r>
      <w:r w:rsidRPr="007C11AA">
        <w:rPr>
          <w:rFonts w:ascii="Arial" w:hAnsi="Arial" w:cs="Arial"/>
          <w:sz w:val="20"/>
          <w:szCs w:val="20"/>
          <w:lang w:eastAsia="es-PE"/>
        </w:rPr>
        <w:t>S/ 43´</w:t>
      </w:r>
      <w:r w:rsidR="00DB642A">
        <w:rPr>
          <w:rFonts w:ascii="Arial" w:hAnsi="Arial" w:cs="Arial"/>
          <w:sz w:val="20"/>
          <w:szCs w:val="20"/>
          <w:lang w:eastAsia="es-PE"/>
        </w:rPr>
        <w:t>070</w:t>
      </w:r>
      <w:r w:rsidRPr="007C11AA">
        <w:rPr>
          <w:rFonts w:ascii="Arial" w:hAnsi="Arial" w:cs="Arial"/>
          <w:sz w:val="20"/>
          <w:szCs w:val="20"/>
          <w:lang w:eastAsia="es-PE"/>
        </w:rPr>
        <w:t>,4</w:t>
      </w:r>
      <w:r w:rsidR="00DB642A">
        <w:rPr>
          <w:rFonts w:ascii="Arial" w:hAnsi="Arial" w:cs="Arial"/>
          <w:sz w:val="20"/>
          <w:szCs w:val="20"/>
          <w:lang w:eastAsia="es-PE"/>
        </w:rPr>
        <w:t>79</w:t>
      </w:r>
      <w:r w:rsidRPr="007C11AA">
        <w:rPr>
          <w:rFonts w:ascii="Arial" w:hAnsi="Arial" w:cs="Arial"/>
          <w:sz w:val="20"/>
          <w:szCs w:val="20"/>
          <w:lang w:eastAsia="es-PE"/>
        </w:rPr>
        <w:t xml:space="preserve">, en esta categoría destacan las actividades Gestión de Recursos Humanos, orientado al pago de planillas (Régimen Laboral 728), así como los costos del Seguro Médico Familiar, entre otros gastos se menciona: servicio de seguridad y vigilancia, servicio de suministro de energía eléctrica, servicios de agua y desagüe, servicio de telefonía fija, servicio de internet, gastos notariales, propinas para practicantes, y servicios diversos, etc. </w:t>
      </w:r>
    </w:p>
    <w:p w:rsidR="00B305B4" w:rsidRPr="007C11AA" w:rsidRDefault="00B305B4" w:rsidP="00B305B4">
      <w:pPr>
        <w:pStyle w:val="Prrafodelista"/>
        <w:ind w:left="426" w:hanging="426"/>
        <w:jc w:val="both"/>
        <w:rPr>
          <w:rFonts w:ascii="Arial" w:hAnsi="Arial" w:cs="Arial"/>
          <w:sz w:val="20"/>
          <w:szCs w:val="20"/>
          <w:lang w:eastAsia="es-PE"/>
        </w:rPr>
      </w:pPr>
    </w:p>
    <w:p w:rsidR="00340D32" w:rsidRPr="00B305B4" w:rsidRDefault="008733C4" w:rsidP="00B305B4">
      <w:pPr>
        <w:pStyle w:val="Prrafodelista"/>
        <w:numPr>
          <w:ilvl w:val="3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B305B4">
        <w:rPr>
          <w:rFonts w:ascii="Arial" w:eastAsia="Times New Roman" w:hAnsi="Arial" w:cs="Arial"/>
          <w:b/>
          <w:color w:val="000000"/>
          <w:sz w:val="20"/>
          <w:szCs w:val="20"/>
          <w:lang w:eastAsia="es-PE"/>
        </w:rPr>
        <w:t>Asignaciones Presupuestarias que No Resultan en Productos (APNOP)</w:t>
      </w:r>
      <w:r w:rsidRPr="00B305B4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, </w:t>
      </w:r>
      <w:r w:rsidR="007C11AA" w:rsidRPr="00B305B4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el presupuesto autorizado al 3</w:t>
      </w:r>
      <w:r w:rsidR="00DB642A" w:rsidRPr="00B305B4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1</w:t>
      </w:r>
      <w:r w:rsidR="007C11AA" w:rsidRPr="00B305B4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de </w:t>
      </w:r>
      <w:r w:rsidR="00DB642A" w:rsidRPr="00B305B4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dic</w:t>
      </w:r>
      <w:r w:rsidR="007C11AA" w:rsidRPr="00B305B4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iembre asciende a la suma de S/ </w:t>
      </w:r>
      <w:r w:rsidR="00DB642A" w:rsidRPr="00B305B4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754</w:t>
      </w:r>
      <w:r w:rsidR="007C11AA" w:rsidRPr="00B305B4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´</w:t>
      </w:r>
      <w:r w:rsidR="00DB642A" w:rsidRPr="00B305B4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179</w:t>
      </w:r>
      <w:r w:rsidR="007C11AA" w:rsidRPr="00B305B4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,</w:t>
      </w:r>
      <w:r w:rsidR="00DB642A" w:rsidRPr="00B305B4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889</w:t>
      </w:r>
      <w:r w:rsidR="007C11AA" w:rsidRPr="00B305B4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, de los cuales se ha devengado la suma de</w:t>
      </w:r>
      <w:r w:rsidR="00DB642A" w:rsidRPr="00B305B4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          </w:t>
      </w:r>
      <w:r w:rsidR="007C11AA" w:rsidRPr="00B305B4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S/ </w:t>
      </w:r>
      <w:r w:rsidR="00DB642A" w:rsidRPr="00B305B4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750</w:t>
      </w:r>
      <w:r w:rsidR="007C11AA" w:rsidRPr="00B305B4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´</w:t>
      </w:r>
      <w:r w:rsidR="00DB642A" w:rsidRPr="00B305B4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506</w:t>
      </w:r>
      <w:r w:rsidR="007C11AA" w:rsidRPr="00B305B4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,</w:t>
      </w:r>
      <w:r w:rsidR="00DB642A" w:rsidRPr="00B305B4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122</w:t>
      </w:r>
      <w:r w:rsidR="007C11AA" w:rsidRPr="00B305B4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, lo que representa un avance de </w:t>
      </w:r>
      <w:r w:rsidR="00DB642A" w:rsidRPr="00B305B4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99.5·%</w:t>
      </w:r>
      <w:r w:rsidR="007C11AA" w:rsidRPr="00B305B4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del gasto respecto a su PIM autorizado, está conformada por las actividades de Transferencia para el Mejoramiento y ampliación de los Servicios Educativos, </w:t>
      </w:r>
      <w:r w:rsidR="00545444" w:rsidRPr="00B305B4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Apoyo a la Infraestructura Económica, D</w:t>
      </w:r>
      <w:r w:rsidR="00545444" w:rsidRPr="00B305B4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esarrollo e </w:t>
      </w:r>
      <w:r w:rsidR="00B305B4" w:rsidRPr="00B305B4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Implementación</w:t>
      </w:r>
      <w:r w:rsidR="00545444" w:rsidRPr="00B305B4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de proyectos de infraestructura de cocinas, almacenes y servicios </w:t>
      </w:r>
      <w:r w:rsidR="00B305B4" w:rsidRPr="00B305B4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higiénicos</w:t>
      </w:r>
      <w:r w:rsidR="00545444" w:rsidRPr="00B305B4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en instituciones educativas del nivel </w:t>
      </w:r>
      <w:r w:rsidR="00B305B4" w:rsidRPr="00B305B4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educación</w:t>
      </w:r>
      <w:r w:rsidR="00545444" w:rsidRPr="00B305B4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inicial y primaria</w:t>
      </w:r>
      <w:r w:rsidR="00B305B4" w:rsidRPr="00B305B4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, </w:t>
      </w:r>
      <w:r w:rsidR="007C11AA" w:rsidRPr="00B305B4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Transferencia e Inventario de Obras, Prevención, Control,  Diagnóstico y Tratamiento del Corona Virus y Promoción, Implementación y ejecución de actividades para la </w:t>
      </w:r>
      <w:r w:rsidR="00340D32" w:rsidRPr="00B305B4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.</w:t>
      </w:r>
      <w:r w:rsidR="007C11AA" w:rsidRPr="00B305B4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reactivación económica</w:t>
      </w:r>
    </w:p>
    <w:p w:rsidR="00545444" w:rsidRDefault="00545444" w:rsidP="008733C4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</w:p>
    <w:p w:rsidR="008733C4" w:rsidRDefault="008733C4" w:rsidP="008733C4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8733C4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El comportamiento del gasto a nivel de Categoría y Grupo Genérico del Gasto al </w:t>
      </w:r>
      <w:r w:rsidR="0016029F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I</w:t>
      </w:r>
      <w:r w:rsidR="00B305B4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V</w:t>
      </w:r>
      <w:r w:rsidRPr="008733C4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Trimestre se observa en </w:t>
      </w:r>
      <w:r w:rsidR="0010352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el</w:t>
      </w:r>
      <w:r w:rsidRPr="008733C4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siguiente</w:t>
      </w:r>
      <w:r w:rsidR="00D44D22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cuadro</w:t>
      </w:r>
      <w:r w:rsidRPr="008733C4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:</w:t>
      </w:r>
    </w:p>
    <w:p w:rsidR="001C0C79" w:rsidRPr="008733C4" w:rsidRDefault="001C0C79" w:rsidP="008733C4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</w:p>
    <w:bookmarkStart w:id="1" w:name="_MON_1673795462"/>
    <w:bookmarkEnd w:id="1"/>
    <w:p w:rsidR="008733C4" w:rsidRDefault="00DF717F" w:rsidP="008733C4">
      <w:pPr>
        <w:spacing w:after="0"/>
        <w:jc w:val="center"/>
        <w:rPr>
          <w:rFonts w:ascii="Arial" w:eastAsia="Times New Roman" w:hAnsi="Arial" w:cs="Arial"/>
          <w:color w:val="000000"/>
          <w:lang w:eastAsia="es-PE"/>
        </w:rPr>
      </w:pPr>
      <w:r>
        <w:rPr>
          <w:rFonts w:ascii="Arial" w:eastAsia="Times New Roman" w:hAnsi="Arial" w:cs="Arial"/>
          <w:color w:val="000000"/>
          <w:lang w:eastAsia="es-PE"/>
        </w:rPr>
        <w:object w:dxaOrig="11542" w:dyaOrig="5605">
          <v:shape id="_x0000_i1028" type="#_x0000_t75" style="width:417.8pt;height:183.85pt" o:ole="">
            <v:imagedata r:id="rId17" o:title=""/>
          </v:shape>
          <o:OLEObject Type="Embed" ProgID="Excel.Sheet.12" ShapeID="_x0000_i1028" DrawAspect="Content" ObjectID="_1673799569" r:id="rId18"/>
        </w:object>
      </w:r>
    </w:p>
    <w:p w:rsidR="00307541" w:rsidRDefault="00307541" w:rsidP="00307541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</w:p>
    <w:p w:rsidR="001C0C79" w:rsidRDefault="001C0C79" w:rsidP="00307541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s-PE"/>
        </w:rPr>
        <w:sectPr w:rsidR="001C0C79" w:rsidSect="00630CF0">
          <w:headerReference w:type="default" r:id="rId19"/>
          <w:pgSz w:w="11907" w:h="16839" w:code="9"/>
          <w:pgMar w:top="568" w:right="992" w:bottom="709" w:left="1134" w:header="564" w:footer="708" w:gutter="0"/>
          <w:cols w:space="708"/>
          <w:docGrid w:linePitch="360"/>
        </w:sectPr>
      </w:pPr>
    </w:p>
    <w:p w:rsidR="00307541" w:rsidRDefault="00307541" w:rsidP="00307541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</w:p>
    <w:p w:rsidR="00307541" w:rsidRDefault="00307541" w:rsidP="00307541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307541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En </w:t>
      </w:r>
      <w:r>
        <w:rPr>
          <w:rFonts w:ascii="Arial" w:eastAsia="Times New Roman" w:hAnsi="Arial" w:cs="Arial"/>
          <w:color w:val="000000"/>
          <w:sz w:val="20"/>
          <w:szCs w:val="20"/>
          <w:lang w:eastAsia="es-PE"/>
        </w:rPr>
        <w:t>el</w:t>
      </w:r>
      <w:r w:rsidRPr="00307541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siguiente cuadro</w:t>
      </w:r>
      <w:r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se puede apreciar el comportamiento del gasto en los últimos</w:t>
      </w:r>
      <w:r w:rsidR="0021428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cinco</w:t>
      </w:r>
      <w:r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años:</w:t>
      </w:r>
    </w:p>
    <w:p w:rsidR="00D04178" w:rsidRDefault="00D04178" w:rsidP="00307541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</w:p>
    <w:p w:rsidR="00D04178" w:rsidRDefault="009F4EB1" w:rsidP="00307541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9F4EB1">
        <w:drawing>
          <wp:inline distT="0" distB="0" distL="0" distR="0" wp14:anchorId="66C47640" wp14:editId="19F963D9">
            <wp:extent cx="9882505" cy="1420525"/>
            <wp:effectExtent l="0" t="0" r="4445" b="825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2505" cy="142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178" w:rsidRDefault="00D04178" w:rsidP="00307541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</w:p>
    <w:p w:rsidR="00D04178" w:rsidRDefault="00D04178" w:rsidP="00307541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</w:p>
    <w:p w:rsidR="00D04178" w:rsidRDefault="009F4EB1" w:rsidP="00307541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es-PE"/>
        </w:rPr>
        <w:drawing>
          <wp:inline distT="0" distB="0" distL="0" distR="0" wp14:anchorId="640F4502">
            <wp:extent cx="9734550" cy="3819525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618" cy="3825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4178" w:rsidRDefault="00D04178" w:rsidP="00307541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</w:p>
    <w:p w:rsidR="001C0C79" w:rsidRDefault="009F4EB1" w:rsidP="00307541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9F4EB1">
        <w:drawing>
          <wp:inline distT="0" distB="0" distL="0" distR="0" wp14:anchorId="2F858EEB" wp14:editId="31C8A497">
            <wp:extent cx="9882505" cy="1082929"/>
            <wp:effectExtent l="0" t="0" r="4445" b="317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2505" cy="1082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7E5" w:rsidRDefault="009F4EB1" w:rsidP="00224397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es-PE"/>
        </w:rPr>
        <w:drawing>
          <wp:inline distT="0" distB="0" distL="0" distR="0" wp14:anchorId="0C74DE1C" wp14:editId="7A799456">
            <wp:extent cx="9782175" cy="4819650"/>
            <wp:effectExtent l="0" t="0" r="9525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8960" cy="48229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E07E5" w:rsidSect="001C0C79">
      <w:pgSz w:w="16839" w:h="11907" w:orient="landscape" w:code="9"/>
      <w:pgMar w:top="1134" w:right="567" w:bottom="992" w:left="709" w:header="5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23A" w:rsidRDefault="003B123A" w:rsidP="00E57FB7">
      <w:pPr>
        <w:spacing w:after="0" w:line="240" w:lineRule="auto"/>
      </w:pPr>
      <w:r>
        <w:separator/>
      </w:r>
    </w:p>
  </w:endnote>
  <w:endnote w:type="continuationSeparator" w:id="0">
    <w:p w:rsidR="003B123A" w:rsidRDefault="003B123A" w:rsidP="00E57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23A" w:rsidRDefault="003B123A" w:rsidP="00E57FB7">
      <w:pPr>
        <w:spacing w:after="0" w:line="240" w:lineRule="auto"/>
      </w:pPr>
      <w:r>
        <w:separator/>
      </w:r>
    </w:p>
  </w:footnote>
  <w:footnote w:type="continuationSeparator" w:id="0">
    <w:p w:rsidR="003B123A" w:rsidRDefault="003B123A" w:rsidP="00E57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A0C" w:rsidRDefault="00CD2A0C">
    <w:pPr>
      <w:pStyle w:val="Encabezado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9217DEA" wp14:editId="74E8714A">
              <wp:simplePos x="0" y="0"/>
              <wp:positionH relativeFrom="column">
                <wp:posOffset>2953716</wp:posOffset>
              </wp:positionH>
              <wp:positionV relativeFrom="paragraph">
                <wp:posOffset>-240030</wp:posOffset>
              </wp:positionV>
              <wp:extent cx="3362959" cy="726439"/>
              <wp:effectExtent l="0" t="0" r="9525" b="0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2959" cy="7264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24DDC" w:rsidRDefault="00A24DDC">
                          <w:pPr>
                            <w:rPr>
                              <w:b/>
                              <w:i/>
                              <w:color w:val="E20000"/>
                              <w:sz w:val="20"/>
                              <w:szCs w:val="20"/>
                            </w:rPr>
                          </w:pPr>
                        </w:p>
                        <w:p w:rsidR="00CD2A0C" w:rsidRPr="00330DDD" w:rsidRDefault="00CD2A0C">
                          <w:pPr>
                            <w:rPr>
                              <w:b/>
                              <w:i/>
                              <w:color w:val="E20000"/>
                              <w:sz w:val="20"/>
                              <w:szCs w:val="20"/>
                            </w:rPr>
                          </w:pPr>
                          <w:r w:rsidRPr="00330DDD">
                            <w:rPr>
                              <w:b/>
                              <w:i/>
                              <w:color w:val="E20000"/>
                              <w:sz w:val="20"/>
                              <w:szCs w:val="20"/>
                            </w:rPr>
                            <w:t>Fondo de Cooperación para el Desarrollo Social - FONCODES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32.6pt;margin-top:-18.9pt;width:264.8pt;height:57.2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" stroked="f">
              <v:textbox style="mso-fit-shape-to-text:t">
                <w:txbxContent>
                  <w:p w:rsidR="00A24DDC" w:rsidRDefault="00A24DDC">
                    <w:pPr>
                      <w:rPr>
                        <w:b/>
                        <w:i/>
                        <w:color w:val="E20000"/>
                        <w:sz w:val="20"/>
                        <w:szCs w:val="20"/>
                      </w:rPr>
                    </w:pPr>
                  </w:p>
                  <w:p w:rsidR="00CD2A0C" w:rsidRPr="00330DDD" w:rsidRDefault="00CD2A0C">
                    <w:pPr>
                      <w:rPr>
                        <w:b/>
                        <w:i/>
                        <w:color w:val="E20000"/>
                        <w:sz w:val="20"/>
                        <w:szCs w:val="20"/>
                      </w:rPr>
                    </w:pPr>
                    <w:r w:rsidRPr="00330DDD">
                      <w:rPr>
                        <w:b/>
                        <w:i/>
                        <w:color w:val="E20000"/>
                        <w:sz w:val="20"/>
                        <w:szCs w:val="20"/>
                      </w:rPr>
                      <w:t>Fondo de Cooperación para el Desarrollo Social - FONCODES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44F2AAF" wp14:editId="3C25265C">
              <wp:simplePos x="0" y="0"/>
              <wp:positionH relativeFrom="column">
                <wp:posOffset>-770890</wp:posOffset>
              </wp:positionH>
              <wp:positionV relativeFrom="paragraph">
                <wp:posOffset>340995</wp:posOffset>
              </wp:positionV>
              <wp:extent cx="9775833" cy="0"/>
              <wp:effectExtent l="0" t="0" r="15875" b="190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775833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48D7858" id="3 Conector recto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0.7pt,26.85pt" to="709.0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" strokecolor="#4579b8 [304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B42C7"/>
    <w:multiLevelType w:val="hybridMultilevel"/>
    <w:tmpl w:val="EB7E030E"/>
    <w:lvl w:ilvl="0" w:tplc="28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>
    <w:nsid w:val="42CA79E9"/>
    <w:multiLevelType w:val="hybridMultilevel"/>
    <w:tmpl w:val="3C3C42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723CD5"/>
    <w:multiLevelType w:val="hybridMultilevel"/>
    <w:tmpl w:val="EE4C762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FB7"/>
    <w:rsid w:val="000149BB"/>
    <w:rsid w:val="00031C0E"/>
    <w:rsid w:val="000321B7"/>
    <w:rsid w:val="00034517"/>
    <w:rsid w:val="000373C2"/>
    <w:rsid w:val="00040160"/>
    <w:rsid w:val="0004647A"/>
    <w:rsid w:val="0005797B"/>
    <w:rsid w:val="0006061E"/>
    <w:rsid w:val="00062754"/>
    <w:rsid w:val="00065E3C"/>
    <w:rsid w:val="00065FBA"/>
    <w:rsid w:val="000733C0"/>
    <w:rsid w:val="000806E8"/>
    <w:rsid w:val="000917F4"/>
    <w:rsid w:val="00092A7D"/>
    <w:rsid w:val="000936CE"/>
    <w:rsid w:val="0009543B"/>
    <w:rsid w:val="000A642D"/>
    <w:rsid w:val="000A67AD"/>
    <w:rsid w:val="000A70C0"/>
    <w:rsid w:val="000B06DD"/>
    <w:rsid w:val="000B1725"/>
    <w:rsid w:val="000C24AE"/>
    <w:rsid w:val="000C3588"/>
    <w:rsid w:val="000C40F1"/>
    <w:rsid w:val="000C7022"/>
    <w:rsid w:val="000D0F48"/>
    <w:rsid w:val="000D16AB"/>
    <w:rsid w:val="000D373D"/>
    <w:rsid w:val="000D391D"/>
    <w:rsid w:val="000D3E2C"/>
    <w:rsid w:val="00101644"/>
    <w:rsid w:val="0010352D"/>
    <w:rsid w:val="001041B7"/>
    <w:rsid w:val="00104C93"/>
    <w:rsid w:val="001073EA"/>
    <w:rsid w:val="00107B2B"/>
    <w:rsid w:val="00122865"/>
    <w:rsid w:val="00130A95"/>
    <w:rsid w:val="001356DF"/>
    <w:rsid w:val="001506F9"/>
    <w:rsid w:val="00157A48"/>
    <w:rsid w:val="00157FF0"/>
    <w:rsid w:val="0016029F"/>
    <w:rsid w:val="001610AE"/>
    <w:rsid w:val="00163EB5"/>
    <w:rsid w:val="001669C6"/>
    <w:rsid w:val="00176064"/>
    <w:rsid w:val="00176C4F"/>
    <w:rsid w:val="0018231C"/>
    <w:rsid w:val="00187A22"/>
    <w:rsid w:val="001A0852"/>
    <w:rsid w:val="001A3D48"/>
    <w:rsid w:val="001A47F3"/>
    <w:rsid w:val="001A5253"/>
    <w:rsid w:val="001B1FCA"/>
    <w:rsid w:val="001B3760"/>
    <w:rsid w:val="001B3DAD"/>
    <w:rsid w:val="001B6D04"/>
    <w:rsid w:val="001B7BDD"/>
    <w:rsid w:val="001C09F4"/>
    <w:rsid w:val="001C0C79"/>
    <w:rsid w:val="001D2419"/>
    <w:rsid w:val="001E3E94"/>
    <w:rsid w:val="001E5111"/>
    <w:rsid w:val="001E5BC3"/>
    <w:rsid w:val="001E6539"/>
    <w:rsid w:val="001E72F2"/>
    <w:rsid w:val="001F0BD4"/>
    <w:rsid w:val="001F3EC1"/>
    <w:rsid w:val="001F5E5E"/>
    <w:rsid w:val="001F7563"/>
    <w:rsid w:val="00204241"/>
    <w:rsid w:val="002071D0"/>
    <w:rsid w:val="0021100D"/>
    <w:rsid w:val="00211801"/>
    <w:rsid w:val="002119B6"/>
    <w:rsid w:val="00214283"/>
    <w:rsid w:val="00217A13"/>
    <w:rsid w:val="00222C80"/>
    <w:rsid w:val="00224397"/>
    <w:rsid w:val="00225165"/>
    <w:rsid w:val="002338D6"/>
    <w:rsid w:val="00240CD9"/>
    <w:rsid w:val="00241F49"/>
    <w:rsid w:val="00245A25"/>
    <w:rsid w:val="002472D4"/>
    <w:rsid w:val="00260C4B"/>
    <w:rsid w:val="00270B50"/>
    <w:rsid w:val="00275DB6"/>
    <w:rsid w:val="002772ED"/>
    <w:rsid w:val="00282ED2"/>
    <w:rsid w:val="00283742"/>
    <w:rsid w:val="00291EE0"/>
    <w:rsid w:val="0029291F"/>
    <w:rsid w:val="002948FD"/>
    <w:rsid w:val="002A343C"/>
    <w:rsid w:val="002A7052"/>
    <w:rsid w:val="002B3758"/>
    <w:rsid w:val="002B6607"/>
    <w:rsid w:val="002B6DDD"/>
    <w:rsid w:val="002C0A36"/>
    <w:rsid w:val="002C1294"/>
    <w:rsid w:val="002C4680"/>
    <w:rsid w:val="002C54E1"/>
    <w:rsid w:val="002D36FE"/>
    <w:rsid w:val="002D67F9"/>
    <w:rsid w:val="002D697C"/>
    <w:rsid w:val="002E0671"/>
    <w:rsid w:val="002E3142"/>
    <w:rsid w:val="002F128F"/>
    <w:rsid w:val="002F40FE"/>
    <w:rsid w:val="002F486F"/>
    <w:rsid w:val="00303FDF"/>
    <w:rsid w:val="00305AF7"/>
    <w:rsid w:val="00306CC1"/>
    <w:rsid w:val="00307541"/>
    <w:rsid w:val="003205F6"/>
    <w:rsid w:val="00321FA1"/>
    <w:rsid w:val="0032620B"/>
    <w:rsid w:val="00326FB6"/>
    <w:rsid w:val="00330DDD"/>
    <w:rsid w:val="00334A5E"/>
    <w:rsid w:val="00340D32"/>
    <w:rsid w:val="00341007"/>
    <w:rsid w:val="0034393B"/>
    <w:rsid w:val="00352464"/>
    <w:rsid w:val="00355E50"/>
    <w:rsid w:val="00357120"/>
    <w:rsid w:val="00360F8C"/>
    <w:rsid w:val="00366987"/>
    <w:rsid w:val="00370E3A"/>
    <w:rsid w:val="0037328D"/>
    <w:rsid w:val="003734AB"/>
    <w:rsid w:val="00373D82"/>
    <w:rsid w:val="00383F77"/>
    <w:rsid w:val="003848D2"/>
    <w:rsid w:val="00384AFE"/>
    <w:rsid w:val="003858D9"/>
    <w:rsid w:val="00395DB5"/>
    <w:rsid w:val="00396C6C"/>
    <w:rsid w:val="003A221D"/>
    <w:rsid w:val="003A7A55"/>
    <w:rsid w:val="003B123A"/>
    <w:rsid w:val="003B3CB1"/>
    <w:rsid w:val="003B3D70"/>
    <w:rsid w:val="003B6985"/>
    <w:rsid w:val="003D0C92"/>
    <w:rsid w:val="003D3BAB"/>
    <w:rsid w:val="003D696C"/>
    <w:rsid w:val="003E0973"/>
    <w:rsid w:val="003E35B1"/>
    <w:rsid w:val="003E4C44"/>
    <w:rsid w:val="003F16B7"/>
    <w:rsid w:val="003F3988"/>
    <w:rsid w:val="003F4099"/>
    <w:rsid w:val="003F43AA"/>
    <w:rsid w:val="003F45CC"/>
    <w:rsid w:val="003F464B"/>
    <w:rsid w:val="00401AE4"/>
    <w:rsid w:val="004023BA"/>
    <w:rsid w:val="004038EB"/>
    <w:rsid w:val="00425B11"/>
    <w:rsid w:val="0044067D"/>
    <w:rsid w:val="00450944"/>
    <w:rsid w:val="00452CF6"/>
    <w:rsid w:val="00456710"/>
    <w:rsid w:val="004573E9"/>
    <w:rsid w:val="0046183C"/>
    <w:rsid w:val="004711F3"/>
    <w:rsid w:val="00472EE9"/>
    <w:rsid w:val="0047462C"/>
    <w:rsid w:val="00476B57"/>
    <w:rsid w:val="004850BD"/>
    <w:rsid w:val="00492ECB"/>
    <w:rsid w:val="004938C2"/>
    <w:rsid w:val="00493965"/>
    <w:rsid w:val="004A1672"/>
    <w:rsid w:val="004A1CCC"/>
    <w:rsid w:val="004B1056"/>
    <w:rsid w:val="004C1F17"/>
    <w:rsid w:val="004C38F5"/>
    <w:rsid w:val="004C5EF5"/>
    <w:rsid w:val="004C69C2"/>
    <w:rsid w:val="004C6D7D"/>
    <w:rsid w:val="004D0C92"/>
    <w:rsid w:val="004D37BF"/>
    <w:rsid w:val="004D7193"/>
    <w:rsid w:val="004E7B42"/>
    <w:rsid w:val="004F1F79"/>
    <w:rsid w:val="004F243C"/>
    <w:rsid w:val="004F5C9C"/>
    <w:rsid w:val="005028A5"/>
    <w:rsid w:val="0051228A"/>
    <w:rsid w:val="00515F13"/>
    <w:rsid w:val="00516B04"/>
    <w:rsid w:val="00523B50"/>
    <w:rsid w:val="00527133"/>
    <w:rsid w:val="00527FF7"/>
    <w:rsid w:val="005321D1"/>
    <w:rsid w:val="00533E94"/>
    <w:rsid w:val="0054430E"/>
    <w:rsid w:val="0054465F"/>
    <w:rsid w:val="00545444"/>
    <w:rsid w:val="00545875"/>
    <w:rsid w:val="005469F7"/>
    <w:rsid w:val="005511F2"/>
    <w:rsid w:val="005515DC"/>
    <w:rsid w:val="0055603D"/>
    <w:rsid w:val="00557AF3"/>
    <w:rsid w:val="00563443"/>
    <w:rsid w:val="00563B29"/>
    <w:rsid w:val="00566BF2"/>
    <w:rsid w:val="00570242"/>
    <w:rsid w:val="00574C91"/>
    <w:rsid w:val="005819C9"/>
    <w:rsid w:val="005852B7"/>
    <w:rsid w:val="00590D86"/>
    <w:rsid w:val="00593A9B"/>
    <w:rsid w:val="00595CFD"/>
    <w:rsid w:val="005A17EB"/>
    <w:rsid w:val="005A3B58"/>
    <w:rsid w:val="005B03D4"/>
    <w:rsid w:val="005C2832"/>
    <w:rsid w:val="005C5E5B"/>
    <w:rsid w:val="005C5FA2"/>
    <w:rsid w:val="005D0A70"/>
    <w:rsid w:val="005D777A"/>
    <w:rsid w:val="005E0048"/>
    <w:rsid w:val="005E07E5"/>
    <w:rsid w:val="005E09CC"/>
    <w:rsid w:val="005E3001"/>
    <w:rsid w:val="005F05D0"/>
    <w:rsid w:val="005F4987"/>
    <w:rsid w:val="006044D6"/>
    <w:rsid w:val="006102F3"/>
    <w:rsid w:val="00612F5D"/>
    <w:rsid w:val="006135AE"/>
    <w:rsid w:val="0061507C"/>
    <w:rsid w:val="00624EDB"/>
    <w:rsid w:val="00625AE7"/>
    <w:rsid w:val="00630CE6"/>
    <w:rsid w:val="00630CF0"/>
    <w:rsid w:val="00641F81"/>
    <w:rsid w:val="00643934"/>
    <w:rsid w:val="00644D40"/>
    <w:rsid w:val="0065358E"/>
    <w:rsid w:val="00655F4E"/>
    <w:rsid w:val="0065691F"/>
    <w:rsid w:val="00670934"/>
    <w:rsid w:val="00677EE5"/>
    <w:rsid w:val="00680115"/>
    <w:rsid w:val="00686247"/>
    <w:rsid w:val="006924C4"/>
    <w:rsid w:val="0069316F"/>
    <w:rsid w:val="006A09A6"/>
    <w:rsid w:val="006A3C24"/>
    <w:rsid w:val="006B0B23"/>
    <w:rsid w:val="006B34BD"/>
    <w:rsid w:val="006B4903"/>
    <w:rsid w:val="006B4EB5"/>
    <w:rsid w:val="006B61EC"/>
    <w:rsid w:val="006C2CF5"/>
    <w:rsid w:val="006D2F06"/>
    <w:rsid w:val="006E68F1"/>
    <w:rsid w:val="006F1378"/>
    <w:rsid w:val="006F2543"/>
    <w:rsid w:val="00704DE6"/>
    <w:rsid w:val="00705EA7"/>
    <w:rsid w:val="00713D3D"/>
    <w:rsid w:val="007178C4"/>
    <w:rsid w:val="00724A81"/>
    <w:rsid w:val="00731DDB"/>
    <w:rsid w:val="007322B8"/>
    <w:rsid w:val="007324BB"/>
    <w:rsid w:val="00740E7C"/>
    <w:rsid w:val="007437C1"/>
    <w:rsid w:val="00764018"/>
    <w:rsid w:val="00766E51"/>
    <w:rsid w:val="00773E11"/>
    <w:rsid w:val="00777542"/>
    <w:rsid w:val="00782FD4"/>
    <w:rsid w:val="007903E6"/>
    <w:rsid w:val="00791881"/>
    <w:rsid w:val="00794574"/>
    <w:rsid w:val="00797783"/>
    <w:rsid w:val="007A0A05"/>
    <w:rsid w:val="007A528C"/>
    <w:rsid w:val="007A52D9"/>
    <w:rsid w:val="007B6DAF"/>
    <w:rsid w:val="007C0847"/>
    <w:rsid w:val="007C0B43"/>
    <w:rsid w:val="007C11AA"/>
    <w:rsid w:val="007C2867"/>
    <w:rsid w:val="007C6D73"/>
    <w:rsid w:val="007D0CFA"/>
    <w:rsid w:val="007D1846"/>
    <w:rsid w:val="007D527F"/>
    <w:rsid w:val="007D5CBE"/>
    <w:rsid w:val="007E033E"/>
    <w:rsid w:val="007F20DF"/>
    <w:rsid w:val="00813543"/>
    <w:rsid w:val="00813EB6"/>
    <w:rsid w:val="00815ADE"/>
    <w:rsid w:val="00816D64"/>
    <w:rsid w:val="00825E3D"/>
    <w:rsid w:val="00826697"/>
    <w:rsid w:val="00832488"/>
    <w:rsid w:val="00835FBA"/>
    <w:rsid w:val="00844DF8"/>
    <w:rsid w:val="00845151"/>
    <w:rsid w:val="00846F77"/>
    <w:rsid w:val="00852061"/>
    <w:rsid w:val="008520AC"/>
    <w:rsid w:val="0085531D"/>
    <w:rsid w:val="0086436E"/>
    <w:rsid w:val="008653A1"/>
    <w:rsid w:val="00865D38"/>
    <w:rsid w:val="00866754"/>
    <w:rsid w:val="008733C4"/>
    <w:rsid w:val="0087780F"/>
    <w:rsid w:val="00884F30"/>
    <w:rsid w:val="00886171"/>
    <w:rsid w:val="0088656E"/>
    <w:rsid w:val="008900BF"/>
    <w:rsid w:val="008B30A7"/>
    <w:rsid w:val="008B331B"/>
    <w:rsid w:val="008C483B"/>
    <w:rsid w:val="008C6ED2"/>
    <w:rsid w:val="008D1E0A"/>
    <w:rsid w:val="008D5027"/>
    <w:rsid w:val="008D6040"/>
    <w:rsid w:val="008E5F92"/>
    <w:rsid w:val="008E79CD"/>
    <w:rsid w:val="008F0E0A"/>
    <w:rsid w:val="008F2C78"/>
    <w:rsid w:val="008F3CB1"/>
    <w:rsid w:val="00900315"/>
    <w:rsid w:val="009015BE"/>
    <w:rsid w:val="00902BC8"/>
    <w:rsid w:val="009048FB"/>
    <w:rsid w:val="00911F81"/>
    <w:rsid w:val="00912ED7"/>
    <w:rsid w:val="00914CB9"/>
    <w:rsid w:val="00914FAC"/>
    <w:rsid w:val="009269A8"/>
    <w:rsid w:val="0092712A"/>
    <w:rsid w:val="00932318"/>
    <w:rsid w:val="00937940"/>
    <w:rsid w:val="00940D4D"/>
    <w:rsid w:val="00963827"/>
    <w:rsid w:val="0096627E"/>
    <w:rsid w:val="009667BC"/>
    <w:rsid w:val="00966A31"/>
    <w:rsid w:val="00975948"/>
    <w:rsid w:val="0098138D"/>
    <w:rsid w:val="00982C27"/>
    <w:rsid w:val="00985AA6"/>
    <w:rsid w:val="00991986"/>
    <w:rsid w:val="009A1636"/>
    <w:rsid w:val="009A349F"/>
    <w:rsid w:val="009A56F2"/>
    <w:rsid w:val="009A5D10"/>
    <w:rsid w:val="009B4F08"/>
    <w:rsid w:val="009B6555"/>
    <w:rsid w:val="009C014E"/>
    <w:rsid w:val="009D0966"/>
    <w:rsid w:val="009E2186"/>
    <w:rsid w:val="009E50D7"/>
    <w:rsid w:val="009F0C5D"/>
    <w:rsid w:val="009F1A38"/>
    <w:rsid w:val="009F4EB1"/>
    <w:rsid w:val="009F5280"/>
    <w:rsid w:val="009F5C29"/>
    <w:rsid w:val="009F7033"/>
    <w:rsid w:val="009F79A4"/>
    <w:rsid w:val="00A00248"/>
    <w:rsid w:val="00A05DB5"/>
    <w:rsid w:val="00A1156A"/>
    <w:rsid w:val="00A11865"/>
    <w:rsid w:val="00A22E75"/>
    <w:rsid w:val="00A233D1"/>
    <w:rsid w:val="00A24DDC"/>
    <w:rsid w:val="00A31399"/>
    <w:rsid w:val="00A33823"/>
    <w:rsid w:val="00A36566"/>
    <w:rsid w:val="00A37CBD"/>
    <w:rsid w:val="00A412E7"/>
    <w:rsid w:val="00A43408"/>
    <w:rsid w:val="00A43C7A"/>
    <w:rsid w:val="00A535B4"/>
    <w:rsid w:val="00A61093"/>
    <w:rsid w:val="00A71D40"/>
    <w:rsid w:val="00A77D6E"/>
    <w:rsid w:val="00A917AC"/>
    <w:rsid w:val="00A954E2"/>
    <w:rsid w:val="00A95566"/>
    <w:rsid w:val="00AA4E5C"/>
    <w:rsid w:val="00AB2681"/>
    <w:rsid w:val="00AB2A51"/>
    <w:rsid w:val="00AB3C71"/>
    <w:rsid w:val="00AB5114"/>
    <w:rsid w:val="00AB667C"/>
    <w:rsid w:val="00AC4158"/>
    <w:rsid w:val="00AD034D"/>
    <w:rsid w:val="00AD4D16"/>
    <w:rsid w:val="00AD66F0"/>
    <w:rsid w:val="00AF1E78"/>
    <w:rsid w:val="00AF60E1"/>
    <w:rsid w:val="00B0095F"/>
    <w:rsid w:val="00B05B3B"/>
    <w:rsid w:val="00B10994"/>
    <w:rsid w:val="00B119A5"/>
    <w:rsid w:val="00B17382"/>
    <w:rsid w:val="00B243D3"/>
    <w:rsid w:val="00B24BFF"/>
    <w:rsid w:val="00B26306"/>
    <w:rsid w:val="00B305B4"/>
    <w:rsid w:val="00B30A41"/>
    <w:rsid w:val="00B30A92"/>
    <w:rsid w:val="00B35E1C"/>
    <w:rsid w:val="00B366DE"/>
    <w:rsid w:val="00B407EA"/>
    <w:rsid w:val="00B41F4F"/>
    <w:rsid w:val="00B43A41"/>
    <w:rsid w:val="00B5513D"/>
    <w:rsid w:val="00B576BA"/>
    <w:rsid w:val="00B615DB"/>
    <w:rsid w:val="00B62653"/>
    <w:rsid w:val="00B67180"/>
    <w:rsid w:val="00B7227B"/>
    <w:rsid w:val="00B8128B"/>
    <w:rsid w:val="00B96F8F"/>
    <w:rsid w:val="00BA1D4E"/>
    <w:rsid w:val="00BA620A"/>
    <w:rsid w:val="00BA7645"/>
    <w:rsid w:val="00BB0BDF"/>
    <w:rsid w:val="00BB1719"/>
    <w:rsid w:val="00BB2E1B"/>
    <w:rsid w:val="00BB6095"/>
    <w:rsid w:val="00BC1930"/>
    <w:rsid w:val="00BE6FFE"/>
    <w:rsid w:val="00BF1EE8"/>
    <w:rsid w:val="00BF39C4"/>
    <w:rsid w:val="00BF7668"/>
    <w:rsid w:val="00C03A3B"/>
    <w:rsid w:val="00C03C36"/>
    <w:rsid w:val="00C138DB"/>
    <w:rsid w:val="00C17A41"/>
    <w:rsid w:val="00C17EE5"/>
    <w:rsid w:val="00C24D8F"/>
    <w:rsid w:val="00C25254"/>
    <w:rsid w:val="00C25E25"/>
    <w:rsid w:val="00C342E5"/>
    <w:rsid w:val="00C364AF"/>
    <w:rsid w:val="00C37483"/>
    <w:rsid w:val="00C43A07"/>
    <w:rsid w:val="00C71E6A"/>
    <w:rsid w:val="00C72EB6"/>
    <w:rsid w:val="00C734D3"/>
    <w:rsid w:val="00C756E7"/>
    <w:rsid w:val="00C84452"/>
    <w:rsid w:val="00C8454C"/>
    <w:rsid w:val="00CA0DFF"/>
    <w:rsid w:val="00CA21AC"/>
    <w:rsid w:val="00CA5E94"/>
    <w:rsid w:val="00CA6624"/>
    <w:rsid w:val="00CA6C6B"/>
    <w:rsid w:val="00CB20C8"/>
    <w:rsid w:val="00CB6B33"/>
    <w:rsid w:val="00CC45E2"/>
    <w:rsid w:val="00CD2A0C"/>
    <w:rsid w:val="00CD622A"/>
    <w:rsid w:val="00CD7444"/>
    <w:rsid w:val="00CD7C2B"/>
    <w:rsid w:val="00CE0804"/>
    <w:rsid w:val="00CE572F"/>
    <w:rsid w:val="00CF3429"/>
    <w:rsid w:val="00CF7620"/>
    <w:rsid w:val="00D01CF3"/>
    <w:rsid w:val="00D04178"/>
    <w:rsid w:val="00D07A48"/>
    <w:rsid w:val="00D1391F"/>
    <w:rsid w:val="00D13AFD"/>
    <w:rsid w:val="00D30A98"/>
    <w:rsid w:val="00D409A2"/>
    <w:rsid w:val="00D4422A"/>
    <w:rsid w:val="00D44D22"/>
    <w:rsid w:val="00D63B81"/>
    <w:rsid w:val="00D7527F"/>
    <w:rsid w:val="00D774C6"/>
    <w:rsid w:val="00D80D0B"/>
    <w:rsid w:val="00D80D0E"/>
    <w:rsid w:val="00D8226E"/>
    <w:rsid w:val="00D8749F"/>
    <w:rsid w:val="00D91D0F"/>
    <w:rsid w:val="00D93AC6"/>
    <w:rsid w:val="00D94CCC"/>
    <w:rsid w:val="00D9583D"/>
    <w:rsid w:val="00DA1A27"/>
    <w:rsid w:val="00DA544E"/>
    <w:rsid w:val="00DA67AE"/>
    <w:rsid w:val="00DA73C5"/>
    <w:rsid w:val="00DB1352"/>
    <w:rsid w:val="00DB347B"/>
    <w:rsid w:val="00DB4D70"/>
    <w:rsid w:val="00DB642A"/>
    <w:rsid w:val="00DC0669"/>
    <w:rsid w:val="00DC2BB9"/>
    <w:rsid w:val="00DC41B4"/>
    <w:rsid w:val="00DC7620"/>
    <w:rsid w:val="00DD2F68"/>
    <w:rsid w:val="00DE5F5D"/>
    <w:rsid w:val="00DF234B"/>
    <w:rsid w:val="00DF3745"/>
    <w:rsid w:val="00DF717F"/>
    <w:rsid w:val="00E053A8"/>
    <w:rsid w:val="00E07D51"/>
    <w:rsid w:val="00E145A0"/>
    <w:rsid w:val="00E21F69"/>
    <w:rsid w:val="00E22FC3"/>
    <w:rsid w:val="00E30D0C"/>
    <w:rsid w:val="00E30DB0"/>
    <w:rsid w:val="00E34BC1"/>
    <w:rsid w:val="00E35A27"/>
    <w:rsid w:val="00E422A3"/>
    <w:rsid w:val="00E54D59"/>
    <w:rsid w:val="00E552C5"/>
    <w:rsid w:val="00E57FB7"/>
    <w:rsid w:val="00E64F8B"/>
    <w:rsid w:val="00E661E3"/>
    <w:rsid w:val="00E67BE6"/>
    <w:rsid w:val="00E71197"/>
    <w:rsid w:val="00E73CB2"/>
    <w:rsid w:val="00E7484D"/>
    <w:rsid w:val="00E76144"/>
    <w:rsid w:val="00E778F2"/>
    <w:rsid w:val="00E801E9"/>
    <w:rsid w:val="00E90F39"/>
    <w:rsid w:val="00E96178"/>
    <w:rsid w:val="00EA5CFC"/>
    <w:rsid w:val="00EA5DC9"/>
    <w:rsid w:val="00EB3B87"/>
    <w:rsid w:val="00EB3C47"/>
    <w:rsid w:val="00EC1C9A"/>
    <w:rsid w:val="00EC1F50"/>
    <w:rsid w:val="00EC32AE"/>
    <w:rsid w:val="00EC40F8"/>
    <w:rsid w:val="00EC7E70"/>
    <w:rsid w:val="00ED6CCA"/>
    <w:rsid w:val="00EF2233"/>
    <w:rsid w:val="00EF6C6E"/>
    <w:rsid w:val="00F00DAD"/>
    <w:rsid w:val="00F048C5"/>
    <w:rsid w:val="00F07A41"/>
    <w:rsid w:val="00F1013F"/>
    <w:rsid w:val="00F10B32"/>
    <w:rsid w:val="00F11543"/>
    <w:rsid w:val="00F14D58"/>
    <w:rsid w:val="00F16C6F"/>
    <w:rsid w:val="00F22340"/>
    <w:rsid w:val="00F24BDC"/>
    <w:rsid w:val="00F2796B"/>
    <w:rsid w:val="00F30B91"/>
    <w:rsid w:val="00F33249"/>
    <w:rsid w:val="00F353D3"/>
    <w:rsid w:val="00F35E89"/>
    <w:rsid w:val="00F365EE"/>
    <w:rsid w:val="00F52CB1"/>
    <w:rsid w:val="00F66666"/>
    <w:rsid w:val="00F670EE"/>
    <w:rsid w:val="00F67483"/>
    <w:rsid w:val="00F67941"/>
    <w:rsid w:val="00F72CA3"/>
    <w:rsid w:val="00F77D5D"/>
    <w:rsid w:val="00F816DA"/>
    <w:rsid w:val="00F83DD2"/>
    <w:rsid w:val="00F951D6"/>
    <w:rsid w:val="00F97B3A"/>
    <w:rsid w:val="00F97B77"/>
    <w:rsid w:val="00FA54E3"/>
    <w:rsid w:val="00FA57F8"/>
    <w:rsid w:val="00FA5BD0"/>
    <w:rsid w:val="00FB4CCD"/>
    <w:rsid w:val="00FB75B9"/>
    <w:rsid w:val="00FC5579"/>
    <w:rsid w:val="00FE2161"/>
    <w:rsid w:val="00FF60AD"/>
    <w:rsid w:val="00FF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EF5"/>
  </w:style>
  <w:style w:type="paragraph" w:styleId="Ttulo1">
    <w:name w:val="heading 1"/>
    <w:basedOn w:val="Normal"/>
    <w:next w:val="Normal"/>
    <w:link w:val="Ttulo1Car"/>
    <w:uiPriority w:val="9"/>
    <w:qFormat/>
    <w:rsid w:val="004C5EF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C5EF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C5EF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C5EF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C5EF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C5EF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C5EF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C5EF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C5EF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7F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7FB7"/>
  </w:style>
  <w:style w:type="paragraph" w:styleId="Piedepgina">
    <w:name w:val="footer"/>
    <w:basedOn w:val="Normal"/>
    <w:link w:val="PiedepginaCar"/>
    <w:uiPriority w:val="99"/>
    <w:unhideWhenUsed/>
    <w:rsid w:val="00E57F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7FB7"/>
  </w:style>
  <w:style w:type="paragraph" w:styleId="Textodeglobo">
    <w:name w:val="Balloon Text"/>
    <w:basedOn w:val="Normal"/>
    <w:link w:val="TextodegloboCar"/>
    <w:uiPriority w:val="99"/>
    <w:semiHidden/>
    <w:unhideWhenUsed/>
    <w:rsid w:val="00E57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7FB7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4C5EF5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C72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21F69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semiHidden/>
    <w:rsid w:val="00570242"/>
    <w:pPr>
      <w:spacing w:after="0" w:line="240" w:lineRule="auto"/>
      <w:ind w:left="5220" w:hanging="126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570242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4C5EF5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C5EF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C5EF5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C5EF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C5EF5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C5EF5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C5EF5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C5EF5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C5EF5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4C5EF5"/>
    <w:pPr>
      <w:spacing w:line="240" w:lineRule="auto"/>
    </w:pPr>
    <w:rPr>
      <w:b/>
      <w:bCs/>
      <w:smallCaps/>
      <w:color w:val="1F497D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4C5EF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4C5EF5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4C5EF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C5EF5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4C5EF5"/>
    <w:rPr>
      <w:b/>
      <w:bCs/>
    </w:rPr>
  </w:style>
  <w:style w:type="character" w:styleId="nfasis">
    <w:name w:val="Emphasis"/>
    <w:basedOn w:val="Fuentedeprrafopredeter"/>
    <w:uiPriority w:val="20"/>
    <w:qFormat/>
    <w:rsid w:val="004C5EF5"/>
    <w:rPr>
      <w:i/>
      <w:iCs/>
    </w:rPr>
  </w:style>
  <w:style w:type="paragraph" w:styleId="Cita">
    <w:name w:val="Quote"/>
    <w:basedOn w:val="Normal"/>
    <w:next w:val="Normal"/>
    <w:link w:val="CitaCar"/>
    <w:uiPriority w:val="29"/>
    <w:qFormat/>
    <w:rsid w:val="004C5EF5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4C5EF5"/>
    <w:rPr>
      <w:color w:val="1F497D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C5EF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C5EF5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4C5EF5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4C5EF5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4C5EF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4C5EF5"/>
    <w:rPr>
      <w:b/>
      <w:bCs/>
      <w:smallCaps/>
      <w:color w:val="1F497D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4C5EF5"/>
    <w:rPr>
      <w:b/>
      <w:bCs/>
      <w:smallCaps/>
      <w:spacing w:val="1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C5EF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EF5"/>
  </w:style>
  <w:style w:type="paragraph" w:styleId="Ttulo1">
    <w:name w:val="heading 1"/>
    <w:basedOn w:val="Normal"/>
    <w:next w:val="Normal"/>
    <w:link w:val="Ttulo1Car"/>
    <w:uiPriority w:val="9"/>
    <w:qFormat/>
    <w:rsid w:val="004C5EF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C5EF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C5EF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C5EF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C5EF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C5EF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C5EF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C5EF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C5EF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7F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7FB7"/>
  </w:style>
  <w:style w:type="paragraph" w:styleId="Piedepgina">
    <w:name w:val="footer"/>
    <w:basedOn w:val="Normal"/>
    <w:link w:val="PiedepginaCar"/>
    <w:uiPriority w:val="99"/>
    <w:unhideWhenUsed/>
    <w:rsid w:val="00E57F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7FB7"/>
  </w:style>
  <w:style w:type="paragraph" w:styleId="Textodeglobo">
    <w:name w:val="Balloon Text"/>
    <w:basedOn w:val="Normal"/>
    <w:link w:val="TextodegloboCar"/>
    <w:uiPriority w:val="99"/>
    <w:semiHidden/>
    <w:unhideWhenUsed/>
    <w:rsid w:val="00E57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7FB7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4C5EF5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C72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21F69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semiHidden/>
    <w:rsid w:val="00570242"/>
    <w:pPr>
      <w:spacing w:after="0" w:line="240" w:lineRule="auto"/>
      <w:ind w:left="5220" w:hanging="126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570242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4C5EF5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C5EF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C5EF5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C5EF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C5EF5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C5EF5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C5EF5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C5EF5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C5EF5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4C5EF5"/>
    <w:pPr>
      <w:spacing w:line="240" w:lineRule="auto"/>
    </w:pPr>
    <w:rPr>
      <w:b/>
      <w:bCs/>
      <w:smallCaps/>
      <w:color w:val="1F497D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4C5EF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4C5EF5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4C5EF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C5EF5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4C5EF5"/>
    <w:rPr>
      <w:b/>
      <w:bCs/>
    </w:rPr>
  </w:style>
  <w:style w:type="character" w:styleId="nfasis">
    <w:name w:val="Emphasis"/>
    <w:basedOn w:val="Fuentedeprrafopredeter"/>
    <w:uiPriority w:val="20"/>
    <w:qFormat/>
    <w:rsid w:val="004C5EF5"/>
    <w:rPr>
      <w:i/>
      <w:iCs/>
    </w:rPr>
  </w:style>
  <w:style w:type="paragraph" w:styleId="Cita">
    <w:name w:val="Quote"/>
    <w:basedOn w:val="Normal"/>
    <w:next w:val="Normal"/>
    <w:link w:val="CitaCar"/>
    <w:uiPriority w:val="29"/>
    <w:qFormat/>
    <w:rsid w:val="004C5EF5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4C5EF5"/>
    <w:rPr>
      <w:color w:val="1F497D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C5EF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C5EF5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4C5EF5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4C5EF5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4C5EF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4C5EF5"/>
    <w:rPr>
      <w:b/>
      <w:bCs/>
      <w:smallCaps/>
      <w:color w:val="1F497D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4C5EF5"/>
    <w:rPr>
      <w:b/>
      <w:bCs/>
      <w:smallCaps/>
      <w:spacing w:val="1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C5EF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package" Target="embeddings/Microsoft_Excel_Worksheet2.xlsx"/><Relationship Id="rId18" Type="http://schemas.openxmlformats.org/officeDocument/2006/relationships/package" Target="embeddings/Microsoft_Excel_Worksheet4.xlsx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image" Target="media/image6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3.xlsx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package" Target="embeddings/Microsoft_Excel_Worksheet1.xlsx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5.emf"/><Relationship Id="rId23" Type="http://schemas.openxmlformats.org/officeDocument/2006/relationships/image" Target="media/image10.png"/><Relationship Id="rId10" Type="http://schemas.openxmlformats.org/officeDocument/2006/relationships/image" Target="media/image2.wmf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65375-91DE-41DF-84D3-7C557EBEE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4811</TotalTime>
  <Pages>6</Pages>
  <Words>1134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FONCODES - MIMDES</Company>
  <LinksUpToDate>false</LinksUpToDate>
  <CharactersWithSpaces>7362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Chimpen Balarezo</dc:creator>
  <cp:lastModifiedBy>Juana Huerto Valdivia</cp:lastModifiedBy>
  <cp:revision>52</cp:revision>
  <cp:lastPrinted>2020-01-14T17:19:00Z</cp:lastPrinted>
  <dcterms:created xsi:type="dcterms:W3CDTF">2020-10-08T03:11:00Z</dcterms:created>
  <dcterms:modified xsi:type="dcterms:W3CDTF">2021-02-03T00:32:00Z</dcterms:modified>
</cp:coreProperties>
</file>