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hyperlink r:id="rId6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Oficio 529-2022-CG_OC0191 (1).pdf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highlight w:val="yellow"/>
        </w:rPr>
      </w:pP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Informe de Servicio Relacionado OCI - 15-11-22.pdf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este documento corresponde al medio de verificación iii)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highlight w:val="yellow"/>
        </w:rPr>
      </w:pP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Informe de Servicio Relacionado N° 2-0191-2022-007.1-OCI/MINSA “Seguimiento a las Acciones para el Tratamiento de Situaciones Adversas Resultantes del Servicio de Control Simultáneo”. Período: 1 de enero al 30 de junio de 2022.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rive.google.com/file/d/1RkNIUmvKsF7090qVPQKC_Ha-9qlQcLvV/view?usp=share_link" TargetMode="External"/><Relationship Id="rId7" Type="http://schemas.openxmlformats.org/officeDocument/2006/relationships/hyperlink" Target="https://drive.google.com/file/d/1sJvJAOvXvAtg35czloP5CoAKAEwc1yUG/view?usp=share_link" TargetMode="External"/><Relationship Id="rId8" Type="http://schemas.openxmlformats.org/officeDocument/2006/relationships/hyperlink" Target="https://docs.google.com/spreadsheets/d/10_M8W0jl5FdeD3MjT48pmsDa-8WbWb8l/edit?usp=share_link&amp;ouid=117541763355539034708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