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DECRERTO DE ALCALDÍA N° 001-2023-MDM</w:t>
      </w:r>
      <w:r w:rsidDel="00000000" w:rsidR="00000000" w:rsidRPr="00000000">
        <w:rPr>
          <w:rtl w:val="0"/>
        </w:rPr>
      </w:r>
    </w:p>
    <w:p w:rsidR="00000000" w:rsidDel="00000000" w:rsidP="00000000" w:rsidRDefault="00000000" w:rsidRPr="00000000" w14:paraId="00000002">
      <w:pPr>
        <w:tabs>
          <w:tab w:val="left" w:leader="none" w:pos="1170"/>
          <w:tab w:val="left" w:leader="none" w:pos="1230"/>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ab/>
      </w:r>
    </w:p>
    <w:p w:rsidR="00000000" w:rsidDel="00000000" w:rsidP="00000000" w:rsidRDefault="00000000" w:rsidRPr="00000000" w14:paraId="00000003">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4">
      <w:pPr>
        <w:ind w:left="1416" w:firstLine="707.9999999999998"/>
        <w:jc w:val="right"/>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Marcará, 05 de abril 2023.</w:t>
      </w:r>
    </w:p>
    <w:p w:rsidR="00000000" w:rsidDel="00000000" w:rsidP="00000000" w:rsidRDefault="00000000" w:rsidRPr="00000000" w14:paraId="00000005">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6">
      <w:pPr>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EL ALCALDE DE LA MUNICIPALIDAD DISTRITAL DE MARCARA</w:t>
      </w:r>
      <w:r w:rsidDel="00000000" w:rsidR="00000000" w:rsidRPr="00000000">
        <w:rPr>
          <w:rtl w:val="0"/>
        </w:rPr>
      </w:r>
    </w:p>
    <w:p w:rsidR="00000000" w:rsidDel="00000000" w:rsidP="00000000" w:rsidRDefault="00000000" w:rsidRPr="00000000" w14:paraId="00000007">
      <w:pPr>
        <w:jc w:val="both"/>
        <w:rPr>
          <w:rFonts w:ascii="Arial" w:cs="Arial" w:eastAsia="Arial" w:hAnsi="Arial"/>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-1080134</wp:posOffset>
            </wp:positionH>
            <wp:positionV relativeFrom="paragraph">
              <wp:posOffset>266065</wp:posOffset>
            </wp:positionV>
            <wp:extent cx="990600" cy="1171575"/>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990600" cy="1171575"/>
                    </a:xfrm>
                    <a:prstGeom prst="rect"/>
                    <a:ln/>
                  </pic:spPr>
                </pic:pic>
              </a:graphicData>
            </a:graphic>
          </wp:anchor>
        </w:drawing>
      </w:r>
    </w:p>
    <w:p w:rsidR="00000000" w:rsidDel="00000000" w:rsidP="00000000" w:rsidRDefault="00000000" w:rsidRPr="00000000" w14:paraId="00000008">
      <w:pPr>
        <w:tabs>
          <w:tab w:val="left" w:leader="none" w:pos="4928"/>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9">
      <w:pPr>
        <w:shd w:fill="ffffff" w:val="clear"/>
        <w:spacing w:after="150" w:lineRule="auto"/>
        <w:ind w:firstLine="708"/>
        <w:jc w:val="both"/>
        <w:rPr>
          <w:rFonts w:ascii="Arial" w:cs="Arial" w:eastAsia="Arial" w:hAnsi="Arial"/>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VISTO:</w:t>
      </w:r>
      <w:r w:rsidDel="00000000" w:rsidR="00000000" w:rsidRPr="00000000">
        <w:rPr>
          <w:rFonts w:ascii="Arial" w:cs="Arial" w:eastAsia="Arial" w:hAnsi="Arial"/>
          <w:color w:val="000000"/>
          <w:sz w:val="18"/>
          <w:szCs w:val="18"/>
          <w:vertAlign w:val="baseline"/>
          <w:rtl w:val="0"/>
        </w:rPr>
        <w:t xml:space="preserve"> La Ordenanza Municipal N° 003-2023-MDM, de fecha 4 de abril y el Informe Nº 015 – 2023 – GM/MDM, de fecha 03 de abril de 2023, respecto la ordenanza municipal que aprueba el Reglamento Marco para el Desarrollo de las Audiencias Públicas Municipales de Rendición de Cuentas de la Municipalidad Distrital de Marcará; y,</w:t>
      </w:r>
    </w:p>
    <w:p w:rsidR="00000000" w:rsidDel="00000000" w:rsidP="00000000" w:rsidRDefault="00000000" w:rsidRPr="00000000" w14:paraId="0000000A">
      <w:pPr>
        <w:shd w:fill="ffffff" w:val="clear"/>
        <w:spacing w:after="150" w:lineRule="auto"/>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CONSIDERANDO:</w:t>
      </w:r>
      <w:r w:rsidDel="00000000" w:rsidR="00000000" w:rsidRPr="00000000">
        <w:rPr>
          <w:rtl w:val="0"/>
        </w:rPr>
      </w:r>
    </w:p>
    <w:p w:rsidR="00000000" w:rsidDel="00000000" w:rsidP="00000000" w:rsidRDefault="00000000" w:rsidRPr="00000000" w14:paraId="0000000B">
      <w:pPr>
        <w:shd w:fill="ffffff" w:val="clear"/>
        <w:spacing w:after="150" w:lineRule="auto"/>
        <w:ind w:firstLine="708"/>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Que, la Constitución Política del Perú señala en su artículo 194º que las Municipalidades son órgano de Gobierno Local que tienen autonomía política, económica y administrativa en los asuntos de su competencia, lo cual es concordante con lo previsto en el artículo II del Título Preliminar de la Ley Nº 27972, Ley Orgánica de Municipalidades.</w:t>
      </w:r>
    </w:p>
    <w:p w:rsidR="00000000" w:rsidDel="00000000" w:rsidP="00000000" w:rsidRDefault="00000000" w:rsidRPr="00000000" w14:paraId="0000000C">
      <w:pPr>
        <w:shd w:fill="ffffff" w:val="clear"/>
        <w:spacing w:after="150" w:lineRule="auto"/>
        <w:ind w:firstLine="708"/>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Que, el artículo 40º de la Ley Nº 27972, Ley Orgánica de Municipalidades, referente a la definición de las Ordenanzas, establece lo siguiente: “Las ordenanzas de las municipalidades provinciales y distritales, en la materia de su competencia, son las normas de carácter general de mayor jerarquía en la estructura normativa municipal, por medio de las cuales se aprueba la organización interna, la regulación, administración y supervisión de los servicios públicos y las materias en las que la municipalidad tiene competencia normativa (...)”.</w:t>
      </w:r>
    </w:p>
    <w:p w:rsidR="00000000" w:rsidDel="00000000" w:rsidP="00000000" w:rsidRDefault="00000000" w:rsidRPr="00000000" w14:paraId="0000000D">
      <w:pPr>
        <w:shd w:fill="ffffff" w:val="clear"/>
        <w:spacing w:after="150" w:lineRule="auto"/>
        <w:ind w:firstLine="708"/>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Que, mediante Ley Nº 31433, se modifica entre otros, la Ley Nº 27972, Ley Orgánica de Municipalidades, respecto a las atribuciones y responsabilidades de concejos municipales, para fortalecer el ejercicio de su función de fiscalización. Estableciéndose en el artículo 20º, numeral 36), como una de las atribuciones del alcalde, de convocar, bajo responsabilidad, como mínimo a dos audiencias públicas distritales o provinciales, conforme a la circunscripción de gobierno local. La mencionada ley incorpora el artículo 119-A a la Ley Nº 27972, Ley Orgánica de Municipalidades.</w:t>
      </w:r>
    </w:p>
    <w:p w:rsidR="00000000" w:rsidDel="00000000" w:rsidP="00000000" w:rsidRDefault="00000000" w:rsidRPr="00000000" w14:paraId="0000000E">
      <w:pPr>
        <w:shd w:fill="ffffff" w:val="clear"/>
        <w:spacing w:after="150" w:lineRule="auto"/>
        <w:ind w:firstLine="708"/>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Que, conforme la Ordenanza Municipal en el artículo 9 LA CONVOCATORIA</w:t>
      </w:r>
      <w:r w:rsidDel="00000000" w:rsidR="00000000" w:rsidRPr="00000000">
        <w:rPr>
          <w:rFonts w:ascii="Arial" w:cs="Arial" w:eastAsia="Arial" w:hAnsi="Arial"/>
          <w:b w:val="1"/>
          <w:color w:val="000000"/>
          <w:sz w:val="18"/>
          <w:szCs w:val="18"/>
          <w:vertAlign w:val="baseline"/>
          <w:rtl w:val="0"/>
        </w:rPr>
        <w:t xml:space="preserve">, </w:t>
      </w:r>
      <w:r w:rsidDel="00000000" w:rsidR="00000000" w:rsidRPr="00000000">
        <w:rPr>
          <w:rFonts w:ascii="Arial" w:cs="Arial" w:eastAsia="Arial" w:hAnsi="Arial"/>
          <w:color w:val="000000"/>
          <w:sz w:val="18"/>
          <w:szCs w:val="18"/>
          <w:vertAlign w:val="baseline"/>
          <w:rtl w:val="0"/>
        </w:rPr>
        <w:t xml:space="preserve">de las audiencias Públicas Municipales de Rendición de Cuentas de la Municipalidad Distrital de Marcará se aprobará mediante Decreto de Alcaldía, luego que el Concejo Municipal apruebe el presente reglamento marco mediante ordenanza municipal. Así como su respectiva publicación en el Portal Municipal y la difusión mediante la colocación de paneles/banderolas en lugares estratégicos del distrito y otros medios de comunicaciones digitales (redes sociales).</w:t>
      </w:r>
    </w:p>
    <w:p w:rsidR="00000000" w:rsidDel="00000000" w:rsidP="00000000" w:rsidRDefault="00000000" w:rsidRPr="00000000" w14:paraId="0000000F">
      <w:pPr>
        <w:shd w:fill="ffffff" w:val="clear"/>
        <w:spacing w:after="150" w:lineRule="auto"/>
        <w:ind w:firstLine="708"/>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La convocatoria deberá contemplar, Fecha, Hora y Lugar de la Audiencia, Lugar y Plazo para la Inscripción de Participantes, Agenda de la Audiencia, y Otros que se considere necesario.</w:t>
      </w:r>
    </w:p>
    <w:p w:rsidR="00000000" w:rsidDel="00000000" w:rsidP="00000000" w:rsidRDefault="00000000" w:rsidRPr="00000000" w14:paraId="00000010">
      <w:pPr>
        <w:shd w:fill="ffffff" w:val="clear"/>
        <w:spacing w:after="150" w:lineRule="auto"/>
        <w:ind w:firstLine="708"/>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Que, con el Informe Nº 015 – 2023 – GM/MDM, de fecha 03 de abril de 2023, la Gerencia Municipal solicita </w:t>
      </w:r>
      <w:r w:rsidDel="00000000" w:rsidR="00000000" w:rsidRPr="00000000">
        <w:rPr>
          <w:rFonts w:ascii="Comic Sans MS" w:cs="Comic Sans MS" w:eastAsia="Comic Sans MS" w:hAnsi="Comic Sans MS"/>
          <w:color w:val="000000"/>
          <w:sz w:val="22"/>
          <w:szCs w:val="22"/>
          <w:vertAlign w:val="baseline"/>
          <w:rtl w:val="0"/>
        </w:rPr>
        <w:t xml:space="preserve">convocar mediante DECRETO DE ALCADIA, la </w:t>
      </w:r>
      <w:r w:rsidDel="00000000" w:rsidR="00000000" w:rsidRPr="00000000">
        <w:rPr>
          <w:rFonts w:ascii="Comic Sans MS" w:cs="Comic Sans MS" w:eastAsia="Comic Sans MS" w:hAnsi="Comic Sans MS"/>
          <w:b w:val="1"/>
          <w:sz w:val="22"/>
          <w:szCs w:val="22"/>
          <w:vertAlign w:val="baseline"/>
          <w:rtl w:val="0"/>
        </w:rPr>
        <w:t xml:space="preserve">AUDIENCIA DE RENDICION DE CUENTAS DE LOS 100 PRIMEROS DIAS DE GESTION.</w:t>
      </w:r>
      <w:r w:rsidDel="00000000" w:rsidR="00000000" w:rsidRPr="00000000">
        <w:rPr>
          <w:rtl w:val="0"/>
        </w:rPr>
      </w:r>
    </w:p>
    <w:p w:rsidR="00000000" w:rsidDel="00000000" w:rsidP="00000000" w:rsidRDefault="00000000" w:rsidRPr="00000000" w14:paraId="00000011">
      <w:pPr>
        <w:shd w:fill="ffffff" w:val="clear"/>
        <w:spacing w:after="150" w:lineRule="auto"/>
        <w:ind w:firstLine="708"/>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Estando a lo expuesto y conforme a las atribuciones conferidas por los artículos 20° inciso 6) y 42° de la Ley Nº 27972, Ley Orgánica de Municipalidades:</w:t>
      </w:r>
    </w:p>
    <w:p w:rsidR="00000000" w:rsidDel="00000000" w:rsidP="00000000" w:rsidRDefault="00000000" w:rsidRPr="00000000" w14:paraId="00000012">
      <w:pPr>
        <w:shd w:fill="ffffff" w:val="clea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SE DECRETA:</w:t>
      </w:r>
      <w:r w:rsidDel="00000000" w:rsidR="00000000" w:rsidRPr="00000000">
        <w:rPr>
          <w:rtl w:val="0"/>
        </w:rPr>
      </w:r>
    </w:p>
    <w:p w:rsidR="00000000" w:rsidDel="00000000" w:rsidP="00000000" w:rsidRDefault="00000000" w:rsidRPr="00000000" w14:paraId="00000013">
      <w:pPr>
        <w:shd w:fill="ffffff" w:val="clear"/>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14">
      <w:pPr>
        <w:shd w:fill="ffffff" w:val="clear"/>
        <w:ind w:firstLine="708"/>
        <w:jc w:val="both"/>
        <w:rPr>
          <w:rFonts w:ascii="Arial" w:cs="Arial" w:eastAsia="Arial" w:hAnsi="Arial"/>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ARTÍCULO PRIMERO. - APROBAR </w:t>
      </w:r>
      <w:r w:rsidDel="00000000" w:rsidR="00000000" w:rsidRPr="00000000">
        <w:rPr>
          <w:rFonts w:ascii="Arial" w:cs="Arial" w:eastAsia="Arial" w:hAnsi="Arial"/>
          <w:color w:val="000000"/>
          <w:sz w:val="18"/>
          <w:szCs w:val="18"/>
          <w:vertAlign w:val="baseline"/>
          <w:rtl w:val="0"/>
        </w:rPr>
        <w:t xml:space="preserve">La convocatoria con el programa del desarrollo de audiencia pública de rendición de cuenta de 100 días de gestión municipal 2023 – 2026 de la Municipalidad Distrital de Marcará, Provincia de Carhuaz, Departamento de Ancash, Agenda: </w:t>
      </w:r>
      <w:r w:rsidDel="00000000" w:rsidR="00000000" w:rsidRPr="00000000">
        <w:rPr>
          <w:rFonts w:ascii="Arial" w:cs="Arial" w:eastAsia="Arial" w:hAnsi="Arial"/>
          <w:color w:val="333333"/>
          <w:highlight w:val="white"/>
          <w:vertAlign w:val="baseline"/>
          <w:rtl w:val="0"/>
        </w:rPr>
        <w:t xml:space="preserve">Audiencias de rendición de cuentas, sobre; 1. la situación en que se  recibio la gestión municipal, sus problemas a nivel económico, deudas, gastos, la situación de las inversiones y de los servicios públicos. 2. medidas que está tomando y las prioridades de la gestión.</w:t>
      </w:r>
      <w:r w:rsidDel="00000000" w:rsidR="00000000" w:rsidRPr="00000000">
        <w:rPr>
          <w:rtl w:val="0"/>
        </w:rPr>
      </w:r>
    </w:p>
    <w:p w:rsidR="00000000" w:rsidDel="00000000" w:rsidP="00000000" w:rsidRDefault="00000000" w:rsidRPr="00000000" w14:paraId="00000015">
      <w:pPr>
        <w:shd w:fill="ffffff" w:val="clear"/>
        <w:ind w:firstLine="708"/>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16">
      <w:pPr>
        <w:shd w:fill="ffffff" w:val="clear"/>
        <w:ind w:firstLine="708"/>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17">
      <w:pPr>
        <w:shd w:fill="ffffff" w:val="clear"/>
        <w:ind w:firstLine="708"/>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18">
      <w:pPr>
        <w:shd w:fill="ffffff" w:val="clear"/>
        <w:ind w:firstLine="708"/>
        <w:jc w:val="both"/>
        <w:rPr>
          <w:rFonts w:ascii="Arial" w:cs="Arial" w:eastAsia="Arial" w:hAnsi="Arial"/>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ARTÍCULO SEGUNDO. - APROBAR </w:t>
      </w:r>
      <w:r w:rsidDel="00000000" w:rsidR="00000000" w:rsidRPr="00000000">
        <w:rPr>
          <w:rFonts w:ascii="Arial" w:cs="Arial" w:eastAsia="Arial" w:hAnsi="Arial"/>
          <w:color w:val="000000"/>
          <w:sz w:val="18"/>
          <w:szCs w:val="18"/>
          <w:vertAlign w:val="baseline"/>
          <w:rtl w:val="0"/>
        </w:rPr>
        <w:t xml:space="preserve">el CRONOGRAAMA para la  audiencia pública de rendición de cuenta de 100 días de gestión municipal 2023 – 2026 de la Municipalidad Distrital de Marcará, Provincia de Carhuaz, Departamento de Ancash:</w:t>
      </w:r>
    </w:p>
    <w:p w:rsidR="00000000" w:rsidDel="00000000" w:rsidP="00000000" w:rsidRDefault="00000000" w:rsidRPr="00000000" w14:paraId="00000019">
      <w:pPr>
        <w:shd w:fill="ffffff" w:val="clear"/>
        <w:ind w:firstLine="708"/>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1A">
      <w:pPr>
        <w:numPr>
          <w:ilvl w:val="0"/>
          <w:numId w:val="1"/>
        </w:numPr>
        <w:shd w:fill="ffffff" w:val="clear"/>
        <w:ind w:left="1428" w:hanging="1428"/>
        <w:jc w:val="both"/>
        <w:rPr>
          <w:color w:val="000000"/>
          <w:sz w:val="18"/>
          <w:szCs w:val="18"/>
        </w:rPr>
      </w:pPr>
      <w:r w:rsidDel="00000000" w:rsidR="00000000" w:rsidRPr="00000000">
        <w:rPr>
          <w:rFonts w:ascii="Arial" w:cs="Arial" w:eastAsia="Arial" w:hAnsi="Arial"/>
          <w:color w:val="000000"/>
          <w:sz w:val="18"/>
          <w:szCs w:val="18"/>
          <w:vertAlign w:val="baseline"/>
          <w:rtl w:val="0"/>
        </w:rPr>
        <w:t xml:space="preserve">CONVOCATORIA </w:t>
        <w:tab/>
        <w:tab/>
        <w:tab/>
        <w:tab/>
        <w:t xml:space="preserve">05/04/2023</w:t>
      </w:r>
    </w:p>
    <w:p w:rsidR="00000000" w:rsidDel="00000000" w:rsidP="00000000" w:rsidRDefault="00000000" w:rsidRPr="00000000" w14:paraId="0000001B">
      <w:pPr>
        <w:numPr>
          <w:ilvl w:val="0"/>
          <w:numId w:val="1"/>
        </w:numPr>
        <w:shd w:fill="ffffff" w:val="clear"/>
        <w:ind w:left="1428" w:hanging="1428"/>
        <w:jc w:val="both"/>
        <w:rPr>
          <w:color w:val="000000"/>
          <w:sz w:val="18"/>
          <w:szCs w:val="18"/>
        </w:rPr>
      </w:pPr>
      <w:r w:rsidDel="00000000" w:rsidR="00000000" w:rsidRPr="00000000">
        <w:rPr>
          <w:rFonts w:ascii="Arial" w:cs="Arial" w:eastAsia="Arial" w:hAnsi="Arial"/>
          <w:color w:val="000000"/>
          <w:sz w:val="18"/>
          <w:szCs w:val="18"/>
          <w:vertAlign w:val="baseline"/>
          <w:rtl w:val="0"/>
        </w:rPr>
        <w:t xml:space="preserve">REGISTRO DE PARTICIPANTES</w:t>
        <w:tab/>
        <w:tab/>
        <w:tab/>
        <w:t xml:space="preserve">del 10/04/2023 al 15/04/2023</w:t>
      </w:r>
    </w:p>
    <w:p w:rsidR="00000000" w:rsidDel="00000000" w:rsidP="00000000" w:rsidRDefault="00000000" w:rsidRPr="00000000" w14:paraId="0000001C">
      <w:pPr>
        <w:numPr>
          <w:ilvl w:val="0"/>
          <w:numId w:val="1"/>
        </w:numPr>
        <w:shd w:fill="ffffff" w:val="clear"/>
        <w:ind w:left="1428" w:hanging="1428"/>
        <w:jc w:val="both"/>
        <w:rPr>
          <w:color w:val="000000"/>
          <w:sz w:val="18"/>
          <w:szCs w:val="18"/>
        </w:rPr>
      </w:pPr>
      <w:r w:rsidDel="00000000" w:rsidR="00000000" w:rsidRPr="00000000">
        <w:rPr>
          <w:rFonts w:ascii="Arial" w:cs="Arial" w:eastAsia="Arial" w:hAnsi="Arial"/>
          <w:color w:val="000000"/>
          <w:sz w:val="18"/>
          <w:szCs w:val="18"/>
          <w:vertAlign w:val="baseline"/>
          <w:rtl w:val="0"/>
        </w:rPr>
        <w:t xml:space="preserve">AUDIENCIA</w:t>
        <w:tab/>
        <w:tab/>
        <w:tab/>
        <w:tab/>
        <w:tab/>
        <w:t xml:space="preserve">15/04/2023 – HORA 9 AM – PLAZA DE</w:t>
      </w:r>
    </w:p>
    <w:p w:rsidR="00000000" w:rsidDel="00000000" w:rsidP="00000000" w:rsidRDefault="00000000" w:rsidRPr="00000000" w14:paraId="0000001D">
      <w:pPr>
        <w:shd w:fill="ffffff" w:val="clear"/>
        <w:ind w:left="4248" w:firstLine="708.0000000000001"/>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 ARMAS DEL DISTRITO DE MARCARA</w:t>
      </w:r>
    </w:p>
    <w:p w:rsidR="00000000" w:rsidDel="00000000" w:rsidP="00000000" w:rsidRDefault="00000000" w:rsidRPr="00000000" w14:paraId="0000001E">
      <w:pPr>
        <w:shd w:fill="ffffff" w:val="clear"/>
        <w:ind w:firstLine="708"/>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1F">
      <w:pPr>
        <w:shd w:fill="ffffff" w:val="clear"/>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20">
      <w:pPr>
        <w:shd w:fill="ffffff" w:val="clear"/>
        <w:ind w:firstLine="708"/>
        <w:jc w:val="both"/>
        <w:rPr>
          <w:rFonts w:ascii="Arial" w:cs="Arial" w:eastAsia="Arial" w:hAnsi="Arial"/>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ARTÍCULO TERCERO. - COMUNIQUESE </w:t>
      </w:r>
      <w:r w:rsidDel="00000000" w:rsidR="00000000" w:rsidRPr="00000000">
        <w:rPr>
          <w:rFonts w:ascii="Arial" w:cs="Arial" w:eastAsia="Arial" w:hAnsi="Arial"/>
          <w:color w:val="000000"/>
          <w:sz w:val="18"/>
          <w:szCs w:val="18"/>
          <w:vertAlign w:val="baseline"/>
          <w:rtl w:val="0"/>
        </w:rPr>
        <w:t xml:space="preserve">a la Gerencia Municipal y demás órganos de esta Municipalidad, para conocimiento y cumplimiento según corresponda.</w:t>
      </w:r>
    </w:p>
    <w:p w:rsidR="00000000" w:rsidDel="00000000" w:rsidP="00000000" w:rsidRDefault="00000000" w:rsidRPr="00000000" w14:paraId="00000021">
      <w:pPr>
        <w:shd w:fill="ffffff" w:val="clear"/>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22">
      <w:pPr>
        <w:shd w:fill="ffffff" w:val="clear"/>
        <w:ind w:firstLine="708"/>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REGÍSTRESE, COMUNÍQUESE, CUMPLASE.</w:t>
      </w:r>
      <w:r w:rsidDel="00000000" w:rsidR="00000000" w:rsidRPr="00000000">
        <w:rPr>
          <w:rtl w:val="0"/>
        </w:rPr>
      </w:r>
    </w:p>
    <w:p w:rsidR="00000000" w:rsidDel="00000000" w:rsidP="00000000" w:rsidRDefault="00000000" w:rsidRPr="00000000" w14:paraId="00000023">
      <w:pPr>
        <w:shd w:fill="ffffff" w:val="clear"/>
        <w:ind w:firstLine="708"/>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24">
      <w:pPr>
        <w:shd w:fill="ffffff" w:val="clear"/>
        <w:ind w:firstLine="708"/>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25">
      <w:pPr>
        <w:shd w:fill="ffffff" w:val="clear"/>
        <w:ind w:firstLine="708"/>
        <w:jc w:val="cente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Pr>
        <w:drawing>
          <wp:inline distB="0" distT="0" distL="114300" distR="114300">
            <wp:extent cx="1874520" cy="136271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74520" cy="136271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hd w:fill="ffffff" w:val="clear"/>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27">
      <w:pPr>
        <w:tabs>
          <w:tab w:val="left" w:leader="none" w:pos="4928"/>
        </w:tabs>
        <w:jc w:val="both"/>
        <w:rPr>
          <w:rFonts w:ascii="Arial" w:cs="Arial" w:eastAsia="Arial" w:hAnsi="Arial"/>
          <w:sz w:val="22"/>
          <w:szCs w:val="22"/>
          <w:vertAlign w:val="baseline"/>
        </w:rPr>
      </w:pPr>
      <w:r w:rsidDel="00000000" w:rsidR="00000000" w:rsidRPr="00000000">
        <w:rPr>
          <w:rtl w:val="0"/>
        </w:rPr>
      </w:r>
    </w:p>
    <w:sectPr>
      <w:headerReference r:id="rId8" w:type="default"/>
      <w:pgSz w:h="16838" w:w="11906" w:orient="portrait"/>
      <w:pgMar w:bottom="624" w:top="2552" w:left="1701" w:right="1701"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mic Sans MS"/>
  <w:font w:name="Times New Roman"/>
  <w:font w:name="Calibri"/>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8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9">
    <w:pPr>
      <w:jc w:val="center"/>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02A">
    <w:pPr>
      <w:jc w:val="center"/>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02B">
    <w:pPr>
      <w:jc w:val="center"/>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02C">
    <w:pPr>
      <w:jc w:val="center"/>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02D">
    <w:pPr>
      <w:jc w:val="center"/>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02E">
    <w:pPr>
      <w:jc w:val="center"/>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02F">
    <w:pPr>
      <w:jc w:val="center"/>
      <w:rPr>
        <w:vertAlign w:val="baseline"/>
      </w:rPr>
    </w:pPr>
    <w:r w:rsidDel="00000000" w:rsidR="00000000" w:rsidRPr="00000000">
      <w:rPr>
        <w:rFonts w:ascii="Calibri" w:cs="Calibri" w:eastAsia="Calibri" w:hAnsi="Calibri"/>
        <w:i w:val="1"/>
        <w:vertAlign w:val="baseline"/>
        <w:rtl w:val="0"/>
      </w:rPr>
      <w:t xml:space="preserve">“Año de la Unidad, la Paz y el Desarrollo”</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80"/>
        <w:sz w:val="10"/>
        <w:szCs w:val="1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8" w:hanging="360"/>
      </w:pPr>
      <w:rPr>
        <w:rFonts w:ascii="Noto Sans Symbols" w:cs="Noto Sans Symbols" w:eastAsia="Noto Sans Symbols" w:hAnsi="Noto Sans Symbols"/>
        <w:vertAlign w:val="baseline"/>
      </w:rPr>
    </w:lvl>
    <w:lvl w:ilvl="1">
      <w:start w:val="1"/>
      <w:numFmt w:val="bullet"/>
      <w:lvlText w:val="o"/>
      <w:lvlJc w:val="left"/>
      <w:pPr>
        <w:ind w:left="2148" w:hanging="360"/>
      </w:pPr>
      <w:rPr>
        <w:rFonts w:ascii="Courier New" w:cs="Courier New" w:eastAsia="Courier New" w:hAnsi="Courier New"/>
        <w:vertAlign w:val="baseline"/>
      </w:rPr>
    </w:lvl>
    <w:lvl w:ilvl="2">
      <w:start w:val="1"/>
      <w:numFmt w:val="bullet"/>
      <w:lvlText w:val="▪"/>
      <w:lvlJc w:val="left"/>
      <w:pPr>
        <w:ind w:left="2868" w:hanging="360"/>
      </w:pPr>
      <w:rPr>
        <w:rFonts w:ascii="Noto Sans Symbols" w:cs="Noto Sans Symbols" w:eastAsia="Noto Sans Symbols" w:hAnsi="Noto Sans Symbols"/>
        <w:vertAlign w:val="baseline"/>
      </w:rPr>
    </w:lvl>
    <w:lvl w:ilvl="3">
      <w:start w:val="1"/>
      <w:numFmt w:val="bullet"/>
      <w:lvlText w:val="●"/>
      <w:lvlJc w:val="left"/>
      <w:pPr>
        <w:ind w:left="3588" w:hanging="360"/>
      </w:pPr>
      <w:rPr>
        <w:rFonts w:ascii="Noto Sans Symbols" w:cs="Noto Sans Symbols" w:eastAsia="Noto Sans Symbols" w:hAnsi="Noto Sans Symbols"/>
        <w:vertAlign w:val="baseline"/>
      </w:rPr>
    </w:lvl>
    <w:lvl w:ilvl="4">
      <w:start w:val="1"/>
      <w:numFmt w:val="bullet"/>
      <w:lvlText w:val="o"/>
      <w:lvlJc w:val="left"/>
      <w:pPr>
        <w:ind w:left="4308" w:hanging="360"/>
      </w:pPr>
      <w:rPr>
        <w:rFonts w:ascii="Courier New" w:cs="Courier New" w:eastAsia="Courier New" w:hAnsi="Courier New"/>
        <w:vertAlign w:val="baseline"/>
      </w:rPr>
    </w:lvl>
    <w:lvl w:ilvl="5">
      <w:start w:val="1"/>
      <w:numFmt w:val="bullet"/>
      <w:lvlText w:val="▪"/>
      <w:lvlJc w:val="left"/>
      <w:pPr>
        <w:ind w:left="5028" w:hanging="360"/>
      </w:pPr>
      <w:rPr>
        <w:rFonts w:ascii="Noto Sans Symbols" w:cs="Noto Sans Symbols" w:eastAsia="Noto Sans Symbols" w:hAnsi="Noto Sans Symbols"/>
        <w:vertAlign w:val="baseline"/>
      </w:rPr>
    </w:lvl>
    <w:lvl w:ilvl="6">
      <w:start w:val="1"/>
      <w:numFmt w:val="bullet"/>
      <w:lvlText w:val="●"/>
      <w:lvlJc w:val="left"/>
      <w:pPr>
        <w:ind w:left="5748" w:hanging="360"/>
      </w:pPr>
      <w:rPr>
        <w:rFonts w:ascii="Noto Sans Symbols" w:cs="Noto Sans Symbols" w:eastAsia="Noto Sans Symbols" w:hAnsi="Noto Sans Symbols"/>
        <w:vertAlign w:val="baseline"/>
      </w:rPr>
    </w:lvl>
    <w:lvl w:ilvl="7">
      <w:start w:val="1"/>
      <w:numFmt w:val="bullet"/>
      <w:lvlText w:val="o"/>
      <w:lvlJc w:val="left"/>
      <w:pPr>
        <w:ind w:left="6468" w:hanging="360"/>
      </w:pPr>
      <w:rPr>
        <w:rFonts w:ascii="Courier New" w:cs="Courier New" w:eastAsia="Courier New" w:hAnsi="Courier New"/>
        <w:vertAlign w:val="baseline"/>
      </w:rPr>
    </w:lvl>
    <w:lvl w:ilvl="8">
      <w:start w:val="1"/>
      <w:numFmt w:val="bullet"/>
      <w:lvlText w:val="▪"/>
      <w:lvlJc w:val="left"/>
      <w:pPr>
        <w:ind w:left="7188"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