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C34A" w14:textId="77777777" w:rsidR="0082231E" w:rsidRDefault="0082231E" w:rsidP="00E57FB7">
      <w:pPr>
        <w:pStyle w:val="Sinespaciado"/>
        <w:jc w:val="center"/>
        <w:rPr>
          <w:rFonts w:cstheme="minorHAnsi"/>
          <w:b/>
          <w:sz w:val="24"/>
          <w:szCs w:val="24"/>
        </w:rPr>
      </w:pPr>
    </w:p>
    <w:p w14:paraId="54B5C6F9" w14:textId="67292AD9"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7519BC68"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3B764D">
        <w:rPr>
          <w:rFonts w:cstheme="minorHAnsi"/>
          <w:b/>
          <w:sz w:val="24"/>
          <w:szCs w:val="24"/>
        </w:rPr>
        <w:t>I</w:t>
      </w:r>
      <w:r w:rsidR="000A3B50">
        <w:rPr>
          <w:rFonts w:cstheme="minorHAnsi"/>
          <w:b/>
          <w:sz w:val="24"/>
          <w:szCs w:val="24"/>
        </w:rPr>
        <w:t>I</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076330">
        <w:rPr>
          <w:rFonts w:cstheme="minorHAnsi"/>
          <w:b/>
          <w:sz w:val="24"/>
          <w:szCs w:val="24"/>
        </w:rPr>
        <w:t>3</w:t>
      </w:r>
    </w:p>
    <w:tbl>
      <w:tblPr>
        <w:tblStyle w:val="Tablaconcuadrcula"/>
        <w:tblW w:w="102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545"/>
        <w:gridCol w:w="6633"/>
        <w:gridCol w:w="42"/>
      </w:tblGrid>
      <w:tr w:rsidR="008C483B" w14:paraId="1E439DD1" w14:textId="77777777" w:rsidTr="003F27F1">
        <w:trPr>
          <w:trHeight w:val="4846"/>
        </w:trPr>
        <w:tc>
          <w:tcPr>
            <w:tcW w:w="3545" w:type="dxa"/>
            <w:shd w:val="clear" w:color="auto" w:fill="auto"/>
          </w:tcPr>
          <w:p w14:paraId="1056A5F4" w14:textId="77777777" w:rsidR="0082231E" w:rsidRDefault="0082231E" w:rsidP="00C72EB6">
            <w:pPr>
              <w:pStyle w:val="Sinespaciado"/>
              <w:jc w:val="both"/>
              <w:rPr>
                <w:rFonts w:ascii="Arial" w:hAnsi="Arial" w:cs="Arial"/>
                <w:sz w:val="20"/>
                <w:szCs w:val="20"/>
              </w:rPr>
            </w:pPr>
          </w:p>
          <w:p w14:paraId="2F582A43" w14:textId="14DA28A9" w:rsidR="00940C9B" w:rsidRDefault="000D0F48" w:rsidP="00C72EB6">
            <w:pPr>
              <w:pStyle w:val="Sinespaciado"/>
              <w:jc w:val="both"/>
              <w:rPr>
                <w:rFonts w:ascii="Arial" w:hAnsi="Arial" w:cs="Arial"/>
                <w:sz w:val="20"/>
                <w:szCs w:val="20"/>
              </w:rPr>
            </w:pPr>
            <w:r w:rsidRPr="00F353D3">
              <w:rPr>
                <w:rFonts w:ascii="Arial" w:hAnsi="Arial" w:cs="Arial"/>
                <w:sz w:val="20"/>
                <w:szCs w:val="20"/>
              </w:rPr>
              <w:t>Me</w:t>
            </w:r>
            <w:r w:rsidR="00791881" w:rsidRPr="00F353D3">
              <w:rPr>
                <w:rFonts w:ascii="Arial" w:hAnsi="Arial" w:cs="Arial"/>
                <w:sz w:val="20"/>
                <w:szCs w:val="20"/>
              </w:rPr>
              <w:t>diante Ley No. 29792 se crea el Ministerio de Desarrollo e Inclusión Social –</w:t>
            </w:r>
            <w:r w:rsidRPr="00F353D3">
              <w:rPr>
                <w:rFonts w:ascii="Arial" w:hAnsi="Arial" w:cs="Arial"/>
                <w:sz w:val="20"/>
                <w:szCs w:val="20"/>
              </w:rPr>
              <w:t xml:space="preserve"> MIDIS, que tiene personería jurídica de derecho público y </w:t>
            </w:r>
            <w:r w:rsidR="001041B7" w:rsidRPr="00F353D3">
              <w:rPr>
                <w:rFonts w:ascii="Arial" w:hAnsi="Arial" w:cs="Arial"/>
                <w:sz w:val="20"/>
                <w:szCs w:val="20"/>
              </w:rPr>
              <w:t xml:space="preserve">se </w:t>
            </w:r>
            <w:r w:rsidRPr="00F353D3">
              <w:rPr>
                <w:rFonts w:ascii="Arial" w:hAnsi="Arial" w:cs="Arial"/>
                <w:sz w:val="20"/>
                <w:szCs w:val="20"/>
              </w:rPr>
              <w:t xml:space="preserve">constituye </w:t>
            </w:r>
            <w:r w:rsidR="001041B7" w:rsidRPr="00F353D3">
              <w:rPr>
                <w:rFonts w:ascii="Arial" w:hAnsi="Arial" w:cs="Arial"/>
                <w:sz w:val="20"/>
                <w:szCs w:val="20"/>
              </w:rPr>
              <w:t xml:space="preserve">como </w:t>
            </w:r>
            <w:r w:rsidRPr="00F353D3">
              <w:rPr>
                <w:rFonts w:ascii="Arial" w:hAnsi="Arial" w:cs="Arial"/>
                <w:sz w:val="20"/>
                <w:szCs w:val="20"/>
              </w:rPr>
              <w:t>pliego</w:t>
            </w:r>
            <w:r w:rsidR="004E7B42" w:rsidRPr="00F353D3">
              <w:rPr>
                <w:rFonts w:ascii="Arial" w:hAnsi="Arial" w:cs="Arial"/>
                <w:sz w:val="20"/>
                <w:szCs w:val="20"/>
              </w:rPr>
              <w:t xml:space="preserve"> presupuestal.</w:t>
            </w:r>
          </w:p>
          <w:p w14:paraId="4F20240A" w14:textId="0B78AB81" w:rsidR="00791881" w:rsidRPr="00F353D3" w:rsidRDefault="000D0F48" w:rsidP="00C72EB6">
            <w:pPr>
              <w:pStyle w:val="Sinespaciado"/>
              <w:jc w:val="both"/>
              <w:rPr>
                <w:rFonts w:ascii="Arial" w:hAnsi="Arial" w:cs="Arial"/>
                <w:sz w:val="20"/>
                <w:szCs w:val="20"/>
              </w:rPr>
            </w:pPr>
            <w:r w:rsidRPr="00F353D3">
              <w:rPr>
                <w:rFonts w:ascii="Arial" w:hAnsi="Arial" w:cs="Arial"/>
                <w:sz w:val="20"/>
                <w:szCs w:val="20"/>
              </w:rPr>
              <w:t xml:space="preserve"> </w:t>
            </w:r>
          </w:p>
          <w:p w14:paraId="6A793224" w14:textId="77777777" w:rsidR="00940C9B" w:rsidRPr="00940C9B" w:rsidRDefault="00940C9B" w:rsidP="00940C9B">
            <w:pPr>
              <w:jc w:val="both"/>
              <w:rPr>
                <w:rFonts w:ascii="Arial" w:eastAsia="Calibri" w:hAnsi="Arial" w:cs="Arial"/>
                <w:sz w:val="20"/>
                <w:szCs w:val="20"/>
                <w:lang w:val="es-ES"/>
              </w:rPr>
            </w:pPr>
            <w:r w:rsidRPr="00940C9B">
              <w:rPr>
                <w:rFonts w:ascii="Arial" w:eastAsia="Times New Roman" w:hAnsi="Arial" w:cs="Arial"/>
                <w:sz w:val="20"/>
                <w:szCs w:val="20"/>
                <w:lang w:val="es-ES" w:eastAsia="es-ES"/>
              </w:rPr>
              <w:t xml:space="preserve">El Fondo de Cooperación para el Desarrollo Social (FONCODES) es un programa nacional del Ministerio de Desarrollo e Inclusión Social (MIDIS), </w:t>
            </w:r>
            <w:r w:rsidRPr="00940C9B">
              <w:rPr>
                <w:rFonts w:ascii="Arial" w:eastAsia="Calibri" w:hAnsi="Arial" w:cs="Arial"/>
                <w:sz w:val="20"/>
                <w:szCs w:val="20"/>
                <w:lang w:val="es-ES"/>
              </w:rPr>
              <w:t xml:space="preserve">que tiene como objetivo financiar la ejecución de proyectos de inversión social en todo el país, presentados por organismos creados por la propia población (Núcleo Ejecutor), por comunidades campesinas y nativas, por organismos religiosos asentados en zonas populares, por organismos no gubernamentales, municipalidades, organismo del Estado y en general por cualquier institución o grupo social que busque un beneficio para ésta, </w:t>
            </w:r>
          </w:p>
          <w:p w14:paraId="29982E43" w14:textId="77777777" w:rsidR="00B43A41" w:rsidRPr="00F14D58" w:rsidRDefault="00B43A41" w:rsidP="00F11543">
            <w:pPr>
              <w:pStyle w:val="Sinespaciado"/>
              <w:jc w:val="both"/>
              <w:rPr>
                <w:rFonts w:ascii="Calibri" w:hAnsi="Calibri" w:cs="Calibri"/>
              </w:rPr>
            </w:pPr>
          </w:p>
        </w:tc>
        <w:tc>
          <w:tcPr>
            <w:tcW w:w="6675" w:type="dxa"/>
            <w:gridSpan w:val="2"/>
            <w:shd w:val="clear" w:color="auto" w:fill="auto"/>
          </w:tcPr>
          <w:p w14:paraId="4E3392C3" w14:textId="23FD87B0" w:rsidR="00C72EB6" w:rsidRDefault="00C72EB6" w:rsidP="00E57FB7">
            <w:pPr>
              <w:pStyle w:val="Sinespaciado"/>
              <w:jc w:val="center"/>
              <w:rPr>
                <w:rFonts w:cstheme="minorHAnsi"/>
              </w:rPr>
            </w:pPr>
          </w:p>
          <w:p w14:paraId="2B921530" w14:textId="04B1645D" w:rsidR="00623D68" w:rsidRDefault="009B0259" w:rsidP="00E57FB7">
            <w:pPr>
              <w:pStyle w:val="Sinespaciado"/>
              <w:jc w:val="center"/>
              <w:rPr>
                <w:rFonts w:cstheme="minorHAnsi"/>
              </w:rPr>
            </w:pPr>
            <w:r>
              <w:rPr>
                <w:rFonts w:cstheme="minorHAnsi"/>
                <w:noProof/>
              </w:rPr>
              <w:drawing>
                <wp:inline distT="0" distB="0" distL="0" distR="0" wp14:anchorId="69DA384F" wp14:editId="5EA373E0">
                  <wp:extent cx="4076700" cy="3114675"/>
                  <wp:effectExtent l="0" t="0" r="0" b="9525"/>
                  <wp:docPr id="1432961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3114675"/>
                          </a:xfrm>
                          <a:prstGeom prst="rect">
                            <a:avLst/>
                          </a:prstGeom>
                          <a:noFill/>
                        </pic:spPr>
                      </pic:pic>
                    </a:graphicData>
                  </a:graphic>
                </wp:inline>
              </w:drawing>
            </w:r>
          </w:p>
        </w:tc>
      </w:tr>
      <w:tr w:rsidR="00C72EB6" w14:paraId="5DF67A06" w14:textId="77777777" w:rsidTr="00940C9B">
        <w:tblPrEx>
          <w:tblCellMar>
            <w:left w:w="108" w:type="dxa"/>
            <w:right w:w="108" w:type="dxa"/>
          </w:tblCellMar>
        </w:tblPrEx>
        <w:trPr>
          <w:gridAfter w:val="1"/>
          <w:wAfter w:w="42" w:type="dxa"/>
          <w:trHeight w:val="591"/>
        </w:trPr>
        <w:tc>
          <w:tcPr>
            <w:tcW w:w="10178" w:type="dxa"/>
            <w:gridSpan w:val="2"/>
          </w:tcPr>
          <w:p w14:paraId="79B8BC56" w14:textId="3FA145B2" w:rsidR="00016C1E" w:rsidRDefault="00940C9B" w:rsidP="00A1156A">
            <w:pPr>
              <w:jc w:val="both"/>
              <w:rPr>
                <w:rFonts w:ascii="Arial" w:hAnsi="Arial" w:cs="Arial"/>
                <w:sz w:val="20"/>
                <w:szCs w:val="20"/>
              </w:rPr>
            </w:pPr>
            <w:r>
              <w:rPr>
                <w:rFonts w:ascii="Arial" w:hAnsi="Arial" w:cs="Arial"/>
                <w:sz w:val="20"/>
                <w:szCs w:val="20"/>
              </w:rPr>
              <w:t xml:space="preserve">Con Ley Nº31638 se aprobó el Presupuesto del Sector Público para el año fiscal 2023, y con Resolución Ministerial </w:t>
            </w:r>
            <w:r w:rsidRPr="00F353D3">
              <w:rPr>
                <w:rFonts w:ascii="Arial" w:hAnsi="Arial" w:cs="Arial"/>
                <w:sz w:val="20"/>
                <w:szCs w:val="20"/>
              </w:rPr>
              <w:t>N°</w:t>
            </w:r>
            <w:r>
              <w:rPr>
                <w:rFonts w:ascii="Arial" w:hAnsi="Arial" w:cs="Arial"/>
                <w:sz w:val="20"/>
                <w:szCs w:val="20"/>
              </w:rPr>
              <w:t>218</w:t>
            </w:r>
            <w:r w:rsidRPr="00F353D3">
              <w:rPr>
                <w:rFonts w:ascii="Arial" w:hAnsi="Arial" w:cs="Arial"/>
                <w:sz w:val="20"/>
                <w:szCs w:val="20"/>
              </w:rPr>
              <w:t>-20</w:t>
            </w:r>
            <w:r>
              <w:rPr>
                <w:rFonts w:ascii="Arial" w:hAnsi="Arial" w:cs="Arial"/>
                <w:sz w:val="20"/>
                <w:szCs w:val="20"/>
              </w:rPr>
              <w:t>22-MIDIS</w:t>
            </w:r>
            <w:r w:rsidRPr="00F353D3">
              <w:rPr>
                <w:rFonts w:ascii="Arial" w:hAnsi="Arial" w:cs="Arial"/>
                <w:sz w:val="20"/>
                <w:szCs w:val="20"/>
              </w:rPr>
              <w:t xml:space="preserve">, de fecha </w:t>
            </w:r>
            <w:r>
              <w:rPr>
                <w:rFonts w:ascii="Arial" w:hAnsi="Arial" w:cs="Arial"/>
                <w:sz w:val="20"/>
                <w:szCs w:val="20"/>
              </w:rPr>
              <w:t>19</w:t>
            </w:r>
            <w:r w:rsidRPr="00F353D3">
              <w:rPr>
                <w:rFonts w:ascii="Arial" w:hAnsi="Arial" w:cs="Arial"/>
                <w:sz w:val="20"/>
                <w:szCs w:val="20"/>
              </w:rPr>
              <w:t xml:space="preserve"> de </w:t>
            </w:r>
            <w:r>
              <w:rPr>
                <w:rFonts w:ascii="Arial" w:hAnsi="Arial" w:cs="Arial"/>
                <w:sz w:val="20"/>
                <w:szCs w:val="20"/>
              </w:rPr>
              <w:t>dic</w:t>
            </w:r>
            <w:r w:rsidRPr="00F353D3">
              <w:rPr>
                <w:rFonts w:ascii="Arial" w:hAnsi="Arial" w:cs="Arial"/>
                <w:sz w:val="20"/>
                <w:szCs w:val="20"/>
              </w:rPr>
              <w:t>iembre de 20</w:t>
            </w:r>
            <w:r>
              <w:rPr>
                <w:rFonts w:ascii="Arial" w:hAnsi="Arial" w:cs="Arial"/>
                <w:sz w:val="20"/>
                <w:szCs w:val="20"/>
              </w:rPr>
              <w:t>22</w:t>
            </w:r>
            <w:r w:rsidRPr="00F353D3">
              <w:rPr>
                <w:rFonts w:ascii="Arial" w:hAnsi="Arial" w:cs="Arial"/>
                <w:sz w:val="20"/>
                <w:szCs w:val="20"/>
              </w:rPr>
              <w:t xml:space="preserve">, se aprueba el Presupuesto Institucional de Apertura </w:t>
            </w:r>
            <w:r>
              <w:rPr>
                <w:rFonts w:ascii="Arial" w:hAnsi="Arial" w:cs="Arial"/>
                <w:sz w:val="20"/>
                <w:szCs w:val="20"/>
              </w:rPr>
              <w:t xml:space="preserve">de Gastos </w:t>
            </w:r>
            <w:r w:rsidRPr="00F353D3">
              <w:rPr>
                <w:rFonts w:ascii="Arial" w:hAnsi="Arial" w:cs="Arial"/>
                <w:sz w:val="20"/>
                <w:szCs w:val="20"/>
              </w:rPr>
              <w:t>(PIA) para el año Fiscal 202</w:t>
            </w:r>
            <w:r>
              <w:rPr>
                <w:rFonts w:ascii="Arial" w:hAnsi="Arial" w:cs="Arial"/>
                <w:sz w:val="20"/>
                <w:szCs w:val="20"/>
              </w:rPr>
              <w:t>3</w:t>
            </w:r>
            <w:r w:rsidRPr="00F353D3">
              <w:rPr>
                <w:rFonts w:ascii="Arial" w:hAnsi="Arial" w:cs="Arial"/>
                <w:sz w:val="20"/>
                <w:szCs w:val="20"/>
              </w:rPr>
              <w:t xml:space="preserve"> a favor del Pliego 040: Ministerio de Desarrollo e Inclusión Social - MIDIS, el mismo que asigna recursos a favor de la Unidad Ejecutora 004: FONCODES, la suma de </w:t>
            </w:r>
            <w:r>
              <w:rPr>
                <w:rFonts w:ascii="Arial" w:hAnsi="Arial" w:cs="Arial"/>
                <w:sz w:val="20"/>
                <w:szCs w:val="20"/>
              </w:rPr>
              <w:t xml:space="preserve">                         </w:t>
            </w:r>
            <w:r w:rsidRPr="00F353D3">
              <w:rPr>
                <w:rFonts w:ascii="Arial" w:hAnsi="Arial" w:cs="Arial"/>
                <w:sz w:val="20"/>
                <w:szCs w:val="20"/>
              </w:rPr>
              <w:t>S/ 29</w:t>
            </w:r>
            <w:r>
              <w:rPr>
                <w:rFonts w:ascii="Arial" w:hAnsi="Arial" w:cs="Arial"/>
                <w:sz w:val="20"/>
                <w:szCs w:val="20"/>
              </w:rPr>
              <w:t>0</w:t>
            </w:r>
            <w:r w:rsidR="00057349">
              <w:rPr>
                <w:rFonts w:ascii="Arial" w:hAnsi="Arial" w:cs="Arial"/>
                <w:sz w:val="20"/>
                <w:szCs w:val="20"/>
              </w:rPr>
              <w:t xml:space="preserve"> </w:t>
            </w:r>
            <w:r>
              <w:rPr>
                <w:rFonts w:ascii="Arial" w:hAnsi="Arial" w:cs="Arial"/>
                <w:sz w:val="20"/>
                <w:szCs w:val="20"/>
              </w:rPr>
              <w:t>679</w:t>
            </w:r>
            <w:r w:rsidR="00057349">
              <w:rPr>
                <w:rFonts w:ascii="Arial" w:hAnsi="Arial" w:cs="Arial"/>
                <w:sz w:val="20"/>
                <w:szCs w:val="20"/>
              </w:rPr>
              <w:t xml:space="preserve"> </w:t>
            </w:r>
            <w:r>
              <w:rPr>
                <w:rFonts w:ascii="Arial" w:hAnsi="Arial" w:cs="Arial"/>
                <w:sz w:val="20"/>
                <w:szCs w:val="20"/>
              </w:rPr>
              <w:t>202</w:t>
            </w:r>
            <w:r w:rsidR="00057349">
              <w:rPr>
                <w:rFonts w:ascii="Arial" w:hAnsi="Arial" w:cs="Arial"/>
                <w:sz w:val="20"/>
                <w:szCs w:val="20"/>
              </w:rPr>
              <w:t>,</w:t>
            </w:r>
            <w:r w:rsidRPr="00F353D3">
              <w:rPr>
                <w:rFonts w:ascii="Arial" w:hAnsi="Arial" w:cs="Arial"/>
                <w:sz w:val="20"/>
                <w:szCs w:val="20"/>
              </w:rPr>
              <w:t xml:space="preserve"> en la fuente de financiamiento Recursos</w:t>
            </w:r>
            <w:r>
              <w:rPr>
                <w:rFonts w:ascii="Arial" w:hAnsi="Arial" w:cs="Arial"/>
                <w:sz w:val="20"/>
                <w:szCs w:val="20"/>
              </w:rPr>
              <w:t xml:space="preserve"> O</w:t>
            </w:r>
            <w:r w:rsidRPr="00F353D3">
              <w:rPr>
                <w:rFonts w:ascii="Arial" w:hAnsi="Arial" w:cs="Arial"/>
                <w:sz w:val="20"/>
                <w:szCs w:val="20"/>
              </w:rPr>
              <w:t>rdinarios</w:t>
            </w:r>
            <w:r w:rsidR="00321744">
              <w:rPr>
                <w:rFonts w:ascii="Arial" w:hAnsi="Arial" w:cs="Arial"/>
                <w:sz w:val="20"/>
                <w:szCs w:val="20"/>
              </w:rPr>
              <w:t>.</w:t>
            </w:r>
          </w:p>
          <w:p w14:paraId="15A2AA80" w14:textId="77777777" w:rsidR="00930F13" w:rsidRDefault="00930F13" w:rsidP="00A1156A">
            <w:pPr>
              <w:jc w:val="both"/>
              <w:rPr>
                <w:rFonts w:ascii="Arial" w:hAnsi="Arial" w:cs="Arial"/>
                <w:sz w:val="20"/>
                <w:szCs w:val="20"/>
              </w:rPr>
            </w:pPr>
          </w:p>
          <w:p w14:paraId="642D65D9" w14:textId="19BF98DD" w:rsidR="00321744" w:rsidRDefault="00930F13" w:rsidP="00A1156A">
            <w:pPr>
              <w:jc w:val="both"/>
              <w:rPr>
                <w:rFonts w:ascii="Arial" w:hAnsi="Arial" w:cs="Arial"/>
                <w:sz w:val="20"/>
                <w:szCs w:val="20"/>
              </w:rPr>
            </w:pPr>
            <w:r w:rsidRPr="00930F13">
              <w:rPr>
                <w:rFonts w:ascii="Arial" w:hAnsi="Arial" w:cs="Arial"/>
                <w:sz w:val="20"/>
                <w:szCs w:val="20"/>
              </w:rPr>
              <w:t>L</w:t>
            </w:r>
            <w:r w:rsidR="00F5537F" w:rsidRPr="00930F13">
              <w:rPr>
                <w:rFonts w:ascii="Arial" w:hAnsi="Arial" w:cs="Arial"/>
                <w:sz w:val="20"/>
                <w:szCs w:val="20"/>
              </w:rPr>
              <w:t xml:space="preserve">a ejecución </w:t>
            </w:r>
            <w:r>
              <w:rPr>
                <w:rFonts w:ascii="Arial" w:hAnsi="Arial" w:cs="Arial"/>
                <w:sz w:val="20"/>
                <w:szCs w:val="20"/>
              </w:rPr>
              <w:t xml:space="preserve">al III trimestre </w:t>
            </w:r>
            <w:r w:rsidR="00F5537F" w:rsidRPr="00930F13">
              <w:rPr>
                <w:rFonts w:ascii="Arial" w:hAnsi="Arial" w:cs="Arial"/>
                <w:sz w:val="20"/>
                <w:szCs w:val="20"/>
              </w:rPr>
              <w:t xml:space="preserve">2023 de la UE 004 FONCODES, comprende la ejecución de actividades operativas que se encuentran distribuidas en 03 categorías presupuestales: i) 0118 Acceso de hogares rurales con economías de subsistencia a mercados locales, </w:t>
            </w:r>
            <w:proofErr w:type="spellStart"/>
            <w:r w:rsidR="00F5537F" w:rsidRPr="00930F13">
              <w:rPr>
                <w:rFonts w:ascii="Arial" w:hAnsi="Arial" w:cs="Arial"/>
                <w:sz w:val="20"/>
                <w:szCs w:val="20"/>
              </w:rPr>
              <w:t>ii</w:t>
            </w:r>
            <w:proofErr w:type="spellEnd"/>
            <w:r w:rsidR="00F5537F" w:rsidRPr="00930F13">
              <w:rPr>
                <w:rFonts w:ascii="Arial" w:hAnsi="Arial" w:cs="Arial"/>
                <w:sz w:val="20"/>
                <w:szCs w:val="20"/>
              </w:rPr>
              <w:t xml:space="preserve">) 9001 Acciones centrales y </w:t>
            </w:r>
            <w:proofErr w:type="spellStart"/>
            <w:r w:rsidR="00F5537F" w:rsidRPr="00930F13">
              <w:rPr>
                <w:rFonts w:ascii="Arial" w:hAnsi="Arial" w:cs="Arial"/>
                <w:sz w:val="20"/>
                <w:szCs w:val="20"/>
              </w:rPr>
              <w:t>iii</w:t>
            </w:r>
            <w:proofErr w:type="spellEnd"/>
            <w:r w:rsidR="00F5537F" w:rsidRPr="00930F13">
              <w:rPr>
                <w:rFonts w:ascii="Arial" w:hAnsi="Arial" w:cs="Arial"/>
                <w:sz w:val="20"/>
                <w:szCs w:val="20"/>
              </w:rPr>
              <w:t xml:space="preserve">) 9002 Asignaciones presupuestarias que no resultan en productos. </w:t>
            </w:r>
          </w:p>
          <w:p w14:paraId="46B5C999" w14:textId="77777777" w:rsidR="0082231E" w:rsidRPr="00930F13" w:rsidRDefault="0082231E" w:rsidP="00A1156A">
            <w:pPr>
              <w:jc w:val="both"/>
              <w:rPr>
                <w:rFonts w:ascii="Arial" w:hAnsi="Arial" w:cs="Arial"/>
                <w:sz w:val="20"/>
                <w:szCs w:val="20"/>
              </w:rPr>
            </w:pPr>
          </w:p>
          <w:p w14:paraId="230A2A6D" w14:textId="4C6EE71D" w:rsidR="00A71D40" w:rsidRPr="00930F13" w:rsidRDefault="00930F13" w:rsidP="00A1156A">
            <w:pPr>
              <w:jc w:val="both"/>
              <w:rPr>
                <w:rFonts w:ascii="Arial" w:hAnsi="Arial" w:cs="Arial"/>
                <w:sz w:val="20"/>
                <w:szCs w:val="20"/>
              </w:rPr>
            </w:pPr>
            <w:r>
              <w:rPr>
                <w:rFonts w:ascii="Arial" w:hAnsi="Arial" w:cs="Arial"/>
                <w:sz w:val="20"/>
                <w:szCs w:val="20"/>
              </w:rPr>
              <w:t>E</w:t>
            </w:r>
            <w:r w:rsidR="00E145A0" w:rsidRPr="00930F13">
              <w:rPr>
                <w:rFonts w:ascii="Arial" w:hAnsi="Arial" w:cs="Arial"/>
                <w:sz w:val="20"/>
                <w:szCs w:val="20"/>
              </w:rPr>
              <w:t xml:space="preserve">l Presupuesto Institucional Modificado </w:t>
            </w:r>
            <w:r w:rsidR="00A71D40" w:rsidRPr="00930F13">
              <w:rPr>
                <w:rFonts w:ascii="Arial" w:hAnsi="Arial" w:cs="Arial"/>
                <w:sz w:val="20"/>
                <w:szCs w:val="20"/>
              </w:rPr>
              <w:t xml:space="preserve">– PIM, </w:t>
            </w:r>
            <w:r w:rsidR="00E145A0" w:rsidRPr="00930F13">
              <w:rPr>
                <w:rFonts w:ascii="Arial" w:hAnsi="Arial" w:cs="Arial"/>
                <w:sz w:val="20"/>
                <w:szCs w:val="20"/>
              </w:rPr>
              <w:t>asciende a S</w:t>
            </w:r>
            <w:r w:rsidR="009D2549" w:rsidRPr="00930F13">
              <w:rPr>
                <w:rFonts w:ascii="Arial" w:hAnsi="Arial" w:cs="Arial"/>
                <w:sz w:val="20"/>
                <w:szCs w:val="20"/>
              </w:rPr>
              <w:t xml:space="preserve">/ </w:t>
            </w:r>
            <w:r w:rsidR="00076330" w:rsidRPr="00930F13">
              <w:rPr>
                <w:rFonts w:ascii="Arial" w:hAnsi="Arial" w:cs="Arial"/>
                <w:sz w:val="20"/>
                <w:szCs w:val="20"/>
              </w:rPr>
              <w:t>42</w:t>
            </w:r>
            <w:r>
              <w:rPr>
                <w:rFonts w:ascii="Arial" w:hAnsi="Arial" w:cs="Arial"/>
                <w:sz w:val="20"/>
                <w:szCs w:val="20"/>
              </w:rPr>
              <w:t>8</w:t>
            </w:r>
            <w:r w:rsidR="008C1699" w:rsidRPr="00930F13">
              <w:rPr>
                <w:rFonts w:ascii="Arial" w:hAnsi="Arial" w:cs="Arial"/>
                <w:sz w:val="20"/>
                <w:szCs w:val="20"/>
              </w:rPr>
              <w:t xml:space="preserve"> </w:t>
            </w:r>
            <w:r>
              <w:rPr>
                <w:rFonts w:ascii="Arial" w:hAnsi="Arial" w:cs="Arial"/>
                <w:sz w:val="20"/>
                <w:szCs w:val="20"/>
              </w:rPr>
              <w:t>483</w:t>
            </w:r>
            <w:r w:rsidR="008C1699" w:rsidRPr="00930F13">
              <w:rPr>
                <w:rFonts w:ascii="Arial" w:hAnsi="Arial" w:cs="Arial"/>
                <w:sz w:val="20"/>
                <w:szCs w:val="20"/>
              </w:rPr>
              <w:t xml:space="preserve"> </w:t>
            </w:r>
            <w:r>
              <w:rPr>
                <w:rFonts w:ascii="Arial" w:hAnsi="Arial" w:cs="Arial"/>
                <w:sz w:val="20"/>
                <w:szCs w:val="20"/>
              </w:rPr>
              <w:t xml:space="preserve">561 </w:t>
            </w:r>
            <w:r w:rsidR="00B57A07">
              <w:rPr>
                <w:rFonts w:ascii="Arial" w:hAnsi="Arial" w:cs="Arial"/>
                <w:sz w:val="20"/>
                <w:szCs w:val="20"/>
              </w:rPr>
              <w:t>de</w:t>
            </w:r>
            <w:r w:rsidR="00107303">
              <w:rPr>
                <w:rFonts w:ascii="Arial" w:hAnsi="Arial" w:cs="Arial"/>
                <w:sz w:val="20"/>
                <w:szCs w:val="20"/>
              </w:rPr>
              <w:t xml:space="preserve">  </w:t>
            </w:r>
            <w:r w:rsidR="0004370E" w:rsidRPr="00930F13">
              <w:rPr>
                <w:rFonts w:ascii="Arial" w:hAnsi="Arial" w:cs="Arial"/>
                <w:sz w:val="20"/>
                <w:szCs w:val="20"/>
              </w:rPr>
              <w:t>acuerdo a</w:t>
            </w:r>
            <w:r w:rsidR="008C1699" w:rsidRPr="00930F13">
              <w:rPr>
                <w:rFonts w:ascii="Arial" w:hAnsi="Arial" w:cs="Arial"/>
                <w:sz w:val="20"/>
                <w:szCs w:val="20"/>
              </w:rPr>
              <w:t>l</w:t>
            </w:r>
            <w:r w:rsidR="0004370E" w:rsidRPr="00930F13">
              <w:rPr>
                <w:rFonts w:ascii="Arial" w:hAnsi="Arial" w:cs="Arial"/>
                <w:sz w:val="20"/>
                <w:szCs w:val="20"/>
              </w:rPr>
              <w:t xml:space="preserve"> siguiente</w:t>
            </w:r>
            <w:r w:rsidR="008C1699" w:rsidRPr="00930F13">
              <w:rPr>
                <w:rFonts w:ascii="Arial" w:hAnsi="Arial" w:cs="Arial"/>
                <w:sz w:val="20"/>
                <w:szCs w:val="20"/>
              </w:rPr>
              <w:t xml:space="preserve"> detalle</w:t>
            </w:r>
            <w:r w:rsidR="00A71D40" w:rsidRPr="00930F13">
              <w:rPr>
                <w:rFonts w:ascii="Arial" w:hAnsi="Arial" w:cs="Arial"/>
                <w:sz w:val="20"/>
                <w:szCs w:val="20"/>
              </w:rPr>
              <w:t>:</w:t>
            </w:r>
          </w:p>
          <w:p w14:paraId="2B1F972A" w14:textId="77777777" w:rsidR="00CE4877" w:rsidRPr="00F9769B" w:rsidRDefault="00CE4877" w:rsidP="00A1156A">
            <w:pPr>
              <w:jc w:val="both"/>
              <w:rPr>
                <w:rFonts w:ascii="Arial" w:hAnsi="Arial" w:cs="Arial"/>
                <w:sz w:val="20"/>
                <w:szCs w:val="20"/>
              </w:rPr>
            </w:pPr>
          </w:p>
          <w:tbl>
            <w:tblPr>
              <w:tblW w:w="9393" w:type="dxa"/>
              <w:tblInd w:w="163" w:type="dxa"/>
              <w:tblLayout w:type="fixed"/>
              <w:tblCellMar>
                <w:left w:w="70" w:type="dxa"/>
                <w:right w:w="70" w:type="dxa"/>
              </w:tblCellMar>
              <w:tblLook w:val="04A0" w:firstRow="1" w:lastRow="0" w:firstColumn="1" w:lastColumn="0" w:noHBand="0" w:noVBand="1"/>
            </w:tblPr>
            <w:tblGrid>
              <w:gridCol w:w="3233"/>
              <w:gridCol w:w="1540"/>
              <w:gridCol w:w="1360"/>
              <w:gridCol w:w="1860"/>
              <w:gridCol w:w="1400"/>
            </w:tblGrid>
            <w:tr w:rsidR="002C37BB" w:rsidRPr="002C37BB" w14:paraId="7594973C" w14:textId="77777777" w:rsidTr="002C37BB">
              <w:trPr>
                <w:trHeight w:val="390"/>
              </w:trPr>
              <w:tc>
                <w:tcPr>
                  <w:tcW w:w="3233"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31B04116" w14:textId="77777777" w:rsidR="002C37BB" w:rsidRPr="002C37BB" w:rsidRDefault="002C37BB" w:rsidP="002C37BB">
                  <w:pPr>
                    <w:spacing w:after="0" w:line="240" w:lineRule="auto"/>
                    <w:ind w:left="98"/>
                    <w:jc w:val="center"/>
                    <w:rPr>
                      <w:rFonts w:ascii="Arial" w:eastAsia="Times New Roman" w:hAnsi="Arial" w:cs="Arial"/>
                      <w:b/>
                      <w:bCs/>
                      <w:color w:val="FFFFFF"/>
                      <w:lang w:eastAsia="es-PE"/>
                    </w:rPr>
                  </w:pPr>
                  <w:r w:rsidRPr="002C37BB">
                    <w:rPr>
                      <w:rFonts w:ascii="Arial" w:eastAsia="Times New Roman" w:hAnsi="Arial" w:cs="Arial"/>
                      <w:b/>
                      <w:bCs/>
                      <w:color w:val="FFFFFF"/>
                      <w:lang w:eastAsia="es-PE"/>
                    </w:rPr>
                    <w:t>Categoría Presupuestal</w:t>
                  </w:r>
                </w:p>
              </w:tc>
              <w:tc>
                <w:tcPr>
                  <w:tcW w:w="1540" w:type="dxa"/>
                  <w:tcBorders>
                    <w:top w:val="single" w:sz="8" w:space="0" w:color="auto"/>
                    <w:left w:val="nil"/>
                    <w:bottom w:val="single" w:sz="8" w:space="0" w:color="auto"/>
                    <w:right w:val="single" w:sz="8" w:space="0" w:color="auto"/>
                  </w:tcBorders>
                  <w:shd w:val="clear" w:color="000000" w:fill="305496"/>
                  <w:noWrap/>
                  <w:vAlign w:val="center"/>
                  <w:hideMark/>
                </w:tcPr>
                <w:p w14:paraId="51BDB2F2" w14:textId="77777777" w:rsidR="002C37BB" w:rsidRPr="002C37BB" w:rsidRDefault="002C37BB" w:rsidP="002C37BB">
                  <w:pPr>
                    <w:spacing w:after="0" w:line="240" w:lineRule="auto"/>
                    <w:ind w:left="98"/>
                    <w:jc w:val="center"/>
                    <w:rPr>
                      <w:rFonts w:ascii="Arial" w:eastAsia="Times New Roman" w:hAnsi="Arial" w:cs="Arial"/>
                      <w:b/>
                      <w:bCs/>
                      <w:color w:val="FFFFFF"/>
                      <w:lang w:eastAsia="es-PE"/>
                    </w:rPr>
                  </w:pPr>
                  <w:r w:rsidRPr="002C37BB">
                    <w:rPr>
                      <w:rFonts w:ascii="Arial" w:eastAsia="Times New Roman" w:hAnsi="Arial" w:cs="Arial"/>
                      <w:b/>
                      <w:bCs/>
                      <w:color w:val="FFFFFF"/>
                      <w:lang w:eastAsia="es-PE"/>
                    </w:rPr>
                    <w:t>PIA</w:t>
                  </w:r>
                </w:p>
              </w:tc>
              <w:tc>
                <w:tcPr>
                  <w:tcW w:w="1360" w:type="dxa"/>
                  <w:tcBorders>
                    <w:top w:val="single" w:sz="8" w:space="0" w:color="auto"/>
                    <w:left w:val="nil"/>
                    <w:bottom w:val="single" w:sz="8" w:space="0" w:color="auto"/>
                    <w:right w:val="single" w:sz="8" w:space="0" w:color="auto"/>
                  </w:tcBorders>
                  <w:shd w:val="clear" w:color="000000" w:fill="305496"/>
                  <w:noWrap/>
                  <w:vAlign w:val="center"/>
                  <w:hideMark/>
                </w:tcPr>
                <w:p w14:paraId="7586D277" w14:textId="77777777" w:rsidR="002C37BB" w:rsidRPr="002C37BB" w:rsidRDefault="002C37BB" w:rsidP="002C37BB">
                  <w:pPr>
                    <w:spacing w:after="0" w:line="240" w:lineRule="auto"/>
                    <w:ind w:left="98"/>
                    <w:jc w:val="center"/>
                    <w:rPr>
                      <w:rFonts w:ascii="Arial" w:eastAsia="Times New Roman" w:hAnsi="Arial" w:cs="Arial"/>
                      <w:b/>
                      <w:bCs/>
                      <w:color w:val="FFFFFF"/>
                      <w:lang w:eastAsia="es-PE"/>
                    </w:rPr>
                  </w:pPr>
                  <w:r w:rsidRPr="002C37BB">
                    <w:rPr>
                      <w:rFonts w:ascii="Arial" w:eastAsia="Times New Roman" w:hAnsi="Arial" w:cs="Arial"/>
                      <w:b/>
                      <w:bCs/>
                      <w:color w:val="FFFFFF"/>
                      <w:lang w:eastAsia="es-PE"/>
                    </w:rPr>
                    <w:t>%</w:t>
                  </w:r>
                </w:p>
              </w:tc>
              <w:tc>
                <w:tcPr>
                  <w:tcW w:w="1860" w:type="dxa"/>
                  <w:tcBorders>
                    <w:top w:val="single" w:sz="8" w:space="0" w:color="auto"/>
                    <w:left w:val="nil"/>
                    <w:bottom w:val="single" w:sz="8" w:space="0" w:color="auto"/>
                    <w:right w:val="single" w:sz="8" w:space="0" w:color="auto"/>
                  </w:tcBorders>
                  <w:shd w:val="clear" w:color="000000" w:fill="305496"/>
                  <w:noWrap/>
                  <w:vAlign w:val="center"/>
                  <w:hideMark/>
                </w:tcPr>
                <w:p w14:paraId="5045164A" w14:textId="77777777" w:rsidR="002C37BB" w:rsidRPr="002C37BB" w:rsidRDefault="002C37BB" w:rsidP="002C37BB">
                  <w:pPr>
                    <w:spacing w:after="0" w:line="240" w:lineRule="auto"/>
                    <w:ind w:left="98"/>
                    <w:jc w:val="center"/>
                    <w:rPr>
                      <w:rFonts w:ascii="Arial" w:eastAsia="Times New Roman" w:hAnsi="Arial" w:cs="Arial"/>
                      <w:b/>
                      <w:bCs/>
                      <w:color w:val="FFFFFF"/>
                      <w:lang w:eastAsia="es-PE"/>
                    </w:rPr>
                  </w:pPr>
                  <w:r w:rsidRPr="002C37BB">
                    <w:rPr>
                      <w:rFonts w:ascii="Arial" w:eastAsia="Times New Roman" w:hAnsi="Arial" w:cs="Arial"/>
                      <w:b/>
                      <w:bCs/>
                      <w:color w:val="FFFFFF"/>
                      <w:lang w:eastAsia="es-PE"/>
                    </w:rPr>
                    <w:t>PIM</w:t>
                  </w:r>
                </w:p>
              </w:tc>
              <w:tc>
                <w:tcPr>
                  <w:tcW w:w="1400" w:type="dxa"/>
                  <w:tcBorders>
                    <w:top w:val="single" w:sz="8" w:space="0" w:color="auto"/>
                    <w:left w:val="nil"/>
                    <w:bottom w:val="single" w:sz="8" w:space="0" w:color="auto"/>
                    <w:right w:val="single" w:sz="8" w:space="0" w:color="auto"/>
                  </w:tcBorders>
                  <w:shd w:val="clear" w:color="000000" w:fill="305496"/>
                  <w:noWrap/>
                  <w:vAlign w:val="center"/>
                  <w:hideMark/>
                </w:tcPr>
                <w:p w14:paraId="057506DA" w14:textId="77777777" w:rsidR="002C37BB" w:rsidRPr="002C37BB" w:rsidRDefault="002C37BB" w:rsidP="002C37BB">
                  <w:pPr>
                    <w:spacing w:after="0" w:line="240" w:lineRule="auto"/>
                    <w:ind w:left="98"/>
                    <w:jc w:val="center"/>
                    <w:rPr>
                      <w:rFonts w:ascii="Arial" w:eastAsia="Times New Roman" w:hAnsi="Arial" w:cs="Arial"/>
                      <w:b/>
                      <w:bCs/>
                      <w:color w:val="FFFFFF"/>
                      <w:lang w:eastAsia="es-PE"/>
                    </w:rPr>
                  </w:pPr>
                  <w:r w:rsidRPr="002C37BB">
                    <w:rPr>
                      <w:rFonts w:ascii="Arial" w:eastAsia="Times New Roman" w:hAnsi="Arial" w:cs="Arial"/>
                      <w:b/>
                      <w:bCs/>
                      <w:color w:val="FFFFFF"/>
                      <w:lang w:eastAsia="es-PE"/>
                    </w:rPr>
                    <w:t>%</w:t>
                  </w:r>
                </w:p>
              </w:tc>
            </w:tr>
            <w:tr w:rsidR="002C37BB" w:rsidRPr="002C37BB" w14:paraId="500B492F" w14:textId="77777777" w:rsidTr="002C37BB">
              <w:trPr>
                <w:trHeight w:val="315"/>
              </w:trPr>
              <w:tc>
                <w:tcPr>
                  <w:tcW w:w="3233" w:type="dxa"/>
                  <w:tcBorders>
                    <w:top w:val="nil"/>
                    <w:left w:val="single" w:sz="8" w:space="0" w:color="auto"/>
                    <w:bottom w:val="single" w:sz="8" w:space="0" w:color="auto"/>
                    <w:right w:val="single" w:sz="8" w:space="0" w:color="auto"/>
                  </w:tcBorders>
                  <w:shd w:val="clear" w:color="auto" w:fill="auto"/>
                  <w:noWrap/>
                  <w:vAlign w:val="center"/>
                  <w:hideMark/>
                </w:tcPr>
                <w:p w14:paraId="607AC1EB" w14:textId="77777777" w:rsidR="002C37BB" w:rsidRPr="002C37BB" w:rsidRDefault="002C37BB" w:rsidP="002C37BB">
                  <w:pPr>
                    <w:spacing w:after="0" w:line="240" w:lineRule="auto"/>
                    <w:ind w:left="98" w:firstLineChars="200" w:firstLine="440"/>
                    <w:rPr>
                      <w:rFonts w:ascii="Arial" w:eastAsia="Times New Roman" w:hAnsi="Arial" w:cs="Arial"/>
                      <w:color w:val="000000"/>
                      <w:lang w:eastAsia="es-PE"/>
                    </w:rPr>
                  </w:pPr>
                  <w:r w:rsidRPr="002C37BB">
                    <w:rPr>
                      <w:rFonts w:ascii="Arial" w:eastAsia="Times New Roman" w:hAnsi="Arial" w:cs="Arial"/>
                      <w:color w:val="000000"/>
                      <w:lang w:eastAsia="es-PE"/>
                    </w:rPr>
                    <w:t>0118. HAKU WIÑAY</w:t>
                  </w:r>
                </w:p>
              </w:tc>
              <w:tc>
                <w:tcPr>
                  <w:tcW w:w="1540" w:type="dxa"/>
                  <w:tcBorders>
                    <w:top w:val="nil"/>
                    <w:left w:val="nil"/>
                    <w:bottom w:val="single" w:sz="8" w:space="0" w:color="auto"/>
                    <w:right w:val="single" w:sz="8" w:space="0" w:color="auto"/>
                  </w:tcBorders>
                  <w:shd w:val="clear" w:color="auto" w:fill="auto"/>
                  <w:noWrap/>
                  <w:vAlign w:val="center"/>
                  <w:hideMark/>
                </w:tcPr>
                <w:p w14:paraId="606E4E94"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245 795 445</w:t>
                  </w:r>
                </w:p>
              </w:tc>
              <w:tc>
                <w:tcPr>
                  <w:tcW w:w="1360" w:type="dxa"/>
                  <w:tcBorders>
                    <w:top w:val="nil"/>
                    <w:left w:val="nil"/>
                    <w:bottom w:val="single" w:sz="8" w:space="0" w:color="auto"/>
                    <w:right w:val="single" w:sz="8" w:space="0" w:color="auto"/>
                  </w:tcBorders>
                  <w:shd w:val="clear" w:color="auto" w:fill="auto"/>
                  <w:noWrap/>
                  <w:vAlign w:val="center"/>
                  <w:hideMark/>
                </w:tcPr>
                <w:p w14:paraId="02C9676D"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84,56%</w:t>
                  </w:r>
                </w:p>
              </w:tc>
              <w:tc>
                <w:tcPr>
                  <w:tcW w:w="1860" w:type="dxa"/>
                  <w:tcBorders>
                    <w:top w:val="nil"/>
                    <w:left w:val="nil"/>
                    <w:bottom w:val="single" w:sz="8" w:space="0" w:color="auto"/>
                    <w:right w:val="single" w:sz="8" w:space="0" w:color="auto"/>
                  </w:tcBorders>
                  <w:shd w:val="clear" w:color="auto" w:fill="auto"/>
                  <w:noWrap/>
                  <w:vAlign w:val="center"/>
                  <w:hideMark/>
                </w:tcPr>
                <w:p w14:paraId="0391640B"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247 191 251</w:t>
                  </w:r>
                </w:p>
              </w:tc>
              <w:tc>
                <w:tcPr>
                  <w:tcW w:w="1400" w:type="dxa"/>
                  <w:tcBorders>
                    <w:top w:val="nil"/>
                    <w:left w:val="nil"/>
                    <w:bottom w:val="single" w:sz="8" w:space="0" w:color="auto"/>
                    <w:right w:val="single" w:sz="8" w:space="0" w:color="auto"/>
                  </w:tcBorders>
                  <w:shd w:val="clear" w:color="auto" w:fill="auto"/>
                  <w:noWrap/>
                  <w:vAlign w:val="center"/>
                  <w:hideMark/>
                </w:tcPr>
                <w:p w14:paraId="7BB7AA40"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57,69%</w:t>
                  </w:r>
                </w:p>
              </w:tc>
            </w:tr>
            <w:tr w:rsidR="002C37BB" w:rsidRPr="002C37BB" w14:paraId="108DB7C3" w14:textId="77777777" w:rsidTr="002C37BB">
              <w:trPr>
                <w:trHeight w:val="315"/>
              </w:trPr>
              <w:tc>
                <w:tcPr>
                  <w:tcW w:w="3233" w:type="dxa"/>
                  <w:tcBorders>
                    <w:top w:val="nil"/>
                    <w:left w:val="single" w:sz="8" w:space="0" w:color="auto"/>
                    <w:bottom w:val="single" w:sz="8" w:space="0" w:color="auto"/>
                    <w:right w:val="single" w:sz="8" w:space="0" w:color="auto"/>
                  </w:tcBorders>
                  <w:shd w:val="clear" w:color="auto" w:fill="auto"/>
                  <w:noWrap/>
                  <w:vAlign w:val="center"/>
                  <w:hideMark/>
                </w:tcPr>
                <w:p w14:paraId="5C036903" w14:textId="77777777" w:rsidR="002C37BB" w:rsidRPr="002C37BB" w:rsidRDefault="002C37BB" w:rsidP="002C37BB">
                  <w:pPr>
                    <w:spacing w:after="0" w:line="240" w:lineRule="auto"/>
                    <w:ind w:left="98" w:firstLineChars="200" w:firstLine="440"/>
                    <w:rPr>
                      <w:rFonts w:ascii="Arial" w:eastAsia="Times New Roman" w:hAnsi="Arial" w:cs="Arial"/>
                      <w:color w:val="000000"/>
                      <w:lang w:eastAsia="es-PE"/>
                    </w:rPr>
                  </w:pPr>
                  <w:r w:rsidRPr="002C37BB">
                    <w:rPr>
                      <w:rFonts w:ascii="Arial" w:eastAsia="Times New Roman" w:hAnsi="Arial" w:cs="Arial"/>
                      <w:color w:val="000000"/>
                      <w:lang w:eastAsia="es-PE"/>
                    </w:rPr>
                    <w:t>9001. Acciones Centrales</w:t>
                  </w:r>
                </w:p>
              </w:tc>
              <w:tc>
                <w:tcPr>
                  <w:tcW w:w="1540" w:type="dxa"/>
                  <w:tcBorders>
                    <w:top w:val="nil"/>
                    <w:left w:val="nil"/>
                    <w:bottom w:val="single" w:sz="8" w:space="0" w:color="auto"/>
                    <w:right w:val="single" w:sz="8" w:space="0" w:color="auto"/>
                  </w:tcBorders>
                  <w:shd w:val="clear" w:color="auto" w:fill="auto"/>
                  <w:noWrap/>
                  <w:vAlign w:val="center"/>
                  <w:hideMark/>
                </w:tcPr>
                <w:p w14:paraId="09E0893C"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44 333 757</w:t>
                  </w:r>
                </w:p>
              </w:tc>
              <w:tc>
                <w:tcPr>
                  <w:tcW w:w="1360" w:type="dxa"/>
                  <w:tcBorders>
                    <w:top w:val="nil"/>
                    <w:left w:val="nil"/>
                    <w:bottom w:val="single" w:sz="8" w:space="0" w:color="auto"/>
                    <w:right w:val="single" w:sz="8" w:space="0" w:color="auto"/>
                  </w:tcBorders>
                  <w:shd w:val="clear" w:color="auto" w:fill="auto"/>
                  <w:noWrap/>
                  <w:vAlign w:val="center"/>
                  <w:hideMark/>
                </w:tcPr>
                <w:p w14:paraId="05FD80EB"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15,25%</w:t>
                  </w:r>
                </w:p>
              </w:tc>
              <w:tc>
                <w:tcPr>
                  <w:tcW w:w="1860" w:type="dxa"/>
                  <w:tcBorders>
                    <w:top w:val="nil"/>
                    <w:left w:val="nil"/>
                    <w:bottom w:val="single" w:sz="8" w:space="0" w:color="auto"/>
                    <w:right w:val="single" w:sz="8" w:space="0" w:color="auto"/>
                  </w:tcBorders>
                  <w:shd w:val="clear" w:color="auto" w:fill="auto"/>
                  <w:noWrap/>
                  <w:vAlign w:val="center"/>
                  <w:hideMark/>
                </w:tcPr>
                <w:p w14:paraId="69475ABC"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44 266 466</w:t>
                  </w:r>
                </w:p>
              </w:tc>
              <w:tc>
                <w:tcPr>
                  <w:tcW w:w="1400" w:type="dxa"/>
                  <w:tcBorders>
                    <w:top w:val="nil"/>
                    <w:left w:val="nil"/>
                    <w:bottom w:val="single" w:sz="8" w:space="0" w:color="auto"/>
                    <w:right w:val="single" w:sz="8" w:space="0" w:color="auto"/>
                  </w:tcBorders>
                  <w:shd w:val="clear" w:color="auto" w:fill="auto"/>
                  <w:noWrap/>
                  <w:vAlign w:val="center"/>
                  <w:hideMark/>
                </w:tcPr>
                <w:p w14:paraId="7170D44E"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10,33%</w:t>
                  </w:r>
                </w:p>
              </w:tc>
            </w:tr>
            <w:tr w:rsidR="002C37BB" w:rsidRPr="002C37BB" w14:paraId="6D54962D" w14:textId="77777777" w:rsidTr="002C37BB">
              <w:trPr>
                <w:trHeight w:val="315"/>
              </w:trPr>
              <w:tc>
                <w:tcPr>
                  <w:tcW w:w="3233" w:type="dxa"/>
                  <w:tcBorders>
                    <w:top w:val="nil"/>
                    <w:left w:val="single" w:sz="8" w:space="0" w:color="auto"/>
                    <w:bottom w:val="single" w:sz="8" w:space="0" w:color="auto"/>
                    <w:right w:val="single" w:sz="8" w:space="0" w:color="auto"/>
                  </w:tcBorders>
                  <w:shd w:val="clear" w:color="auto" w:fill="auto"/>
                  <w:noWrap/>
                  <w:vAlign w:val="center"/>
                  <w:hideMark/>
                </w:tcPr>
                <w:p w14:paraId="27CF7E65" w14:textId="77777777" w:rsidR="002C37BB" w:rsidRPr="002C37BB" w:rsidRDefault="002C37BB" w:rsidP="002C37BB">
                  <w:pPr>
                    <w:spacing w:after="0" w:line="240" w:lineRule="auto"/>
                    <w:ind w:left="98" w:firstLineChars="200" w:firstLine="440"/>
                    <w:rPr>
                      <w:rFonts w:ascii="Arial" w:eastAsia="Times New Roman" w:hAnsi="Arial" w:cs="Arial"/>
                      <w:color w:val="000000"/>
                      <w:lang w:eastAsia="es-PE"/>
                    </w:rPr>
                  </w:pPr>
                  <w:r w:rsidRPr="002C37BB">
                    <w:rPr>
                      <w:rFonts w:ascii="Arial" w:eastAsia="Times New Roman" w:hAnsi="Arial" w:cs="Arial"/>
                      <w:color w:val="000000"/>
                      <w:lang w:eastAsia="es-PE"/>
                    </w:rPr>
                    <w:t>9002. APNOP</w:t>
                  </w:r>
                </w:p>
              </w:tc>
              <w:tc>
                <w:tcPr>
                  <w:tcW w:w="1540" w:type="dxa"/>
                  <w:tcBorders>
                    <w:top w:val="nil"/>
                    <w:left w:val="nil"/>
                    <w:bottom w:val="single" w:sz="8" w:space="0" w:color="auto"/>
                    <w:right w:val="single" w:sz="8" w:space="0" w:color="auto"/>
                  </w:tcBorders>
                  <w:shd w:val="clear" w:color="auto" w:fill="auto"/>
                  <w:noWrap/>
                  <w:vAlign w:val="center"/>
                  <w:hideMark/>
                </w:tcPr>
                <w:p w14:paraId="5E30B844"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550 000</w:t>
                  </w:r>
                </w:p>
              </w:tc>
              <w:tc>
                <w:tcPr>
                  <w:tcW w:w="1360" w:type="dxa"/>
                  <w:tcBorders>
                    <w:top w:val="nil"/>
                    <w:left w:val="nil"/>
                    <w:bottom w:val="single" w:sz="8" w:space="0" w:color="auto"/>
                    <w:right w:val="single" w:sz="8" w:space="0" w:color="auto"/>
                  </w:tcBorders>
                  <w:shd w:val="clear" w:color="auto" w:fill="auto"/>
                  <w:noWrap/>
                  <w:vAlign w:val="center"/>
                  <w:hideMark/>
                </w:tcPr>
                <w:p w14:paraId="0E19DECD"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0,19%</w:t>
                  </w:r>
                </w:p>
              </w:tc>
              <w:tc>
                <w:tcPr>
                  <w:tcW w:w="1860" w:type="dxa"/>
                  <w:tcBorders>
                    <w:top w:val="nil"/>
                    <w:left w:val="nil"/>
                    <w:bottom w:val="single" w:sz="8" w:space="0" w:color="auto"/>
                    <w:right w:val="single" w:sz="8" w:space="0" w:color="auto"/>
                  </w:tcBorders>
                  <w:shd w:val="clear" w:color="auto" w:fill="auto"/>
                  <w:noWrap/>
                  <w:vAlign w:val="center"/>
                  <w:hideMark/>
                </w:tcPr>
                <w:p w14:paraId="118506A3"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137 025 844</w:t>
                  </w:r>
                </w:p>
              </w:tc>
              <w:tc>
                <w:tcPr>
                  <w:tcW w:w="1400" w:type="dxa"/>
                  <w:tcBorders>
                    <w:top w:val="nil"/>
                    <w:left w:val="nil"/>
                    <w:bottom w:val="single" w:sz="8" w:space="0" w:color="auto"/>
                    <w:right w:val="single" w:sz="8" w:space="0" w:color="auto"/>
                  </w:tcBorders>
                  <w:shd w:val="clear" w:color="auto" w:fill="auto"/>
                  <w:noWrap/>
                  <w:vAlign w:val="center"/>
                  <w:hideMark/>
                </w:tcPr>
                <w:p w14:paraId="375C5C7A" w14:textId="77777777" w:rsidR="002C37BB" w:rsidRPr="002C37BB" w:rsidRDefault="002C37BB" w:rsidP="002C37BB">
                  <w:pPr>
                    <w:spacing w:after="0" w:line="240" w:lineRule="auto"/>
                    <w:ind w:left="98"/>
                    <w:jc w:val="right"/>
                    <w:rPr>
                      <w:rFonts w:ascii="Arial" w:eastAsia="Times New Roman" w:hAnsi="Arial" w:cs="Arial"/>
                      <w:color w:val="000000"/>
                      <w:lang w:eastAsia="es-PE"/>
                    </w:rPr>
                  </w:pPr>
                  <w:r w:rsidRPr="002C37BB">
                    <w:rPr>
                      <w:rFonts w:ascii="Arial" w:eastAsia="Times New Roman" w:hAnsi="Arial" w:cs="Arial"/>
                      <w:color w:val="000000"/>
                      <w:lang w:eastAsia="es-PE"/>
                    </w:rPr>
                    <w:t>31,98%</w:t>
                  </w:r>
                </w:p>
              </w:tc>
            </w:tr>
            <w:tr w:rsidR="002C37BB" w:rsidRPr="002C37BB" w14:paraId="0C306D9D" w14:textId="77777777" w:rsidTr="002C37BB">
              <w:trPr>
                <w:trHeight w:val="435"/>
              </w:trPr>
              <w:tc>
                <w:tcPr>
                  <w:tcW w:w="3233" w:type="dxa"/>
                  <w:tcBorders>
                    <w:top w:val="nil"/>
                    <w:left w:val="single" w:sz="8" w:space="0" w:color="auto"/>
                    <w:bottom w:val="single" w:sz="8" w:space="0" w:color="auto"/>
                    <w:right w:val="single" w:sz="8" w:space="0" w:color="auto"/>
                  </w:tcBorders>
                  <w:shd w:val="clear" w:color="000000" w:fill="305496"/>
                  <w:noWrap/>
                  <w:vAlign w:val="center"/>
                  <w:hideMark/>
                </w:tcPr>
                <w:p w14:paraId="61121EBA" w14:textId="77777777" w:rsidR="002C37BB" w:rsidRPr="002C37BB" w:rsidRDefault="002C37BB" w:rsidP="002C37BB">
                  <w:pPr>
                    <w:spacing w:after="0" w:line="240" w:lineRule="auto"/>
                    <w:ind w:left="98"/>
                    <w:jc w:val="center"/>
                    <w:rPr>
                      <w:rFonts w:ascii="Arial" w:eastAsia="Times New Roman" w:hAnsi="Arial" w:cs="Arial"/>
                      <w:b/>
                      <w:bCs/>
                      <w:color w:val="FFFFFF"/>
                      <w:lang w:eastAsia="es-PE"/>
                    </w:rPr>
                  </w:pPr>
                  <w:r w:rsidRPr="002C37BB">
                    <w:rPr>
                      <w:rFonts w:ascii="Arial" w:eastAsia="Times New Roman" w:hAnsi="Arial" w:cs="Arial"/>
                      <w:b/>
                      <w:bCs/>
                      <w:color w:val="FFFFFF"/>
                      <w:lang w:eastAsia="es-PE"/>
                    </w:rPr>
                    <w:t>Total</w:t>
                  </w:r>
                </w:p>
              </w:tc>
              <w:tc>
                <w:tcPr>
                  <w:tcW w:w="1540" w:type="dxa"/>
                  <w:tcBorders>
                    <w:top w:val="nil"/>
                    <w:left w:val="nil"/>
                    <w:bottom w:val="single" w:sz="8" w:space="0" w:color="auto"/>
                    <w:right w:val="single" w:sz="8" w:space="0" w:color="auto"/>
                  </w:tcBorders>
                  <w:shd w:val="clear" w:color="000000" w:fill="305496"/>
                  <w:noWrap/>
                  <w:vAlign w:val="center"/>
                  <w:hideMark/>
                </w:tcPr>
                <w:p w14:paraId="0F31B272" w14:textId="77777777" w:rsidR="002C37BB" w:rsidRPr="002C37BB" w:rsidRDefault="002C37BB" w:rsidP="002C37BB">
                  <w:pPr>
                    <w:spacing w:after="0" w:line="240" w:lineRule="auto"/>
                    <w:ind w:left="98"/>
                    <w:jc w:val="right"/>
                    <w:rPr>
                      <w:rFonts w:ascii="Arial" w:eastAsia="Times New Roman" w:hAnsi="Arial" w:cs="Arial"/>
                      <w:b/>
                      <w:bCs/>
                      <w:color w:val="FFFFFF"/>
                      <w:lang w:eastAsia="es-PE"/>
                    </w:rPr>
                  </w:pPr>
                  <w:r w:rsidRPr="002C37BB">
                    <w:rPr>
                      <w:rFonts w:ascii="Arial" w:eastAsia="Times New Roman" w:hAnsi="Arial" w:cs="Arial"/>
                      <w:b/>
                      <w:bCs/>
                      <w:color w:val="FFFFFF"/>
                      <w:lang w:eastAsia="es-PE"/>
                    </w:rPr>
                    <w:t>290 679 202</w:t>
                  </w:r>
                </w:p>
              </w:tc>
              <w:tc>
                <w:tcPr>
                  <w:tcW w:w="1360" w:type="dxa"/>
                  <w:tcBorders>
                    <w:top w:val="nil"/>
                    <w:left w:val="nil"/>
                    <w:bottom w:val="single" w:sz="8" w:space="0" w:color="auto"/>
                    <w:right w:val="single" w:sz="8" w:space="0" w:color="auto"/>
                  </w:tcBorders>
                  <w:shd w:val="clear" w:color="000000" w:fill="305496"/>
                  <w:noWrap/>
                  <w:vAlign w:val="center"/>
                  <w:hideMark/>
                </w:tcPr>
                <w:p w14:paraId="00976FF9" w14:textId="77777777" w:rsidR="002C37BB" w:rsidRPr="002C37BB" w:rsidRDefault="002C37BB" w:rsidP="002C37BB">
                  <w:pPr>
                    <w:spacing w:after="0" w:line="240" w:lineRule="auto"/>
                    <w:ind w:left="98"/>
                    <w:jc w:val="right"/>
                    <w:rPr>
                      <w:rFonts w:ascii="Arial" w:eastAsia="Times New Roman" w:hAnsi="Arial" w:cs="Arial"/>
                      <w:b/>
                      <w:bCs/>
                      <w:color w:val="FFFFFF"/>
                      <w:lang w:eastAsia="es-PE"/>
                    </w:rPr>
                  </w:pPr>
                  <w:r w:rsidRPr="002C37BB">
                    <w:rPr>
                      <w:rFonts w:ascii="Arial" w:eastAsia="Times New Roman" w:hAnsi="Arial" w:cs="Arial"/>
                      <w:b/>
                      <w:bCs/>
                      <w:color w:val="FFFFFF"/>
                      <w:lang w:eastAsia="es-PE"/>
                    </w:rPr>
                    <w:t>100,00%</w:t>
                  </w:r>
                </w:p>
              </w:tc>
              <w:tc>
                <w:tcPr>
                  <w:tcW w:w="1860" w:type="dxa"/>
                  <w:tcBorders>
                    <w:top w:val="nil"/>
                    <w:left w:val="nil"/>
                    <w:bottom w:val="single" w:sz="8" w:space="0" w:color="auto"/>
                    <w:right w:val="single" w:sz="8" w:space="0" w:color="auto"/>
                  </w:tcBorders>
                  <w:shd w:val="clear" w:color="000000" w:fill="305496"/>
                  <w:noWrap/>
                  <w:vAlign w:val="center"/>
                  <w:hideMark/>
                </w:tcPr>
                <w:p w14:paraId="4CAF4B8B" w14:textId="77777777" w:rsidR="002C37BB" w:rsidRPr="002C37BB" w:rsidRDefault="002C37BB" w:rsidP="002C37BB">
                  <w:pPr>
                    <w:spacing w:after="0" w:line="240" w:lineRule="auto"/>
                    <w:ind w:left="98"/>
                    <w:jc w:val="right"/>
                    <w:rPr>
                      <w:rFonts w:ascii="Arial" w:eastAsia="Times New Roman" w:hAnsi="Arial" w:cs="Arial"/>
                      <w:b/>
                      <w:bCs/>
                      <w:color w:val="FFFFFF"/>
                      <w:lang w:eastAsia="es-PE"/>
                    </w:rPr>
                  </w:pPr>
                  <w:r w:rsidRPr="002C37BB">
                    <w:rPr>
                      <w:rFonts w:ascii="Arial" w:eastAsia="Times New Roman" w:hAnsi="Arial" w:cs="Arial"/>
                      <w:b/>
                      <w:bCs/>
                      <w:color w:val="FFFFFF"/>
                      <w:lang w:eastAsia="es-PE"/>
                    </w:rPr>
                    <w:t>428 483 561</w:t>
                  </w:r>
                </w:p>
              </w:tc>
              <w:tc>
                <w:tcPr>
                  <w:tcW w:w="1400" w:type="dxa"/>
                  <w:tcBorders>
                    <w:top w:val="nil"/>
                    <w:left w:val="nil"/>
                    <w:bottom w:val="single" w:sz="8" w:space="0" w:color="auto"/>
                    <w:right w:val="single" w:sz="8" w:space="0" w:color="auto"/>
                  </w:tcBorders>
                  <w:shd w:val="clear" w:color="000000" w:fill="305496"/>
                  <w:noWrap/>
                  <w:vAlign w:val="center"/>
                  <w:hideMark/>
                </w:tcPr>
                <w:p w14:paraId="7BF1F427" w14:textId="77777777" w:rsidR="002C37BB" w:rsidRPr="002C37BB" w:rsidRDefault="002C37BB" w:rsidP="002C37BB">
                  <w:pPr>
                    <w:spacing w:after="0" w:line="240" w:lineRule="auto"/>
                    <w:ind w:left="98"/>
                    <w:jc w:val="right"/>
                    <w:rPr>
                      <w:rFonts w:ascii="Arial" w:eastAsia="Times New Roman" w:hAnsi="Arial" w:cs="Arial"/>
                      <w:b/>
                      <w:bCs/>
                      <w:color w:val="FFFFFF"/>
                      <w:lang w:eastAsia="es-PE"/>
                    </w:rPr>
                  </w:pPr>
                  <w:r w:rsidRPr="002C37BB">
                    <w:rPr>
                      <w:rFonts w:ascii="Arial" w:eastAsia="Times New Roman" w:hAnsi="Arial" w:cs="Arial"/>
                      <w:b/>
                      <w:bCs/>
                      <w:color w:val="FFFFFF"/>
                      <w:lang w:eastAsia="es-PE"/>
                    </w:rPr>
                    <w:t>100,00%</w:t>
                  </w:r>
                </w:p>
              </w:tc>
            </w:tr>
            <w:tr w:rsidR="002C37BB" w:rsidRPr="002C37BB" w14:paraId="5B126ECC" w14:textId="77777777" w:rsidTr="002C37BB">
              <w:trPr>
                <w:trHeight w:val="300"/>
              </w:trPr>
              <w:tc>
                <w:tcPr>
                  <w:tcW w:w="3233" w:type="dxa"/>
                  <w:tcBorders>
                    <w:top w:val="nil"/>
                    <w:left w:val="nil"/>
                    <w:bottom w:val="nil"/>
                    <w:right w:val="nil"/>
                  </w:tcBorders>
                  <w:shd w:val="clear" w:color="auto" w:fill="auto"/>
                  <w:noWrap/>
                  <w:vAlign w:val="bottom"/>
                  <w:hideMark/>
                </w:tcPr>
                <w:p w14:paraId="38E9D3D0" w14:textId="77777777" w:rsidR="002C37BB" w:rsidRPr="002C37BB" w:rsidRDefault="002C37BB" w:rsidP="002C37BB">
                  <w:pPr>
                    <w:spacing w:after="0" w:line="240" w:lineRule="auto"/>
                    <w:ind w:left="98"/>
                    <w:rPr>
                      <w:rFonts w:ascii="Ariel narrow" w:eastAsia="Times New Roman" w:hAnsi="Ariel narrow" w:cs="Calibri"/>
                      <w:b/>
                      <w:bCs/>
                      <w:color w:val="000000"/>
                      <w:sz w:val="16"/>
                      <w:szCs w:val="16"/>
                      <w:lang w:eastAsia="es-PE"/>
                    </w:rPr>
                  </w:pPr>
                  <w:proofErr w:type="spellStart"/>
                  <w:r w:rsidRPr="002C37BB">
                    <w:rPr>
                      <w:rFonts w:ascii="Ariel narrow" w:eastAsia="Times New Roman" w:hAnsi="Ariel narrow" w:cs="Calibri"/>
                      <w:b/>
                      <w:bCs/>
                      <w:color w:val="000000"/>
                      <w:sz w:val="16"/>
                      <w:szCs w:val="16"/>
                      <w:lang w:eastAsia="es-PE"/>
                    </w:rPr>
                    <w:t>Fte</w:t>
                  </w:r>
                  <w:proofErr w:type="spellEnd"/>
                  <w:r w:rsidRPr="002C37BB">
                    <w:rPr>
                      <w:rFonts w:ascii="Ariel narrow" w:eastAsia="Times New Roman" w:hAnsi="Ariel narrow" w:cs="Calibri"/>
                      <w:b/>
                      <w:bCs/>
                      <w:color w:val="000000"/>
                      <w:sz w:val="16"/>
                      <w:szCs w:val="16"/>
                      <w:lang w:eastAsia="es-PE"/>
                    </w:rPr>
                    <w:t>: SIAF WEB 30/09/2023</w:t>
                  </w:r>
                </w:p>
              </w:tc>
              <w:tc>
                <w:tcPr>
                  <w:tcW w:w="1540" w:type="dxa"/>
                  <w:tcBorders>
                    <w:top w:val="nil"/>
                    <w:left w:val="nil"/>
                    <w:bottom w:val="nil"/>
                    <w:right w:val="nil"/>
                  </w:tcBorders>
                  <w:shd w:val="clear" w:color="auto" w:fill="auto"/>
                  <w:noWrap/>
                  <w:vAlign w:val="bottom"/>
                  <w:hideMark/>
                </w:tcPr>
                <w:p w14:paraId="7D6F99BE" w14:textId="77777777" w:rsidR="002C37BB" w:rsidRPr="002C37BB" w:rsidRDefault="002C37BB" w:rsidP="002C37BB">
                  <w:pPr>
                    <w:spacing w:after="0" w:line="240" w:lineRule="auto"/>
                    <w:ind w:left="98"/>
                    <w:rPr>
                      <w:rFonts w:ascii="Ariel narrow" w:eastAsia="Times New Roman" w:hAnsi="Ariel narrow" w:cs="Calibri"/>
                      <w:b/>
                      <w:bCs/>
                      <w:color w:val="000000"/>
                      <w:sz w:val="16"/>
                      <w:szCs w:val="16"/>
                      <w:lang w:eastAsia="es-PE"/>
                    </w:rPr>
                  </w:pPr>
                </w:p>
              </w:tc>
              <w:tc>
                <w:tcPr>
                  <w:tcW w:w="1360" w:type="dxa"/>
                  <w:tcBorders>
                    <w:top w:val="nil"/>
                    <w:left w:val="nil"/>
                    <w:bottom w:val="nil"/>
                    <w:right w:val="nil"/>
                  </w:tcBorders>
                  <w:shd w:val="clear" w:color="auto" w:fill="auto"/>
                  <w:noWrap/>
                  <w:vAlign w:val="bottom"/>
                  <w:hideMark/>
                </w:tcPr>
                <w:p w14:paraId="3D69FD4B" w14:textId="77777777" w:rsidR="002C37BB" w:rsidRPr="002C37BB" w:rsidRDefault="002C37BB" w:rsidP="002C37BB">
                  <w:pPr>
                    <w:spacing w:after="0" w:line="240" w:lineRule="auto"/>
                    <w:ind w:left="98"/>
                    <w:rPr>
                      <w:rFonts w:ascii="Times New Roman" w:eastAsia="Times New Roman" w:hAnsi="Times New Roman" w:cs="Times New Roman"/>
                      <w:sz w:val="20"/>
                      <w:szCs w:val="20"/>
                      <w:lang w:eastAsia="es-PE"/>
                    </w:rPr>
                  </w:pPr>
                </w:p>
              </w:tc>
              <w:tc>
                <w:tcPr>
                  <w:tcW w:w="1860" w:type="dxa"/>
                  <w:tcBorders>
                    <w:top w:val="nil"/>
                    <w:left w:val="nil"/>
                    <w:bottom w:val="nil"/>
                    <w:right w:val="nil"/>
                  </w:tcBorders>
                  <w:shd w:val="clear" w:color="auto" w:fill="auto"/>
                  <w:noWrap/>
                  <w:vAlign w:val="bottom"/>
                  <w:hideMark/>
                </w:tcPr>
                <w:p w14:paraId="2626F60C" w14:textId="77777777" w:rsidR="002C37BB" w:rsidRPr="002C37BB" w:rsidRDefault="002C37BB" w:rsidP="002C37BB">
                  <w:pPr>
                    <w:spacing w:after="0" w:line="240" w:lineRule="auto"/>
                    <w:ind w:left="98"/>
                    <w:rPr>
                      <w:rFonts w:ascii="Times New Roman" w:eastAsia="Times New Roman" w:hAnsi="Times New Roman" w:cs="Times New Roman"/>
                      <w:sz w:val="20"/>
                      <w:szCs w:val="20"/>
                      <w:lang w:eastAsia="es-PE"/>
                    </w:rPr>
                  </w:pPr>
                </w:p>
              </w:tc>
              <w:tc>
                <w:tcPr>
                  <w:tcW w:w="1400" w:type="dxa"/>
                  <w:tcBorders>
                    <w:top w:val="nil"/>
                    <w:left w:val="nil"/>
                    <w:bottom w:val="nil"/>
                    <w:right w:val="nil"/>
                  </w:tcBorders>
                  <w:shd w:val="clear" w:color="auto" w:fill="auto"/>
                  <w:noWrap/>
                  <w:vAlign w:val="bottom"/>
                  <w:hideMark/>
                </w:tcPr>
                <w:p w14:paraId="3FB9EEFE" w14:textId="77777777" w:rsidR="002C37BB" w:rsidRPr="002C37BB" w:rsidRDefault="002C37BB" w:rsidP="002C37BB">
                  <w:pPr>
                    <w:spacing w:after="0" w:line="240" w:lineRule="auto"/>
                    <w:ind w:left="98"/>
                    <w:rPr>
                      <w:rFonts w:ascii="Times New Roman" w:eastAsia="Times New Roman" w:hAnsi="Times New Roman" w:cs="Times New Roman"/>
                      <w:sz w:val="20"/>
                      <w:szCs w:val="20"/>
                      <w:lang w:eastAsia="es-PE"/>
                    </w:rPr>
                  </w:pPr>
                </w:p>
              </w:tc>
            </w:tr>
          </w:tbl>
          <w:p w14:paraId="580A66B9" w14:textId="50954048" w:rsidR="00A71D40" w:rsidRDefault="00A71D40" w:rsidP="002C37BB">
            <w:pPr>
              <w:jc w:val="right"/>
              <w:rPr>
                <w:rFonts w:ascii="Arial" w:hAnsi="Arial" w:cs="Arial"/>
                <w:sz w:val="20"/>
                <w:szCs w:val="20"/>
              </w:rPr>
            </w:pPr>
          </w:p>
          <w:p w14:paraId="056AD259" w14:textId="12A0459D" w:rsidR="00953768" w:rsidRDefault="002C37BB" w:rsidP="00A1156A">
            <w:pPr>
              <w:jc w:val="both"/>
              <w:rPr>
                <w:rFonts w:ascii="Arial" w:hAnsi="Arial" w:cs="Arial"/>
                <w:sz w:val="20"/>
                <w:szCs w:val="20"/>
              </w:rPr>
            </w:pPr>
            <w:r>
              <w:rPr>
                <w:rFonts w:ascii="Arial" w:hAnsi="Arial" w:cs="Arial"/>
                <w:sz w:val="20"/>
                <w:szCs w:val="20"/>
              </w:rPr>
              <w:t>Las modificaciones presupuestales se han desarrollado de la siguiente manera:</w:t>
            </w:r>
          </w:p>
          <w:p w14:paraId="129C60EE" w14:textId="77777777" w:rsidR="00FC13B6" w:rsidRDefault="00FC13B6" w:rsidP="00A1156A">
            <w:pPr>
              <w:jc w:val="both"/>
              <w:rPr>
                <w:rFonts w:ascii="Arial" w:hAnsi="Arial" w:cs="Arial"/>
                <w:sz w:val="20"/>
                <w:szCs w:val="20"/>
              </w:rPr>
            </w:pPr>
          </w:p>
          <w:p w14:paraId="6624E106" w14:textId="77777777" w:rsidR="00FC13B6" w:rsidRPr="00FC13B6" w:rsidRDefault="00FC13B6" w:rsidP="00FC13B6">
            <w:pPr>
              <w:pStyle w:val="Prrafodelista"/>
              <w:numPr>
                <w:ilvl w:val="0"/>
                <w:numId w:val="16"/>
              </w:numPr>
              <w:ind w:left="315" w:hanging="315"/>
              <w:jc w:val="both"/>
              <w:rPr>
                <w:rFonts w:ascii="Arial" w:eastAsiaTheme="minorHAnsi" w:hAnsi="Arial" w:cs="Arial"/>
                <w:sz w:val="21"/>
                <w:szCs w:val="21"/>
              </w:rPr>
            </w:pPr>
            <w:r w:rsidRPr="00FC13B6">
              <w:rPr>
                <w:rFonts w:ascii="Arial" w:eastAsiaTheme="minorHAnsi" w:hAnsi="Arial" w:cs="Arial"/>
                <w:sz w:val="21"/>
                <w:szCs w:val="21"/>
              </w:rPr>
              <w:t>Mediante el artículo 2º del Decreto de Urgencia Nº005-2023, se autoriza una transferencia de partidas a favor del pliego MIDIS – FONCODES por S/ 121 718 743,00; para ser transferidos a los núcleos ejecutores de compras, para financiar la adquisición de bienes manufacturados por las micro y pequeñas empresas – MYPE, a requerimiento y en beneficio del Ministerio del Interior, con cargo a los recursos de la Reserva de Contingencia del Ministerio de Economía y Finanzas, el mismo que se aprueba mediante Resolución Ministerial Nº050-2023-MIDIS del 21/02/2023.</w:t>
            </w:r>
          </w:p>
          <w:p w14:paraId="2FD997B2" w14:textId="77777777" w:rsidR="00FC13B6" w:rsidRDefault="00FC13B6" w:rsidP="00FC13B6">
            <w:pPr>
              <w:ind w:left="567" w:hanging="283"/>
              <w:jc w:val="both"/>
              <w:rPr>
                <w:rFonts w:ascii="Arial" w:eastAsiaTheme="minorHAnsi" w:hAnsi="Arial" w:cs="Arial"/>
                <w:sz w:val="21"/>
                <w:szCs w:val="21"/>
              </w:rPr>
            </w:pPr>
          </w:p>
          <w:p w14:paraId="499D4C73" w14:textId="77777777" w:rsidR="00FC13B6" w:rsidRPr="00FC13B6" w:rsidRDefault="00FC13B6" w:rsidP="00FC13B6">
            <w:pPr>
              <w:numPr>
                <w:ilvl w:val="0"/>
                <w:numId w:val="15"/>
              </w:numPr>
              <w:ind w:left="315" w:hanging="283"/>
              <w:jc w:val="both"/>
              <w:rPr>
                <w:rFonts w:ascii="Arial" w:eastAsiaTheme="minorHAnsi" w:hAnsi="Arial" w:cs="Arial"/>
                <w:sz w:val="21"/>
                <w:szCs w:val="21"/>
              </w:rPr>
            </w:pPr>
            <w:r w:rsidRPr="00FC13B6">
              <w:rPr>
                <w:rFonts w:ascii="Arial" w:eastAsiaTheme="minorHAnsi" w:hAnsi="Arial" w:cs="Arial"/>
                <w:sz w:val="21"/>
                <w:szCs w:val="21"/>
              </w:rPr>
              <w:t xml:space="preserve">Con Resolución Ministerial Nº083-2023-MIDIS del 26/04/2023, se aprueba la desagregación de la Transferencia de Partidas dispuesta por el numeral 18.1 del artículo 18 de la Ley Nº31728, a favor del pliego 040-MIDIS, Unidad Ejecutora 004-FONCODES, para completar el financiamiento en la ejecución de cinco Inversiones de Optimización, Ampliación Marginal, Rehabilitación y Reposición (IOARR) de </w:t>
            </w:r>
            <w:r w:rsidRPr="00FC13B6">
              <w:rPr>
                <w:rFonts w:ascii="Arial" w:eastAsiaTheme="minorHAnsi" w:hAnsi="Arial" w:cs="Arial"/>
                <w:sz w:val="21"/>
                <w:szCs w:val="21"/>
              </w:rPr>
              <w:lastRenderedPageBreak/>
              <w:t xml:space="preserve">residencias estudiantiles, con Código Único de Inversión 2471659, 2471685, 2471529, 2471670 y 2471675, por el monto de S/11 848 196,00..   </w:t>
            </w:r>
          </w:p>
          <w:p w14:paraId="328AA7E0" w14:textId="77777777" w:rsidR="00FC13B6" w:rsidRPr="00FC13B6" w:rsidRDefault="00FC13B6" w:rsidP="00FC13B6">
            <w:pPr>
              <w:ind w:left="567"/>
              <w:jc w:val="both"/>
              <w:rPr>
                <w:rFonts w:ascii="Arial" w:eastAsiaTheme="minorHAnsi" w:hAnsi="Arial" w:cs="Arial"/>
                <w:sz w:val="21"/>
                <w:szCs w:val="21"/>
              </w:rPr>
            </w:pPr>
          </w:p>
          <w:p w14:paraId="0C571CE3" w14:textId="77777777" w:rsidR="00FC13B6" w:rsidRPr="00FC13B6" w:rsidRDefault="00FC13B6" w:rsidP="00F23952">
            <w:pPr>
              <w:numPr>
                <w:ilvl w:val="0"/>
                <w:numId w:val="15"/>
              </w:numPr>
              <w:ind w:left="315" w:hanging="283"/>
              <w:jc w:val="both"/>
              <w:rPr>
                <w:rFonts w:ascii="Arial" w:eastAsiaTheme="minorHAnsi" w:hAnsi="Arial" w:cs="Arial"/>
                <w:sz w:val="21"/>
                <w:szCs w:val="21"/>
              </w:rPr>
            </w:pPr>
            <w:r w:rsidRPr="00FC13B6">
              <w:rPr>
                <w:rFonts w:ascii="Arial" w:eastAsiaTheme="minorHAnsi" w:hAnsi="Arial" w:cs="Arial"/>
                <w:sz w:val="21"/>
                <w:szCs w:val="21"/>
              </w:rPr>
              <w:t>Con D.L 1562, se autoriza el financiamiento de medidas relacionadas con el emprendimiento de ciudadanas y ciudadanos en situación de vulnerabilidad asociada a la discapacidad y organizaciones sociales de personas con discapacidad, por un monto ascendente a S/ 2 500 000,00; el mismo que se incorpora al presupuesto institucional mediante R.M Nº109-2023 del 31/05/2023.</w:t>
            </w:r>
          </w:p>
          <w:p w14:paraId="04FBE225" w14:textId="77777777" w:rsidR="00FC13B6" w:rsidRPr="00FC13B6" w:rsidRDefault="00FC13B6" w:rsidP="00F23952">
            <w:pPr>
              <w:ind w:left="315" w:hanging="283"/>
              <w:jc w:val="both"/>
              <w:rPr>
                <w:rFonts w:ascii="Arial" w:eastAsiaTheme="minorHAnsi" w:hAnsi="Arial" w:cs="Arial"/>
                <w:sz w:val="21"/>
                <w:szCs w:val="21"/>
              </w:rPr>
            </w:pPr>
          </w:p>
          <w:p w14:paraId="4E1F6953" w14:textId="77777777" w:rsidR="00FC13B6" w:rsidRPr="00FC13B6" w:rsidRDefault="00FC13B6" w:rsidP="00F23952">
            <w:pPr>
              <w:numPr>
                <w:ilvl w:val="0"/>
                <w:numId w:val="15"/>
              </w:numPr>
              <w:ind w:left="315" w:hanging="283"/>
              <w:jc w:val="both"/>
              <w:rPr>
                <w:rFonts w:ascii="Arial" w:eastAsiaTheme="minorHAnsi" w:hAnsi="Arial" w:cs="Arial"/>
                <w:sz w:val="21"/>
                <w:szCs w:val="21"/>
              </w:rPr>
            </w:pPr>
            <w:r w:rsidRPr="00FC13B6">
              <w:rPr>
                <w:rFonts w:ascii="Arial" w:eastAsiaTheme="minorHAnsi" w:hAnsi="Arial" w:cs="Arial"/>
                <w:sz w:val="21"/>
                <w:szCs w:val="21"/>
              </w:rPr>
              <w:t>Según el artículo 3 del D.L 1566 se autoriza el monto de S/ 349 000,00; para el financiamiento de iniciativas de voluntariado a favor de poblaciones vulnerables en zonas de crisis humanitaria, en los departamentos priorizados implementadas por organizaciones de voluntariado, se incorpora al presupuesto mediante Resolución Ministerial Nº113-2023-MIDIS del 01/06/2023.</w:t>
            </w:r>
          </w:p>
          <w:p w14:paraId="261884B9" w14:textId="77777777" w:rsidR="00FC13B6" w:rsidRPr="00FC13B6" w:rsidRDefault="00FC13B6" w:rsidP="00F23952">
            <w:pPr>
              <w:ind w:left="315" w:hanging="283"/>
              <w:jc w:val="both"/>
              <w:rPr>
                <w:rFonts w:ascii="Arial" w:eastAsiaTheme="minorHAnsi" w:hAnsi="Arial" w:cs="Arial"/>
                <w:sz w:val="21"/>
                <w:szCs w:val="21"/>
              </w:rPr>
            </w:pPr>
          </w:p>
          <w:p w14:paraId="15A87272" w14:textId="77777777" w:rsidR="00FC13B6" w:rsidRPr="00FC13B6" w:rsidRDefault="00FC13B6" w:rsidP="00F23952">
            <w:pPr>
              <w:numPr>
                <w:ilvl w:val="0"/>
                <w:numId w:val="15"/>
              </w:numPr>
              <w:ind w:left="315" w:hanging="283"/>
              <w:jc w:val="both"/>
              <w:rPr>
                <w:rFonts w:ascii="Arial" w:eastAsiaTheme="minorHAnsi" w:hAnsi="Arial" w:cs="Arial"/>
                <w:sz w:val="21"/>
                <w:szCs w:val="21"/>
              </w:rPr>
            </w:pPr>
            <w:r w:rsidRPr="00FC13B6">
              <w:rPr>
                <w:rFonts w:ascii="Arial" w:eastAsiaTheme="minorHAnsi" w:hAnsi="Arial" w:cs="Arial"/>
                <w:sz w:val="21"/>
                <w:szCs w:val="21"/>
              </w:rPr>
              <w:t>Con Resolución Ministerial 119-2023-MIDIS del 16/06/2023, se incorpora una transferencia de partidas por el monto de S/ 105 141,00; autorizado mediante D.S. Nº113-2023-EF para financiar las sentencias judiciales en calidad de cosa juzgada y en ejecución.</w:t>
            </w:r>
          </w:p>
          <w:p w14:paraId="7A3B2C98" w14:textId="77777777" w:rsidR="00FC13B6" w:rsidRPr="00FC13B6" w:rsidRDefault="00FC13B6" w:rsidP="00FC13B6">
            <w:pPr>
              <w:spacing w:after="200" w:line="276" w:lineRule="auto"/>
              <w:ind w:left="720"/>
              <w:contextualSpacing/>
              <w:rPr>
                <w:rFonts w:ascii="Arial" w:eastAsiaTheme="minorHAnsi" w:hAnsi="Arial" w:cs="Arial"/>
                <w:sz w:val="21"/>
                <w:szCs w:val="21"/>
              </w:rPr>
            </w:pPr>
          </w:p>
          <w:p w14:paraId="4B2AB15D" w14:textId="77777777" w:rsidR="00FC13B6" w:rsidRPr="00FC13B6" w:rsidRDefault="00FC13B6" w:rsidP="00F23952">
            <w:pPr>
              <w:numPr>
                <w:ilvl w:val="0"/>
                <w:numId w:val="15"/>
              </w:numPr>
              <w:ind w:left="315"/>
              <w:contextualSpacing/>
              <w:jc w:val="both"/>
              <w:rPr>
                <w:rFonts w:ascii="Arial" w:eastAsia="Times New Roman" w:hAnsi="Arial" w:cs="Arial"/>
                <w:color w:val="000000"/>
                <w:sz w:val="21"/>
                <w:szCs w:val="21"/>
                <w:lang w:eastAsia="es-PE"/>
              </w:rPr>
            </w:pPr>
            <w:r w:rsidRPr="00FC13B6">
              <w:rPr>
                <w:rFonts w:ascii="Arial" w:eastAsia="Times New Roman" w:hAnsi="Arial" w:cs="Arial"/>
                <w:color w:val="000000"/>
                <w:sz w:val="21"/>
                <w:szCs w:val="21"/>
                <w:lang w:eastAsia="es-PE"/>
              </w:rPr>
              <w:t>Con Resolución de Secretaria  General Nº017-2023-MIDIS/SG del 24/07/2023, se autoriza una transferencia de recursos hasta por la suma de S/ 1 763 277,00; para cubrir costos que irrogue la contratación del servicio de arrendamiento de un inmueble y realizar el traslado del personal de FONCODES a una nueva sede, que incluye otros requerimientos.</w:t>
            </w:r>
          </w:p>
          <w:p w14:paraId="3FE31739" w14:textId="77777777" w:rsidR="00FC13B6" w:rsidRPr="00FC13B6" w:rsidRDefault="00FC13B6" w:rsidP="00F23952">
            <w:pPr>
              <w:spacing w:after="200" w:line="276" w:lineRule="auto"/>
              <w:ind w:left="315"/>
              <w:contextualSpacing/>
              <w:rPr>
                <w:rFonts w:ascii="Arial" w:eastAsia="Times New Roman" w:hAnsi="Arial" w:cs="Arial"/>
                <w:color w:val="000000"/>
                <w:sz w:val="21"/>
                <w:szCs w:val="21"/>
                <w:lang w:eastAsia="es-PE"/>
              </w:rPr>
            </w:pPr>
          </w:p>
          <w:p w14:paraId="05FEC8C4" w14:textId="77777777" w:rsidR="00FC13B6" w:rsidRPr="00FC13B6" w:rsidRDefault="00FC13B6" w:rsidP="00F23952">
            <w:pPr>
              <w:numPr>
                <w:ilvl w:val="0"/>
                <w:numId w:val="15"/>
              </w:numPr>
              <w:ind w:left="315" w:hanging="425"/>
              <w:contextualSpacing/>
              <w:jc w:val="both"/>
              <w:rPr>
                <w:rFonts w:ascii="Arial" w:eastAsia="Times New Roman" w:hAnsi="Arial" w:cs="Arial"/>
                <w:color w:val="000000"/>
                <w:sz w:val="21"/>
                <w:szCs w:val="21"/>
                <w:lang w:eastAsia="es-PE"/>
              </w:rPr>
            </w:pPr>
            <w:r w:rsidRPr="00FC13B6">
              <w:rPr>
                <w:rFonts w:ascii="Arial" w:eastAsia="Times New Roman" w:hAnsi="Arial" w:cs="Arial"/>
                <w:color w:val="000000"/>
                <w:sz w:val="21"/>
                <w:szCs w:val="21"/>
                <w:lang w:eastAsia="es-PE"/>
              </w:rPr>
              <w:t xml:space="preserve">Con Resolución de Secretaria  General Nº023-2023-MIDIS/SG del 28/09/2023, se autoriza una modificación presupuestaria en el Nivel Funcional Programático, con la finalidad de atender las necesidades de financiamiento del personal CAS del Programa </w:t>
            </w:r>
            <w:proofErr w:type="spellStart"/>
            <w:r w:rsidRPr="00FC13B6">
              <w:rPr>
                <w:rFonts w:ascii="Arial" w:eastAsia="Times New Roman" w:hAnsi="Arial" w:cs="Arial"/>
                <w:color w:val="000000"/>
                <w:sz w:val="21"/>
                <w:szCs w:val="21"/>
                <w:lang w:eastAsia="es-PE"/>
              </w:rPr>
              <w:t>Qali</w:t>
            </w:r>
            <w:proofErr w:type="spellEnd"/>
            <w:r w:rsidRPr="00FC13B6">
              <w:rPr>
                <w:rFonts w:ascii="Arial" w:eastAsia="Times New Roman" w:hAnsi="Arial" w:cs="Arial"/>
                <w:color w:val="000000"/>
                <w:sz w:val="21"/>
                <w:szCs w:val="21"/>
                <w:lang w:eastAsia="es-PE"/>
              </w:rPr>
              <w:t xml:space="preserve"> Warma, así como, el servicio de energía eléctrica y otras necesidades que priorice la Alta Dirección del MIDIS, significando una disminución en el PIM de FONCODES por el monto de S/479 998,00</w:t>
            </w:r>
          </w:p>
          <w:p w14:paraId="04E94ED6" w14:textId="77777777" w:rsidR="00327694" w:rsidRDefault="00327694" w:rsidP="002675F6">
            <w:pPr>
              <w:pStyle w:val="Sinespaciado"/>
              <w:ind w:left="317" w:hanging="317"/>
              <w:jc w:val="both"/>
              <w:rPr>
                <w:rFonts w:ascii="Arial" w:hAnsi="Arial" w:cs="Arial"/>
                <w:sz w:val="20"/>
                <w:szCs w:val="20"/>
              </w:rPr>
            </w:pPr>
          </w:p>
          <w:p w14:paraId="34C1A483" w14:textId="486FD273" w:rsidR="00AF2E5F" w:rsidRDefault="00164CC1" w:rsidP="002675F6">
            <w:pPr>
              <w:pStyle w:val="Sinespaciado"/>
              <w:ind w:left="317" w:hanging="317"/>
              <w:jc w:val="both"/>
              <w:rPr>
                <w:rFonts w:ascii="Arial" w:hAnsi="Arial" w:cs="Arial"/>
                <w:sz w:val="20"/>
                <w:szCs w:val="20"/>
              </w:rPr>
            </w:pPr>
            <w:r w:rsidRPr="00164CC1">
              <w:rPr>
                <w:rFonts w:ascii="Arial" w:hAnsi="Arial" w:cs="Arial"/>
                <w:sz w:val="20"/>
                <w:szCs w:val="20"/>
              </w:rPr>
              <w:t>En el sig</w:t>
            </w:r>
            <w:r w:rsidR="00747F89" w:rsidRPr="00164CC1">
              <w:rPr>
                <w:rFonts w:ascii="Arial" w:hAnsi="Arial" w:cs="Arial"/>
                <w:sz w:val="20"/>
                <w:szCs w:val="20"/>
              </w:rPr>
              <w:t>uiente cuadro se muestra el marco legal al 3</w:t>
            </w:r>
            <w:r w:rsidR="00AE71B3">
              <w:rPr>
                <w:rFonts w:ascii="Arial" w:hAnsi="Arial" w:cs="Arial"/>
                <w:sz w:val="20"/>
                <w:szCs w:val="20"/>
              </w:rPr>
              <w:t>0</w:t>
            </w:r>
            <w:r w:rsidR="00747F89" w:rsidRPr="00164CC1">
              <w:rPr>
                <w:rFonts w:ascii="Arial" w:hAnsi="Arial" w:cs="Arial"/>
                <w:sz w:val="20"/>
                <w:szCs w:val="20"/>
              </w:rPr>
              <w:t>/</w:t>
            </w:r>
            <w:r w:rsidR="00352C50">
              <w:rPr>
                <w:rFonts w:ascii="Arial" w:hAnsi="Arial" w:cs="Arial"/>
                <w:sz w:val="20"/>
                <w:szCs w:val="20"/>
              </w:rPr>
              <w:t>0</w:t>
            </w:r>
            <w:r w:rsidR="00F23952">
              <w:rPr>
                <w:rFonts w:ascii="Arial" w:hAnsi="Arial" w:cs="Arial"/>
                <w:sz w:val="20"/>
                <w:szCs w:val="20"/>
              </w:rPr>
              <w:t>9</w:t>
            </w:r>
            <w:r w:rsidR="00747F89" w:rsidRPr="00164CC1">
              <w:rPr>
                <w:rFonts w:ascii="Arial" w:hAnsi="Arial" w:cs="Arial"/>
                <w:sz w:val="20"/>
                <w:szCs w:val="20"/>
              </w:rPr>
              <w:t>/202</w:t>
            </w:r>
            <w:r w:rsidR="00352C50">
              <w:rPr>
                <w:rFonts w:ascii="Arial" w:hAnsi="Arial" w:cs="Arial"/>
                <w:sz w:val="20"/>
                <w:szCs w:val="20"/>
              </w:rPr>
              <w:t>3</w:t>
            </w:r>
          </w:p>
          <w:p w14:paraId="310DFD29" w14:textId="48E8A2EC" w:rsidR="006257B7" w:rsidRDefault="006257B7" w:rsidP="00633C1C">
            <w:pPr>
              <w:pStyle w:val="Prrafodelista"/>
              <w:ind w:left="246" w:hanging="246"/>
              <w:jc w:val="both"/>
              <w:rPr>
                <w:rFonts w:ascii="Arial" w:hAnsi="Arial" w:cs="Arial"/>
                <w:sz w:val="20"/>
                <w:szCs w:val="20"/>
              </w:rPr>
            </w:pPr>
          </w:p>
          <w:p w14:paraId="5AD6F461" w14:textId="2384ABF0" w:rsidR="000B38D8" w:rsidRDefault="001A4A30" w:rsidP="00247F13">
            <w:pPr>
              <w:pStyle w:val="Prrafodelista"/>
              <w:ind w:left="246" w:hanging="246"/>
              <w:jc w:val="center"/>
              <w:rPr>
                <w:rFonts w:ascii="Arial" w:hAnsi="Arial" w:cs="Arial"/>
                <w:sz w:val="20"/>
                <w:szCs w:val="20"/>
              </w:rPr>
            </w:pPr>
            <w:r>
              <w:rPr>
                <w:rFonts w:ascii="Arial" w:hAnsi="Arial" w:cs="Arial"/>
                <w:sz w:val="20"/>
                <w:szCs w:val="20"/>
              </w:rPr>
              <w:object w:dxaOrig="14673" w:dyaOrig="10831" w14:anchorId="63C8E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7.05pt;height:332.5pt" o:ole="">
                  <v:imagedata r:id="rId9" o:title=""/>
                </v:shape>
                <o:OLEObject Type="Embed" ProgID="Excel.Sheet.12" ShapeID="_x0000_i1037" DrawAspect="Content" ObjectID="_1758151101" r:id="rId10"/>
              </w:object>
            </w:r>
          </w:p>
          <w:p w14:paraId="5C5B18D8" w14:textId="399DF686" w:rsidR="0043201A" w:rsidRDefault="0043201A" w:rsidP="00D3582F">
            <w:pPr>
              <w:pStyle w:val="Prrafodelista"/>
              <w:ind w:left="246" w:hanging="246"/>
              <w:jc w:val="center"/>
              <w:rPr>
                <w:rFonts w:ascii="Arial" w:hAnsi="Arial" w:cs="Arial"/>
                <w:sz w:val="20"/>
                <w:szCs w:val="20"/>
              </w:rPr>
            </w:pPr>
          </w:p>
          <w:p w14:paraId="17B90C18" w14:textId="77777777" w:rsidR="00DA6EF5" w:rsidRDefault="00DA6EF5" w:rsidP="004F5C9C">
            <w:pPr>
              <w:jc w:val="both"/>
              <w:rPr>
                <w:rFonts w:ascii="Arial" w:hAnsi="Arial" w:cs="Arial"/>
              </w:rPr>
            </w:pPr>
          </w:p>
          <w:p w14:paraId="0F45C2A1" w14:textId="77777777" w:rsidR="00A40232" w:rsidRDefault="00A40232" w:rsidP="004F5C9C">
            <w:pPr>
              <w:jc w:val="both"/>
              <w:rPr>
                <w:rFonts w:ascii="Arial" w:hAnsi="Arial" w:cs="Arial"/>
              </w:rPr>
            </w:pPr>
          </w:p>
          <w:p w14:paraId="2D05F5D5" w14:textId="77777777" w:rsidR="00A40232" w:rsidRDefault="00A40232" w:rsidP="004F5C9C">
            <w:pPr>
              <w:jc w:val="both"/>
              <w:rPr>
                <w:rFonts w:ascii="Arial" w:hAnsi="Arial" w:cs="Arial"/>
              </w:rPr>
            </w:pPr>
          </w:p>
          <w:p w14:paraId="270AA206" w14:textId="0ABCC9C1" w:rsidR="00A40232" w:rsidRPr="00560CDA" w:rsidRDefault="00A40232" w:rsidP="004F5C9C">
            <w:pPr>
              <w:jc w:val="both"/>
              <w:rPr>
                <w:rFonts w:ascii="Arial" w:hAnsi="Arial" w:cs="Arial"/>
              </w:rPr>
            </w:pPr>
          </w:p>
        </w:tc>
      </w:tr>
    </w:tbl>
    <w:p w14:paraId="53B41AB6" w14:textId="4966AAD4" w:rsidR="00FA57F8" w:rsidRPr="00F353D3" w:rsidRDefault="00FA57F8" w:rsidP="00C84452">
      <w:pPr>
        <w:pStyle w:val="Sinespaciado"/>
        <w:jc w:val="both"/>
        <w:rPr>
          <w:rFonts w:ascii="Arial" w:eastAsia="Times New Roman" w:hAnsi="Arial" w:cs="Arial"/>
          <w:sz w:val="20"/>
          <w:szCs w:val="20"/>
          <w:lang w:eastAsia="es-PE"/>
        </w:rPr>
      </w:pPr>
      <w:r w:rsidRPr="00F353D3">
        <w:rPr>
          <w:rFonts w:ascii="Arial" w:eastAsia="Times New Roman" w:hAnsi="Arial" w:cs="Arial"/>
          <w:sz w:val="20"/>
          <w:szCs w:val="20"/>
          <w:lang w:eastAsia="es-PE"/>
        </w:rPr>
        <w:lastRenderedPageBreak/>
        <w:t xml:space="preserve">Al </w:t>
      </w:r>
      <w:r w:rsidR="0043201A">
        <w:rPr>
          <w:rFonts w:ascii="Arial" w:eastAsia="Times New Roman" w:hAnsi="Arial" w:cs="Arial"/>
          <w:sz w:val="20"/>
          <w:szCs w:val="20"/>
          <w:lang w:eastAsia="es-PE"/>
        </w:rPr>
        <w:t>I</w:t>
      </w:r>
      <w:r w:rsidR="001A4A30">
        <w:rPr>
          <w:rFonts w:ascii="Arial" w:eastAsia="Times New Roman" w:hAnsi="Arial" w:cs="Arial"/>
          <w:sz w:val="20"/>
          <w:szCs w:val="20"/>
          <w:lang w:eastAsia="es-PE"/>
        </w:rPr>
        <w:t>II</w:t>
      </w:r>
      <w:r w:rsidR="00F528E0">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tri</w:t>
      </w:r>
      <w:r w:rsidR="00FC2102">
        <w:rPr>
          <w:rFonts w:ascii="Arial" w:eastAsia="Times New Roman" w:hAnsi="Arial" w:cs="Arial"/>
          <w:sz w:val="20"/>
          <w:szCs w:val="20"/>
          <w:lang w:eastAsia="es-PE"/>
        </w:rPr>
        <w:t>mes</w:t>
      </w:r>
      <w:r w:rsidR="00F528E0">
        <w:rPr>
          <w:rFonts w:ascii="Arial" w:eastAsia="Times New Roman" w:hAnsi="Arial" w:cs="Arial"/>
          <w:sz w:val="20"/>
          <w:szCs w:val="20"/>
          <w:lang w:eastAsia="es-PE"/>
        </w:rPr>
        <w:t>tre</w:t>
      </w:r>
      <w:r w:rsidR="00D46884">
        <w:rPr>
          <w:rFonts w:ascii="Arial" w:eastAsia="Times New Roman" w:hAnsi="Arial" w:cs="Arial"/>
          <w:sz w:val="20"/>
          <w:szCs w:val="20"/>
          <w:lang w:eastAsia="es-PE"/>
        </w:rPr>
        <w:t xml:space="preserve"> del presente año,</w:t>
      </w:r>
      <w:r w:rsidR="00F528E0">
        <w:rPr>
          <w:rFonts w:ascii="Arial" w:eastAsia="Times New Roman" w:hAnsi="Arial" w:cs="Arial"/>
          <w:sz w:val="20"/>
          <w:szCs w:val="20"/>
          <w:lang w:eastAsia="es-PE"/>
        </w:rPr>
        <w:t xml:space="preserve"> </w:t>
      </w:r>
      <w:r w:rsidRPr="00F353D3">
        <w:rPr>
          <w:rFonts w:ascii="Arial" w:eastAsia="Times New Roman" w:hAnsi="Arial" w:cs="Arial"/>
          <w:sz w:val="20"/>
          <w:szCs w:val="20"/>
          <w:lang w:eastAsia="es-PE"/>
        </w:rPr>
        <w:t>la ejecución (</w:t>
      </w:r>
      <w:r w:rsidR="00D46884">
        <w:rPr>
          <w:rFonts w:ascii="Arial" w:eastAsia="Times New Roman" w:hAnsi="Arial" w:cs="Arial"/>
          <w:sz w:val="20"/>
          <w:szCs w:val="20"/>
          <w:lang w:eastAsia="es-PE"/>
        </w:rPr>
        <w:t xml:space="preserve">fase </w:t>
      </w:r>
      <w:r w:rsidRPr="00F353D3">
        <w:rPr>
          <w:rFonts w:ascii="Arial" w:eastAsia="Times New Roman" w:hAnsi="Arial" w:cs="Arial"/>
          <w:sz w:val="20"/>
          <w:szCs w:val="20"/>
          <w:lang w:eastAsia="es-PE"/>
        </w:rPr>
        <w:t>de devengado) asciende a S/</w:t>
      </w:r>
      <w:r w:rsidR="00E67BE6">
        <w:rPr>
          <w:rFonts w:ascii="Arial" w:eastAsia="Times New Roman" w:hAnsi="Arial" w:cs="Arial"/>
          <w:sz w:val="20"/>
          <w:szCs w:val="20"/>
          <w:lang w:eastAsia="es-PE"/>
        </w:rPr>
        <w:t xml:space="preserve"> </w:t>
      </w:r>
      <w:r w:rsidR="00FC2102">
        <w:rPr>
          <w:rFonts w:ascii="Arial" w:eastAsia="Times New Roman" w:hAnsi="Arial" w:cs="Arial"/>
          <w:sz w:val="20"/>
          <w:szCs w:val="20"/>
          <w:lang w:eastAsia="es-PE"/>
        </w:rPr>
        <w:t>3</w:t>
      </w:r>
      <w:r w:rsidR="001A4A30">
        <w:rPr>
          <w:rFonts w:ascii="Arial" w:eastAsia="Times New Roman" w:hAnsi="Arial" w:cs="Arial"/>
          <w:sz w:val="20"/>
          <w:szCs w:val="20"/>
          <w:lang w:eastAsia="es-PE"/>
        </w:rPr>
        <w:t>99</w:t>
      </w:r>
      <w:r w:rsidR="00D46884">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475</w:t>
      </w:r>
      <w:r w:rsidR="00D46884">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991</w:t>
      </w:r>
      <w:r w:rsidR="009C75CE">
        <w:rPr>
          <w:rFonts w:ascii="Arial" w:eastAsia="Times New Roman" w:hAnsi="Arial" w:cs="Arial"/>
          <w:sz w:val="20"/>
          <w:szCs w:val="20"/>
          <w:lang w:eastAsia="es-PE"/>
        </w:rPr>
        <w:t>,</w:t>
      </w:r>
      <w:r w:rsidR="001A4A30">
        <w:rPr>
          <w:rFonts w:ascii="Arial" w:eastAsia="Times New Roman" w:hAnsi="Arial" w:cs="Arial"/>
          <w:sz w:val="20"/>
          <w:szCs w:val="20"/>
          <w:lang w:eastAsia="es-PE"/>
        </w:rPr>
        <w:t>68</w:t>
      </w:r>
      <w:r w:rsidRPr="00F353D3">
        <w:rPr>
          <w:rFonts w:ascii="Arial" w:eastAsia="Times New Roman" w:hAnsi="Arial" w:cs="Arial"/>
          <w:sz w:val="20"/>
          <w:szCs w:val="20"/>
          <w:lang w:eastAsia="es-PE"/>
        </w:rPr>
        <w:t>, lo que significa un avance de</w:t>
      </w:r>
      <w:r w:rsidR="00B30A41" w:rsidRPr="00F353D3">
        <w:rPr>
          <w:rFonts w:ascii="Arial" w:eastAsia="Times New Roman" w:hAnsi="Arial" w:cs="Arial"/>
          <w:sz w:val="20"/>
          <w:szCs w:val="20"/>
          <w:lang w:eastAsia="es-PE"/>
        </w:rPr>
        <w:t>l</w:t>
      </w:r>
      <w:r w:rsidRPr="00F353D3">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93.2</w:t>
      </w:r>
      <w:r w:rsidRPr="00F353D3">
        <w:rPr>
          <w:rFonts w:ascii="Arial" w:eastAsia="Times New Roman" w:hAnsi="Arial" w:cs="Arial"/>
          <w:sz w:val="20"/>
          <w:szCs w:val="20"/>
          <w:lang w:eastAsia="es-PE"/>
        </w:rPr>
        <w:t>% con respecto al PIM aprobado</w:t>
      </w:r>
      <w:r w:rsidR="00E67BE6">
        <w:rPr>
          <w:rFonts w:ascii="Arial" w:eastAsia="Times New Roman" w:hAnsi="Arial" w:cs="Arial"/>
          <w:sz w:val="20"/>
          <w:szCs w:val="20"/>
          <w:lang w:eastAsia="es-PE"/>
        </w:rPr>
        <w:t xml:space="preserve"> ascendente a S/ </w:t>
      </w:r>
      <w:r w:rsidR="00F76355">
        <w:rPr>
          <w:rFonts w:ascii="Arial" w:eastAsia="Times New Roman" w:hAnsi="Arial" w:cs="Arial"/>
          <w:sz w:val="20"/>
          <w:szCs w:val="20"/>
          <w:lang w:eastAsia="es-PE"/>
        </w:rPr>
        <w:t>4</w:t>
      </w:r>
      <w:r w:rsidR="00FC2102">
        <w:rPr>
          <w:rFonts w:ascii="Arial" w:eastAsia="Times New Roman" w:hAnsi="Arial" w:cs="Arial"/>
          <w:sz w:val="20"/>
          <w:szCs w:val="20"/>
          <w:lang w:eastAsia="es-PE"/>
        </w:rPr>
        <w:t>2</w:t>
      </w:r>
      <w:r w:rsidR="001A4A30">
        <w:rPr>
          <w:rFonts w:ascii="Arial" w:eastAsia="Times New Roman" w:hAnsi="Arial" w:cs="Arial"/>
          <w:sz w:val="20"/>
          <w:szCs w:val="20"/>
          <w:lang w:eastAsia="es-PE"/>
        </w:rPr>
        <w:t>8</w:t>
      </w:r>
      <w:r w:rsidR="00D46884">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483</w:t>
      </w:r>
      <w:r w:rsidR="00D46884">
        <w:rPr>
          <w:rFonts w:ascii="Arial" w:eastAsia="Times New Roman" w:hAnsi="Arial" w:cs="Arial"/>
          <w:sz w:val="20"/>
          <w:szCs w:val="20"/>
          <w:lang w:eastAsia="es-PE"/>
        </w:rPr>
        <w:t xml:space="preserve"> </w:t>
      </w:r>
      <w:r w:rsidR="001A4A30">
        <w:rPr>
          <w:rFonts w:ascii="Arial" w:eastAsia="Times New Roman" w:hAnsi="Arial" w:cs="Arial"/>
          <w:sz w:val="20"/>
          <w:szCs w:val="20"/>
          <w:lang w:eastAsia="es-PE"/>
        </w:rPr>
        <w:t>561</w:t>
      </w:r>
      <w:r w:rsidRPr="00F353D3">
        <w:rPr>
          <w:rFonts w:ascii="Arial" w:eastAsia="Times New Roman" w:hAnsi="Arial" w:cs="Arial"/>
          <w:sz w:val="20"/>
          <w:szCs w:val="20"/>
          <w:lang w:eastAsia="es-PE"/>
        </w:rPr>
        <w:t>.</w:t>
      </w:r>
    </w:p>
    <w:p w14:paraId="3F718C7D" w14:textId="77777777" w:rsidR="00C84452" w:rsidRDefault="00C84452" w:rsidP="00C84452">
      <w:pPr>
        <w:pStyle w:val="Sinespaciado"/>
        <w:jc w:val="both"/>
        <w:rPr>
          <w:rFonts w:ascii="Arial" w:eastAsia="Times New Roman" w:hAnsi="Arial" w:cs="Arial"/>
          <w:sz w:val="20"/>
          <w:szCs w:val="20"/>
          <w:lang w:eastAsia="es-PE"/>
        </w:rPr>
      </w:pPr>
    </w:p>
    <w:p w14:paraId="487F64F3" w14:textId="45A97179" w:rsidR="007669B0" w:rsidRDefault="00C469BB" w:rsidP="00C84452">
      <w:pPr>
        <w:spacing w:after="0"/>
        <w:jc w:val="both"/>
        <w:rPr>
          <w:rFonts w:ascii="Calibri" w:eastAsia="Times New Roman" w:hAnsi="Calibri" w:cs="Times New Roman"/>
          <w:color w:val="000000"/>
          <w:lang w:eastAsia="es-PE"/>
        </w:rPr>
      </w:pPr>
      <w:r>
        <w:rPr>
          <w:rFonts w:ascii="Arial" w:eastAsia="Times New Roman" w:hAnsi="Arial" w:cs="Arial"/>
          <w:color w:val="000000"/>
          <w:sz w:val="20"/>
          <w:szCs w:val="20"/>
          <w:lang w:eastAsia="es-PE"/>
        </w:rPr>
        <w:t xml:space="preserve">La ejecución </w:t>
      </w:r>
      <w:r w:rsidR="00FA57F8" w:rsidRPr="00F353D3">
        <w:rPr>
          <w:rFonts w:ascii="Arial" w:eastAsia="Times New Roman" w:hAnsi="Arial" w:cs="Arial"/>
          <w:color w:val="000000"/>
          <w:sz w:val="20"/>
          <w:szCs w:val="20"/>
          <w:lang w:eastAsia="es-PE"/>
        </w:rPr>
        <w:t xml:space="preserve">del gasto </w:t>
      </w:r>
      <w:r>
        <w:rPr>
          <w:rFonts w:ascii="Arial" w:eastAsia="Times New Roman" w:hAnsi="Arial" w:cs="Arial"/>
          <w:color w:val="000000"/>
          <w:sz w:val="20"/>
          <w:szCs w:val="20"/>
          <w:lang w:eastAsia="es-PE"/>
        </w:rPr>
        <w:t xml:space="preserve">en sus diferentes etapas </w:t>
      </w:r>
      <w:r w:rsidR="00FA57F8" w:rsidRPr="00F353D3">
        <w:rPr>
          <w:rFonts w:ascii="Arial" w:eastAsia="Times New Roman" w:hAnsi="Arial" w:cs="Arial"/>
          <w:color w:val="000000"/>
          <w:sz w:val="20"/>
          <w:szCs w:val="20"/>
          <w:lang w:eastAsia="es-PE"/>
        </w:rPr>
        <w:t>se muestra en el siguiente cuadro</w:t>
      </w:r>
      <w:r w:rsidR="00FA57F8" w:rsidRPr="00FA57F8">
        <w:rPr>
          <w:rFonts w:ascii="Calibri" w:eastAsia="Times New Roman" w:hAnsi="Calibri" w:cs="Times New Roman"/>
          <w:color w:val="000000"/>
          <w:lang w:eastAsia="es-PE"/>
        </w:rPr>
        <w:t>:</w:t>
      </w:r>
    </w:p>
    <w:p w14:paraId="3685C003" w14:textId="77777777" w:rsidR="006C0EE5" w:rsidRDefault="006C0EE5" w:rsidP="00C84452">
      <w:pPr>
        <w:spacing w:after="0"/>
        <w:jc w:val="both"/>
        <w:rPr>
          <w:rFonts w:ascii="Calibri" w:eastAsia="Times New Roman" w:hAnsi="Calibri" w:cs="Times New Roman"/>
          <w:color w:val="000000"/>
          <w:lang w:eastAsia="es-PE"/>
        </w:rPr>
      </w:pPr>
    </w:p>
    <w:p w14:paraId="5ED7A05D" w14:textId="1429D5AC" w:rsidR="007A2603" w:rsidRDefault="00BB4907" w:rsidP="00630CE6">
      <w:pPr>
        <w:spacing w:after="0"/>
        <w:jc w:val="center"/>
        <w:rPr>
          <w:noProof/>
          <w:lang w:eastAsia="es-PE"/>
        </w:rPr>
      </w:pPr>
      <w:r w:rsidRPr="00BB4907">
        <w:drawing>
          <wp:inline distT="0" distB="0" distL="0" distR="0" wp14:anchorId="0CA940AD" wp14:editId="2EBB8CC0">
            <wp:extent cx="6210935" cy="1914525"/>
            <wp:effectExtent l="0" t="0" r="0" b="0"/>
            <wp:docPr id="4629599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1914525"/>
                    </a:xfrm>
                    <a:prstGeom prst="rect">
                      <a:avLst/>
                    </a:prstGeom>
                    <a:noFill/>
                    <a:ln>
                      <a:noFill/>
                    </a:ln>
                  </pic:spPr>
                </pic:pic>
              </a:graphicData>
            </a:graphic>
          </wp:inline>
        </w:drawing>
      </w:r>
    </w:p>
    <w:p w14:paraId="7A77FEE0" w14:textId="0AE152DE" w:rsidR="0065358E" w:rsidRDefault="0065358E" w:rsidP="00630CE6">
      <w:pPr>
        <w:spacing w:after="0"/>
        <w:jc w:val="center"/>
        <w:rPr>
          <w:noProof/>
          <w:lang w:eastAsia="es-PE"/>
        </w:rPr>
      </w:pPr>
    </w:p>
    <w:p w14:paraId="38C06DCE" w14:textId="266D8FB4" w:rsidR="002675F6" w:rsidRDefault="00BB4907" w:rsidP="00630CE6">
      <w:pPr>
        <w:spacing w:after="0"/>
        <w:jc w:val="center"/>
        <w:rPr>
          <w:noProof/>
          <w:lang w:eastAsia="es-PE"/>
        </w:rPr>
      </w:pPr>
      <w:r>
        <w:rPr>
          <w:noProof/>
          <w:lang w:eastAsia="es-PE"/>
        </w:rPr>
        <w:drawing>
          <wp:inline distT="0" distB="0" distL="0" distR="0" wp14:anchorId="5BCC92B4" wp14:editId="38DDC0EC">
            <wp:extent cx="4143375" cy="2806287"/>
            <wp:effectExtent l="0" t="0" r="0" b="0"/>
            <wp:docPr id="16222815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5520" cy="2814513"/>
                    </a:xfrm>
                    <a:prstGeom prst="rect">
                      <a:avLst/>
                    </a:prstGeom>
                    <a:noFill/>
                  </pic:spPr>
                </pic:pic>
              </a:graphicData>
            </a:graphic>
          </wp:inline>
        </w:drawing>
      </w:r>
    </w:p>
    <w:p w14:paraId="67F828AB" w14:textId="77777777" w:rsidR="000E0C8B" w:rsidRDefault="000E0C8B" w:rsidP="00630CE6">
      <w:pPr>
        <w:spacing w:after="0"/>
        <w:jc w:val="center"/>
        <w:rPr>
          <w:noProof/>
          <w:lang w:eastAsia="es-PE"/>
        </w:rPr>
      </w:pPr>
    </w:p>
    <w:p w14:paraId="71F906A0" w14:textId="693282B4" w:rsidR="00D44B2B" w:rsidRDefault="00BB4907" w:rsidP="004D6F0D">
      <w:pPr>
        <w:spacing w:after="0"/>
        <w:jc w:val="center"/>
        <w:rPr>
          <w:noProof/>
          <w:lang w:eastAsia="es-PE"/>
        </w:rPr>
      </w:pPr>
      <w:r w:rsidRPr="00BB4907">
        <w:drawing>
          <wp:inline distT="0" distB="0" distL="0" distR="0" wp14:anchorId="79691563" wp14:editId="3059C2C5">
            <wp:extent cx="4210050" cy="1543050"/>
            <wp:effectExtent l="0" t="0" r="0" b="0"/>
            <wp:docPr id="8003155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0" cy="1543050"/>
                    </a:xfrm>
                    <a:prstGeom prst="rect">
                      <a:avLst/>
                    </a:prstGeom>
                    <a:noFill/>
                    <a:ln>
                      <a:noFill/>
                    </a:ln>
                  </pic:spPr>
                </pic:pic>
              </a:graphicData>
            </a:graphic>
          </wp:inline>
        </w:drawing>
      </w:r>
    </w:p>
    <w:p w14:paraId="4082DE23" w14:textId="2E3EF0FB" w:rsidR="000E0C8B" w:rsidRDefault="000E0C8B" w:rsidP="007669B0">
      <w:pPr>
        <w:spacing w:after="0"/>
        <w:jc w:val="center"/>
      </w:pPr>
      <w:r w:rsidRPr="000E0C8B">
        <w:t xml:space="preserve"> </w:t>
      </w:r>
    </w:p>
    <w:p w14:paraId="03A3C506" w14:textId="695F8155" w:rsidR="000E0C8B" w:rsidRDefault="00BB4907" w:rsidP="007669B0">
      <w:pPr>
        <w:spacing w:after="0"/>
        <w:jc w:val="center"/>
      </w:pPr>
      <w:r w:rsidRPr="00BB4907">
        <w:drawing>
          <wp:inline distT="0" distB="0" distL="0" distR="0" wp14:anchorId="6577D605" wp14:editId="54782C08">
            <wp:extent cx="4324350" cy="1466850"/>
            <wp:effectExtent l="0" t="0" r="0" b="0"/>
            <wp:docPr id="158012566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350" cy="1466850"/>
                    </a:xfrm>
                    <a:prstGeom prst="rect">
                      <a:avLst/>
                    </a:prstGeom>
                    <a:noFill/>
                    <a:ln>
                      <a:noFill/>
                    </a:ln>
                  </pic:spPr>
                </pic:pic>
              </a:graphicData>
            </a:graphic>
          </wp:inline>
        </w:drawing>
      </w:r>
    </w:p>
    <w:p w14:paraId="29DD9404" w14:textId="198E2927" w:rsidR="00EF4F03" w:rsidRDefault="00EF4F03" w:rsidP="008733C4">
      <w:pPr>
        <w:spacing w:after="0" w:line="240" w:lineRule="auto"/>
        <w:jc w:val="center"/>
        <w:rPr>
          <w:rFonts w:ascii="Arial" w:hAnsi="Arial" w:cs="Arial"/>
          <w:b/>
          <w:sz w:val="24"/>
          <w:szCs w:val="24"/>
        </w:rPr>
      </w:pPr>
    </w:p>
    <w:p w14:paraId="45FC2BA1" w14:textId="4C2C153D" w:rsidR="00E64A7D" w:rsidRDefault="00E64A7D" w:rsidP="008733C4">
      <w:pPr>
        <w:spacing w:after="0" w:line="240" w:lineRule="auto"/>
        <w:jc w:val="center"/>
        <w:rPr>
          <w:rFonts w:ascii="Arial" w:hAnsi="Arial" w:cs="Arial"/>
          <w:b/>
          <w:sz w:val="24"/>
          <w:szCs w:val="24"/>
        </w:rPr>
      </w:pPr>
    </w:p>
    <w:p w14:paraId="261C5750" w14:textId="4AF03F18" w:rsidR="00E64A7D" w:rsidRDefault="00E64A7D" w:rsidP="008733C4">
      <w:pPr>
        <w:spacing w:after="0" w:line="240" w:lineRule="auto"/>
        <w:jc w:val="center"/>
        <w:rPr>
          <w:rFonts w:ascii="Arial" w:hAnsi="Arial" w:cs="Arial"/>
          <w:b/>
          <w:sz w:val="24"/>
          <w:szCs w:val="24"/>
        </w:rPr>
      </w:pPr>
    </w:p>
    <w:p w14:paraId="62A89148" w14:textId="160C0587" w:rsidR="00E64A7D" w:rsidRDefault="00E26E87" w:rsidP="008733C4">
      <w:pPr>
        <w:spacing w:after="0" w:line="240" w:lineRule="auto"/>
        <w:jc w:val="center"/>
        <w:rPr>
          <w:rFonts w:ascii="Arial" w:hAnsi="Arial" w:cs="Arial"/>
          <w:b/>
          <w:sz w:val="24"/>
          <w:szCs w:val="24"/>
        </w:rPr>
      </w:pPr>
      <w:r w:rsidRPr="00E26E87">
        <w:drawing>
          <wp:inline distT="0" distB="0" distL="0" distR="0" wp14:anchorId="0730D9AC" wp14:editId="4685EC50">
            <wp:extent cx="6210935" cy="8844323"/>
            <wp:effectExtent l="0" t="0" r="0" b="0"/>
            <wp:docPr id="184913895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3723" cy="8848293"/>
                    </a:xfrm>
                    <a:prstGeom prst="rect">
                      <a:avLst/>
                    </a:prstGeom>
                    <a:noFill/>
                    <a:ln>
                      <a:noFill/>
                    </a:ln>
                  </pic:spPr>
                </pic:pic>
              </a:graphicData>
            </a:graphic>
          </wp:inline>
        </w:drawing>
      </w:r>
    </w:p>
    <w:p w14:paraId="3A195F24" w14:textId="77777777" w:rsidR="00E64A7D" w:rsidRDefault="00E64A7D" w:rsidP="008733C4">
      <w:pPr>
        <w:spacing w:after="0" w:line="240" w:lineRule="auto"/>
        <w:jc w:val="center"/>
        <w:rPr>
          <w:rFonts w:ascii="Arial" w:hAnsi="Arial" w:cs="Arial"/>
          <w:b/>
          <w:sz w:val="24"/>
          <w:szCs w:val="24"/>
        </w:rPr>
      </w:pPr>
    </w:p>
    <w:p w14:paraId="45BB263F" w14:textId="5AB7461B" w:rsidR="00DF6830" w:rsidRDefault="00DF6830" w:rsidP="008733C4">
      <w:pPr>
        <w:spacing w:after="0" w:line="240" w:lineRule="auto"/>
        <w:jc w:val="center"/>
        <w:rPr>
          <w:rFonts w:ascii="Arial" w:hAnsi="Arial" w:cs="Arial"/>
          <w:b/>
          <w:sz w:val="24"/>
          <w:szCs w:val="24"/>
        </w:rPr>
      </w:pPr>
    </w:p>
    <w:p w14:paraId="1283504C" w14:textId="77777777" w:rsidR="00AE0AA5" w:rsidRDefault="00AE0AA5" w:rsidP="008733C4">
      <w:pPr>
        <w:spacing w:after="0" w:line="240" w:lineRule="auto"/>
        <w:jc w:val="center"/>
        <w:rPr>
          <w:rFonts w:ascii="Arial" w:hAnsi="Arial" w:cs="Arial"/>
          <w:b/>
          <w:sz w:val="24"/>
          <w:szCs w:val="24"/>
        </w:rPr>
      </w:pPr>
    </w:p>
    <w:p w14:paraId="2FD34AB5" w14:textId="77777777" w:rsidR="00AE0AA5" w:rsidRDefault="00AE0AA5" w:rsidP="008733C4">
      <w:pPr>
        <w:spacing w:after="0" w:line="240" w:lineRule="auto"/>
        <w:jc w:val="center"/>
        <w:rPr>
          <w:rFonts w:ascii="Arial" w:hAnsi="Arial" w:cs="Arial"/>
          <w:b/>
          <w:sz w:val="24"/>
          <w:szCs w:val="24"/>
        </w:rPr>
      </w:pPr>
    </w:p>
    <w:p w14:paraId="34842CA7" w14:textId="2AA98E0C"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EJECUCION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7DC0FE50"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00FC26B5">
        <w:rPr>
          <w:rFonts w:ascii="Arial" w:hAnsi="Arial" w:cs="Arial"/>
          <w:b/>
          <w:sz w:val="24"/>
          <w:szCs w:val="24"/>
        </w:rPr>
        <w:t>II TRIMESTRE</w:t>
      </w:r>
      <w:r w:rsidRPr="008733C4">
        <w:rPr>
          <w:rFonts w:ascii="Arial" w:hAnsi="Arial" w:cs="Arial"/>
          <w:b/>
          <w:sz w:val="24"/>
          <w:szCs w:val="24"/>
        </w:rPr>
        <w:t xml:space="preserve"> DEL 20</w:t>
      </w:r>
      <w:r w:rsidR="007C0847">
        <w:rPr>
          <w:rFonts w:ascii="Arial" w:hAnsi="Arial" w:cs="Arial"/>
          <w:b/>
          <w:sz w:val="24"/>
          <w:szCs w:val="24"/>
        </w:rPr>
        <w:t>2</w:t>
      </w:r>
      <w:r w:rsidR="00ED54BB">
        <w:rPr>
          <w:rFonts w:ascii="Arial" w:hAnsi="Arial" w:cs="Arial"/>
          <w:b/>
          <w:sz w:val="24"/>
          <w:szCs w:val="24"/>
        </w:rPr>
        <w:t>3</w:t>
      </w:r>
    </w:p>
    <w:p w14:paraId="3C11C054" w14:textId="77777777" w:rsidR="003F37C4" w:rsidRDefault="003F37C4" w:rsidP="008733C4">
      <w:pPr>
        <w:spacing w:after="0" w:line="240" w:lineRule="auto"/>
        <w:jc w:val="both"/>
        <w:rPr>
          <w:rFonts w:ascii="Arial" w:hAnsi="Arial" w:cs="Arial"/>
          <w:sz w:val="20"/>
          <w:szCs w:val="20"/>
        </w:rPr>
      </w:pPr>
    </w:p>
    <w:p w14:paraId="1C2D2989" w14:textId="425B70EE" w:rsidR="007669B0" w:rsidRPr="000A51BD" w:rsidRDefault="007669B0" w:rsidP="008733C4">
      <w:pPr>
        <w:spacing w:after="0" w:line="240" w:lineRule="auto"/>
        <w:jc w:val="both"/>
        <w:rPr>
          <w:rFonts w:ascii="Arial" w:hAnsi="Arial" w:cs="Arial"/>
          <w:sz w:val="20"/>
          <w:szCs w:val="20"/>
        </w:rPr>
      </w:pPr>
      <w:r w:rsidRPr="000A51BD">
        <w:rPr>
          <w:rFonts w:ascii="Arial" w:hAnsi="Arial" w:cs="Arial"/>
          <w:sz w:val="20"/>
          <w:szCs w:val="20"/>
        </w:rPr>
        <w:t>(</w:t>
      </w:r>
      <w:r w:rsidRPr="000A51BD">
        <w:rPr>
          <w:rFonts w:ascii="Arial" w:hAnsi="Arial" w:cs="Arial"/>
          <w:b/>
          <w:sz w:val="20"/>
          <w:szCs w:val="20"/>
        </w:rPr>
        <w:t>Fase Devengado</w:t>
      </w:r>
      <w:r w:rsidRPr="000A51BD">
        <w:rPr>
          <w:rFonts w:ascii="Arial" w:hAnsi="Arial" w:cs="Arial"/>
          <w:sz w:val="20"/>
          <w:szCs w:val="20"/>
        </w:rPr>
        <w:t>)</w:t>
      </w:r>
    </w:p>
    <w:p w14:paraId="49083593" w14:textId="77777777" w:rsidR="003B4F7F" w:rsidRPr="000A51BD" w:rsidRDefault="003B4F7F" w:rsidP="008733C4">
      <w:pPr>
        <w:spacing w:after="0" w:line="240" w:lineRule="auto"/>
        <w:jc w:val="both"/>
        <w:rPr>
          <w:rFonts w:ascii="Arial" w:hAnsi="Arial" w:cs="Arial"/>
          <w:sz w:val="20"/>
          <w:szCs w:val="20"/>
        </w:rPr>
      </w:pPr>
    </w:p>
    <w:p w14:paraId="15027E7A" w14:textId="1AC78D0A" w:rsidR="003B4F7F" w:rsidRPr="000A51BD" w:rsidRDefault="003B4F7F" w:rsidP="00434148">
      <w:pPr>
        <w:spacing w:after="0" w:line="240" w:lineRule="auto"/>
        <w:jc w:val="both"/>
        <w:rPr>
          <w:rFonts w:ascii="Arial" w:hAnsi="Arial" w:cs="Arial"/>
          <w:sz w:val="20"/>
          <w:szCs w:val="20"/>
        </w:rPr>
      </w:pPr>
      <w:r w:rsidRPr="000A51BD">
        <w:rPr>
          <w:rFonts w:ascii="Arial" w:hAnsi="Arial" w:cs="Arial"/>
          <w:sz w:val="20"/>
          <w:szCs w:val="20"/>
        </w:rPr>
        <w:t>El Fondo de Cooperación para el Desarrollo Social – FONCODES, creado mediante Decreto Legislativo N°657 y modificatorias</w:t>
      </w:r>
      <w:r w:rsidR="008B2642" w:rsidRPr="000A51BD">
        <w:rPr>
          <w:rFonts w:ascii="Arial" w:hAnsi="Arial" w:cs="Arial"/>
          <w:sz w:val="20"/>
          <w:szCs w:val="20"/>
        </w:rPr>
        <w:t>, e</w:t>
      </w:r>
      <w:r w:rsidRPr="000A51BD">
        <w:rPr>
          <w:rFonts w:ascii="Arial" w:hAnsi="Arial" w:cs="Arial"/>
          <w:sz w:val="20"/>
          <w:szCs w:val="20"/>
        </w:rPr>
        <w:t xml:space="preserve">s un Programa Social de alcance Nacional adscrito al Ministerio de Desarrollo e Inclusión Social – MIDIS, de acuerdo al Manual de Operaciones aprobado mediante Resolución Ministerial N°228- 2017-MIDIS. </w:t>
      </w:r>
    </w:p>
    <w:p w14:paraId="45FD4610" w14:textId="77777777" w:rsidR="00260523" w:rsidRPr="000A51BD" w:rsidRDefault="00260523" w:rsidP="00434148">
      <w:pPr>
        <w:spacing w:after="0" w:line="240" w:lineRule="auto"/>
        <w:jc w:val="both"/>
        <w:rPr>
          <w:rFonts w:ascii="Arial" w:hAnsi="Arial" w:cs="Arial"/>
          <w:sz w:val="20"/>
          <w:szCs w:val="20"/>
        </w:rPr>
      </w:pPr>
    </w:p>
    <w:p w14:paraId="60B8A1C4" w14:textId="0D297345" w:rsidR="00D40B7D" w:rsidRPr="000A51BD" w:rsidRDefault="00D40B7D" w:rsidP="00434148">
      <w:pPr>
        <w:jc w:val="both"/>
        <w:rPr>
          <w:rFonts w:ascii="Arial" w:eastAsia="Calibri" w:hAnsi="Arial" w:cs="Arial"/>
          <w:kern w:val="2"/>
          <w:sz w:val="20"/>
          <w:szCs w:val="20"/>
          <w14:ligatures w14:val="standardContextual"/>
        </w:rPr>
      </w:pPr>
      <w:r w:rsidRPr="000A51BD">
        <w:rPr>
          <w:rFonts w:ascii="Arial" w:eastAsia="Calibri" w:hAnsi="Arial" w:cs="Arial"/>
          <w:kern w:val="2"/>
          <w:sz w:val="20"/>
          <w:szCs w:val="20"/>
          <w14:ligatures w14:val="standardContextual"/>
        </w:rPr>
        <w:t xml:space="preserve">El avance de la Ejecución Presupuestal por </w:t>
      </w:r>
      <w:r w:rsidR="00FC26B5">
        <w:rPr>
          <w:rFonts w:ascii="Arial" w:eastAsia="Calibri" w:hAnsi="Arial" w:cs="Arial"/>
          <w:kern w:val="2"/>
          <w:sz w:val="20"/>
          <w:szCs w:val="20"/>
          <w14:ligatures w14:val="standardContextual"/>
        </w:rPr>
        <w:t>t</w:t>
      </w:r>
      <w:r w:rsidRPr="000A51BD">
        <w:rPr>
          <w:rFonts w:ascii="Arial" w:eastAsia="Calibri" w:hAnsi="Arial" w:cs="Arial"/>
          <w:kern w:val="2"/>
          <w:sz w:val="20"/>
          <w:szCs w:val="20"/>
          <w14:ligatures w14:val="standardContextual"/>
        </w:rPr>
        <w:t xml:space="preserve">oda Fuente de Financiamiento al  </w:t>
      </w:r>
      <w:r w:rsidR="00FC26B5">
        <w:rPr>
          <w:rFonts w:ascii="Arial" w:eastAsia="Calibri" w:hAnsi="Arial" w:cs="Arial"/>
          <w:kern w:val="2"/>
          <w:sz w:val="20"/>
          <w:szCs w:val="20"/>
          <w14:ligatures w14:val="standardContextual"/>
        </w:rPr>
        <w:t xml:space="preserve">III trimestre </w:t>
      </w:r>
      <w:r w:rsidRPr="000A51BD">
        <w:rPr>
          <w:rFonts w:ascii="Arial" w:eastAsia="Calibri" w:hAnsi="Arial" w:cs="Arial"/>
          <w:kern w:val="2"/>
          <w:sz w:val="20"/>
          <w:szCs w:val="20"/>
          <w14:ligatures w14:val="standardContextual"/>
        </w:rPr>
        <w:t xml:space="preserve">asciende a </w:t>
      </w:r>
      <w:r w:rsidR="009A364B">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S/</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3</w:t>
      </w:r>
      <w:r w:rsidR="00FC26B5">
        <w:rPr>
          <w:rFonts w:ascii="Arial" w:eastAsia="Calibri" w:hAnsi="Arial" w:cs="Arial"/>
          <w:kern w:val="2"/>
          <w:sz w:val="20"/>
          <w:szCs w:val="20"/>
          <w14:ligatures w14:val="standardContextual"/>
        </w:rPr>
        <w:t>99</w:t>
      </w:r>
      <w:r w:rsidR="000A51BD">
        <w:rPr>
          <w:rFonts w:ascii="Arial" w:eastAsia="Calibri" w:hAnsi="Arial" w:cs="Arial"/>
          <w:kern w:val="2"/>
          <w:sz w:val="20"/>
          <w:szCs w:val="20"/>
          <w14:ligatures w14:val="standardContextual"/>
        </w:rPr>
        <w:t xml:space="preserve"> </w:t>
      </w:r>
      <w:r w:rsidR="00FC26B5">
        <w:rPr>
          <w:rFonts w:ascii="Arial" w:eastAsia="Calibri" w:hAnsi="Arial" w:cs="Arial"/>
          <w:kern w:val="2"/>
          <w:sz w:val="20"/>
          <w:szCs w:val="20"/>
          <w14:ligatures w14:val="standardContextual"/>
        </w:rPr>
        <w:t>475</w:t>
      </w:r>
      <w:r w:rsidR="000A51BD">
        <w:rPr>
          <w:rFonts w:ascii="Arial" w:eastAsia="Calibri" w:hAnsi="Arial" w:cs="Arial"/>
          <w:kern w:val="2"/>
          <w:sz w:val="20"/>
          <w:szCs w:val="20"/>
          <w14:ligatures w14:val="standardContextual"/>
        </w:rPr>
        <w:t xml:space="preserve"> </w:t>
      </w:r>
      <w:r w:rsidR="00FC26B5">
        <w:rPr>
          <w:rFonts w:ascii="Arial" w:eastAsia="Calibri" w:hAnsi="Arial" w:cs="Arial"/>
          <w:kern w:val="2"/>
          <w:sz w:val="20"/>
          <w:szCs w:val="20"/>
          <w14:ligatures w14:val="standardContextual"/>
        </w:rPr>
        <w:t>991,68</w:t>
      </w:r>
      <w:r w:rsidRPr="000A51BD">
        <w:rPr>
          <w:rFonts w:ascii="Arial" w:eastAsia="Calibri" w:hAnsi="Arial" w:cs="Arial"/>
          <w:kern w:val="2"/>
          <w:sz w:val="20"/>
          <w:szCs w:val="20"/>
          <w14:ligatures w14:val="standardContextual"/>
        </w:rPr>
        <w:t>, que en términos porcentuales comparado con el PIM asignado de</w:t>
      </w:r>
      <w:r w:rsidR="000A51BD">
        <w:rPr>
          <w:rFonts w:ascii="Arial" w:eastAsia="Calibri" w:hAnsi="Arial" w:cs="Arial"/>
          <w:kern w:val="2"/>
          <w:sz w:val="20"/>
          <w:szCs w:val="20"/>
          <w14:ligatures w14:val="standardContextual"/>
        </w:rPr>
        <w:t xml:space="preserve"> </w:t>
      </w:r>
      <w:r w:rsidRPr="000A51BD">
        <w:rPr>
          <w:rFonts w:ascii="Arial" w:eastAsia="Calibri" w:hAnsi="Arial" w:cs="Arial"/>
          <w:kern w:val="2"/>
          <w:sz w:val="20"/>
          <w:szCs w:val="20"/>
          <w14:ligatures w14:val="standardContextual"/>
        </w:rPr>
        <w:t>S/ 42</w:t>
      </w:r>
      <w:r w:rsidR="00FC26B5">
        <w:rPr>
          <w:rFonts w:ascii="Arial" w:eastAsia="Calibri" w:hAnsi="Arial" w:cs="Arial"/>
          <w:kern w:val="2"/>
          <w:sz w:val="20"/>
          <w:szCs w:val="20"/>
          <w14:ligatures w14:val="standardContextual"/>
        </w:rPr>
        <w:t>8</w:t>
      </w:r>
      <w:r w:rsidR="000A51BD">
        <w:rPr>
          <w:rFonts w:ascii="Arial" w:eastAsia="Calibri" w:hAnsi="Arial" w:cs="Arial"/>
          <w:kern w:val="2"/>
          <w:sz w:val="20"/>
          <w:szCs w:val="20"/>
          <w14:ligatures w14:val="standardContextual"/>
        </w:rPr>
        <w:t xml:space="preserve"> </w:t>
      </w:r>
      <w:r w:rsidR="00FC26B5">
        <w:rPr>
          <w:rFonts w:ascii="Arial" w:eastAsia="Calibri" w:hAnsi="Arial" w:cs="Arial"/>
          <w:kern w:val="2"/>
          <w:sz w:val="20"/>
          <w:szCs w:val="20"/>
          <w14:ligatures w14:val="standardContextual"/>
        </w:rPr>
        <w:t>483</w:t>
      </w:r>
      <w:r w:rsidR="000A51BD">
        <w:rPr>
          <w:rFonts w:ascii="Arial" w:eastAsia="Calibri" w:hAnsi="Arial" w:cs="Arial"/>
          <w:kern w:val="2"/>
          <w:sz w:val="20"/>
          <w:szCs w:val="20"/>
          <w14:ligatures w14:val="standardContextual"/>
        </w:rPr>
        <w:t xml:space="preserve"> </w:t>
      </w:r>
      <w:r w:rsidR="00BB25B5">
        <w:rPr>
          <w:rFonts w:ascii="Arial" w:eastAsia="Calibri" w:hAnsi="Arial" w:cs="Arial"/>
          <w:kern w:val="2"/>
          <w:sz w:val="20"/>
          <w:szCs w:val="20"/>
          <w14:ligatures w14:val="standardContextual"/>
        </w:rPr>
        <w:t>561</w:t>
      </w:r>
      <w:r w:rsidRPr="000A51BD">
        <w:rPr>
          <w:rFonts w:ascii="Arial" w:eastAsia="Calibri" w:hAnsi="Arial" w:cs="Arial"/>
          <w:kern w:val="2"/>
          <w:sz w:val="20"/>
          <w:szCs w:val="20"/>
          <w14:ligatures w14:val="standardContextual"/>
        </w:rPr>
        <w:t xml:space="preserve">, alcanza un nivel de </w:t>
      </w:r>
      <w:r w:rsidR="00BB25B5">
        <w:rPr>
          <w:rFonts w:ascii="Arial" w:eastAsia="Calibri" w:hAnsi="Arial" w:cs="Arial"/>
          <w:kern w:val="2"/>
          <w:sz w:val="20"/>
          <w:szCs w:val="20"/>
          <w14:ligatures w14:val="standardContextual"/>
        </w:rPr>
        <w:t>93.2</w:t>
      </w:r>
      <w:r w:rsidRPr="000A51BD">
        <w:rPr>
          <w:rFonts w:ascii="Arial" w:eastAsia="Calibri" w:hAnsi="Arial" w:cs="Arial"/>
          <w:kern w:val="2"/>
          <w:sz w:val="20"/>
          <w:szCs w:val="20"/>
          <w14:ligatures w14:val="standardContextual"/>
        </w:rPr>
        <w:t>%.</w:t>
      </w:r>
    </w:p>
    <w:p w14:paraId="5B1E2DA9" w14:textId="7E0D0739" w:rsidR="00260523" w:rsidRPr="000A51BD" w:rsidRDefault="00260523" w:rsidP="00434148">
      <w:pPr>
        <w:spacing w:after="0" w:line="240" w:lineRule="auto"/>
        <w:jc w:val="both"/>
        <w:rPr>
          <w:rFonts w:ascii="Arial" w:hAnsi="Arial" w:cs="Arial"/>
          <w:sz w:val="20"/>
          <w:szCs w:val="20"/>
        </w:rPr>
      </w:pPr>
      <w:r w:rsidRPr="000A51BD">
        <w:rPr>
          <w:rFonts w:ascii="Arial" w:hAnsi="Arial" w:cs="Arial"/>
          <w:sz w:val="20"/>
          <w:szCs w:val="20"/>
        </w:rPr>
        <w:t>Se ejecutaron actividades tales como:</w:t>
      </w:r>
    </w:p>
    <w:p w14:paraId="1335C1C9" w14:textId="77777777" w:rsidR="00D614AD" w:rsidRPr="000A51BD" w:rsidRDefault="00D614AD" w:rsidP="00260523">
      <w:pPr>
        <w:spacing w:after="0" w:line="240" w:lineRule="auto"/>
        <w:jc w:val="both"/>
        <w:rPr>
          <w:rFonts w:ascii="Arial" w:hAnsi="Arial" w:cs="Arial"/>
          <w:sz w:val="20"/>
          <w:szCs w:val="20"/>
        </w:rPr>
      </w:pPr>
    </w:p>
    <w:p w14:paraId="7C32AAE6" w14:textId="4E6D0D16" w:rsidR="00D614AD" w:rsidRPr="000A51BD" w:rsidRDefault="00BC363B" w:rsidP="00434148">
      <w:pPr>
        <w:spacing w:after="200" w:line="276" w:lineRule="auto"/>
        <w:contextualSpacing/>
        <w:jc w:val="both"/>
        <w:rPr>
          <w:rFonts w:ascii="Arial" w:eastAsia="Times New Roman" w:hAnsi="Arial" w:cs="Arial"/>
          <w:color w:val="000000"/>
          <w:sz w:val="20"/>
          <w:szCs w:val="20"/>
          <w:lang w:eastAsia="es-PE"/>
        </w:rPr>
      </w:pPr>
      <w:r w:rsidRPr="000A51BD">
        <w:rPr>
          <w:rFonts w:ascii="Arial" w:eastAsia="Times New Roman" w:hAnsi="Arial" w:cs="Arial"/>
          <w:b/>
          <w:color w:val="000000"/>
          <w:sz w:val="20"/>
          <w:szCs w:val="20"/>
          <w:lang w:eastAsia="es-PE"/>
        </w:rPr>
        <w:t>PROGRAMA PRESUPUESTAL 0118 HAKU WIÑAY</w:t>
      </w:r>
      <w:r>
        <w:rPr>
          <w:rFonts w:ascii="Arial" w:eastAsia="Times New Roman" w:hAnsi="Arial" w:cs="Arial"/>
          <w:b/>
          <w:color w:val="000000"/>
          <w:sz w:val="20"/>
          <w:szCs w:val="20"/>
          <w:lang w:eastAsia="es-PE"/>
        </w:rPr>
        <w:t>/NOA JAYATAI</w:t>
      </w:r>
    </w:p>
    <w:p w14:paraId="3ED33DF4" w14:textId="77777777" w:rsidR="00D614AD" w:rsidRPr="000A51BD" w:rsidRDefault="00D614AD" w:rsidP="00434148">
      <w:pPr>
        <w:spacing w:after="200" w:line="276" w:lineRule="auto"/>
        <w:ind w:left="567" w:hanging="425"/>
        <w:contextualSpacing/>
        <w:jc w:val="both"/>
        <w:rPr>
          <w:rFonts w:ascii="Arial" w:eastAsia="Times New Roman" w:hAnsi="Arial" w:cs="Arial"/>
          <w:color w:val="000000"/>
          <w:sz w:val="20"/>
          <w:szCs w:val="20"/>
          <w:lang w:eastAsia="es-PE"/>
        </w:rPr>
      </w:pPr>
    </w:p>
    <w:p w14:paraId="4BEB637C" w14:textId="0EC3C0A4" w:rsidR="00434148" w:rsidRPr="00434148" w:rsidRDefault="00434148" w:rsidP="00434148">
      <w:pPr>
        <w:contextualSpacing/>
        <w:jc w:val="both"/>
        <w:rPr>
          <w:rFonts w:ascii="Arial" w:eastAsia="Calibri" w:hAnsi="Arial" w:cs="Arial"/>
          <w:kern w:val="2"/>
          <w:sz w:val="21"/>
          <w:szCs w:val="21"/>
          <w:lang w:eastAsia="es-PE"/>
          <w14:ligatures w14:val="standardContextual"/>
        </w:rPr>
      </w:pPr>
      <w:r w:rsidRPr="00434148">
        <w:rPr>
          <w:rFonts w:ascii="Arial" w:eastAsia="Times New Roman" w:hAnsi="Arial" w:cs="Arial"/>
          <w:bCs/>
          <w:color w:val="000000"/>
          <w:sz w:val="21"/>
          <w:szCs w:val="21"/>
          <w:lang w:eastAsia="es-PE"/>
        </w:rPr>
        <w:t xml:space="preserve">En el Programa Presupuestal 0118 </w:t>
      </w:r>
      <w:r w:rsidRPr="00434148">
        <w:rPr>
          <w:rFonts w:ascii="Arial" w:eastAsia="Times New Roman" w:hAnsi="Arial" w:cs="Arial"/>
          <w:color w:val="000000"/>
          <w:sz w:val="21"/>
          <w:szCs w:val="21"/>
          <w:lang w:eastAsia="es-PE"/>
        </w:rPr>
        <w:t xml:space="preserve">“Acceso de hogares rurales con economías de subsistencia a mercados locales - Haku </w:t>
      </w:r>
      <w:proofErr w:type="spellStart"/>
      <w:r w:rsidRPr="00434148">
        <w:rPr>
          <w:rFonts w:ascii="Arial" w:eastAsia="Times New Roman" w:hAnsi="Arial" w:cs="Arial"/>
          <w:color w:val="000000"/>
          <w:sz w:val="21"/>
          <w:szCs w:val="21"/>
          <w:lang w:eastAsia="es-PE"/>
        </w:rPr>
        <w:t>Wiñay</w:t>
      </w:r>
      <w:proofErr w:type="spellEnd"/>
      <w:r w:rsidRPr="00434148">
        <w:rPr>
          <w:rFonts w:ascii="Arial" w:eastAsia="Times New Roman" w:hAnsi="Arial" w:cs="Arial"/>
          <w:color w:val="000000"/>
          <w:sz w:val="21"/>
          <w:szCs w:val="21"/>
          <w:lang w:eastAsia="es-PE"/>
        </w:rPr>
        <w:t>”, se tiene un avance acumulado de 96</w:t>
      </w:r>
      <w:r w:rsidRPr="00434148">
        <w:rPr>
          <w:rFonts w:ascii="Arial" w:eastAsia="Calibri" w:hAnsi="Arial" w:cs="Arial"/>
          <w:kern w:val="2"/>
          <w:sz w:val="21"/>
          <w:szCs w:val="21"/>
          <w:lang w:eastAsia="es-PE"/>
          <w14:ligatures w14:val="standardContextual"/>
        </w:rPr>
        <w:t>%, lo que significa un monto ejecutado de S/ 236 265 231.86, con relación a un presupuesto autorizado de  S/ 247 191 251,00.</w:t>
      </w:r>
    </w:p>
    <w:p w14:paraId="20546F08" w14:textId="77777777" w:rsidR="00434148" w:rsidRPr="00434148" w:rsidRDefault="00434148" w:rsidP="00434148">
      <w:pPr>
        <w:ind w:hanging="425"/>
        <w:contextualSpacing/>
        <w:jc w:val="both"/>
        <w:rPr>
          <w:rFonts w:ascii="Arial" w:eastAsia="Calibri" w:hAnsi="Arial" w:cs="Arial"/>
          <w:kern w:val="2"/>
          <w:sz w:val="21"/>
          <w:szCs w:val="21"/>
          <w:lang w:eastAsia="es-PE"/>
          <w14:ligatures w14:val="standardContextual"/>
        </w:rPr>
      </w:pPr>
    </w:p>
    <w:p w14:paraId="6234375B" w14:textId="77777777" w:rsidR="00434148" w:rsidRPr="00434148" w:rsidRDefault="00434148" w:rsidP="00434148">
      <w:pPr>
        <w:spacing w:after="0" w:line="240" w:lineRule="auto"/>
        <w:contextualSpacing/>
        <w:jc w:val="both"/>
        <w:rPr>
          <w:rFonts w:ascii="Arial" w:eastAsiaTheme="minorHAnsi" w:hAnsi="Arial" w:cs="Arial"/>
          <w:color w:val="26292E"/>
          <w:sz w:val="21"/>
          <w:szCs w:val="21"/>
          <w:shd w:val="clear" w:color="auto" w:fill="FFFFFF"/>
        </w:rPr>
      </w:pPr>
      <w:r w:rsidRPr="00434148">
        <w:rPr>
          <w:rFonts w:ascii="Arial" w:eastAsiaTheme="minorHAnsi" w:hAnsi="Arial" w:cs="Arial"/>
          <w:color w:val="26292E"/>
          <w:sz w:val="21"/>
          <w:szCs w:val="21"/>
          <w:shd w:val="clear" w:color="auto" w:fill="FFFFFF"/>
        </w:rPr>
        <w:t xml:space="preserve">Los recursos asignados para este proyecto productivo permiten la incorporación de 36,671 nuevos hogares de 88 distritos de 69 provincias, los cuales contarán con servicios de capacitación, asistencia técnica, transferencia de activos productivos y cofinanciamiento para negocios rurales inclusivos. </w:t>
      </w:r>
    </w:p>
    <w:p w14:paraId="083C99C5" w14:textId="77777777" w:rsidR="00434148" w:rsidRPr="00434148" w:rsidRDefault="00434148" w:rsidP="00434148">
      <w:pPr>
        <w:spacing w:after="0" w:line="240" w:lineRule="auto"/>
        <w:ind w:hanging="425"/>
        <w:contextualSpacing/>
        <w:jc w:val="both"/>
        <w:rPr>
          <w:rFonts w:ascii="Arial" w:eastAsia="Calibri" w:hAnsi="Arial" w:cs="Arial"/>
          <w:sz w:val="21"/>
          <w:szCs w:val="21"/>
        </w:rPr>
      </w:pPr>
    </w:p>
    <w:p w14:paraId="17E3C9C6" w14:textId="77777777" w:rsidR="00434148" w:rsidRPr="00434148" w:rsidRDefault="00434148" w:rsidP="00434148">
      <w:pPr>
        <w:spacing w:after="0" w:line="240" w:lineRule="auto"/>
        <w:contextualSpacing/>
        <w:jc w:val="both"/>
        <w:rPr>
          <w:rFonts w:ascii="Arial" w:eastAsia="Calibri" w:hAnsi="Arial" w:cs="Arial"/>
          <w:sz w:val="21"/>
          <w:szCs w:val="21"/>
        </w:rPr>
      </w:pPr>
      <w:r w:rsidRPr="00434148">
        <w:rPr>
          <w:rFonts w:ascii="Arial" w:eastAsiaTheme="minorHAnsi" w:hAnsi="Arial" w:cs="Arial"/>
          <w:color w:val="26292E"/>
          <w:sz w:val="21"/>
          <w:szCs w:val="21"/>
          <w:shd w:val="clear" w:color="auto" w:fill="FFFFFF"/>
        </w:rPr>
        <w:t xml:space="preserve">El proyecto Haku </w:t>
      </w:r>
      <w:proofErr w:type="spellStart"/>
      <w:r w:rsidRPr="00434148">
        <w:rPr>
          <w:rFonts w:ascii="Arial" w:eastAsiaTheme="minorHAnsi" w:hAnsi="Arial" w:cs="Arial"/>
          <w:color w:val="26292E"/>
          <w:sz w:val="21"/>
          <w:szCs w:val="21"/>
          <w:shd w:val="clear" w:color="auto" w:fill="FFFFFF"/>
        </w:rPr>
        <w:t>Wiñay</w:t>
      </w:r>
      <w:proofErr w:type="spellEnd"/>
      <w:r w:rsidRPr="00434148">
        <w:rPr>
          <w:rFonts w:ascii="Arial" w:eastAsiaTheme="minorHAnsi" w:hAnsi="Arial" w:cs="Arial"/>
          <w:color w:val="26292E"/>
          <w:sz w:val="21"/>
          <w:szCs w:val="21"/>
          <w:shd w:val="clear" w:color="auto" w:fill="FFFFFF"/>
        </w:rPr>
        <w:t xml:space="preserve">/Noa </w:t>
      </w:r>
      <w:proofErr w:type="spellStart"/>
      <w:r w:rsidRPr="00434148">
        <w:rPr>
          <w:rFonts w:ascii="Arial" w:eastAsiaTheme="minorHAnsi" w:hAnsi="Arial" w:cs="Arial"/>
          <w:color w:val="26292E"/>
          <w:sz w:val="21"/>
          <w:szCs w:val="21"/>
          <w:shd w:val="clear" w:color="auto" w:fill="FFFFFF"/>
        </w:rPr>
        <w:t>Jayatai</w:t>
      </w:r>
      <w:proofErr w:type="spellEnd"/>
      <w:r w:rsidRPr="00434148">
        <w:rPr>
          <w:rFonts w:ascii="Arial" w:eastAsiaTheme="minorHAnsi" w:hAnsi="Arial" w:cs="Arial"/>
          <w:color w:val="26292E"/>
          <w:sz w:val="21"/>
          <w:szCs w:val="21"/>
          <w:shd w:val="clear" w:color="auto" w:fill="FFFFFF"/>
        </w:rPr>
        <w:t xml:space="preserve"> de </w:t>
      </w:r>
      <w:proofErr w:type="spellStart"/>
      <w:r w:rsidRPr="00434148">
        <w:rPr>
          <w:rFonts w:ascii="Arial" w:eastAsiaTheme="minorHAnsi" w:hAnsi="Arial" w:cs="Arial"/>
          <w:color w:val="26292E"/>
          <w:sz w:val="21"/>
          <w:szCs w:val="21"/>
          <w:shd w:val="clear" w:color="auto" w:fill="FFFFFF"/>
        </w:rPr>
        <w:t>Foncodes</w:t>
      </w:r>
      <w:proofErr w:type="spellEnd"/>
      <w:r w:rsidRPr="00434148">
        <w:rPr>
          <w:rFonts w:ascii="Arial" w:eastAsiaTheme="minorHAnsi" w:hAnsi="Arial" w:cs="Arial"/>
          <w:color w:val="26292E"/>
          <w:sz w:val="21"/>
          <w:szCs w:val="21"/>
          <w:shd w:val="clear" w:color="auto" w:fill="FFFFFF"/>
        </w:rPr>
        <w:t>, está alineado al Objetivo Prioritario 3 de la Política Nacional de Desarrollo e Inclusión Social al 2030: </w:t>
      </w:r>
      <w:r w:rsidRPr="00434148">
        <w:rPr>
          <w:rFonts w:ascii="Arial" w:eastAsiaTheme="minorHAnsi" w:hAnsi="Arial" w:cs="Arial"/>
          <w:i/>
          <w:iCs/>
          <w:color w:val="26292E"/>
          <w:sz w:val="21"/>
          <w:szCs w:val="21"/>
          <w:bdr w:val="single" w:sz="2" w:space="0" w:color="E5E5E5" w:frame="1"/>
          <w:shd w:val="clear" w:color="auto" w:fill="FFFFFF"/>
        </w:rPr>
        <w:t>“incrementar las capacidades para la inclusión económica de jóvenes y adultos para asegurar su inclusión social” </w:t>
      </w:r>
      <w:r w:rsidRPr="00434148">
        <w:rPr>
          <w:rFonts w:ascii="Arial" w:eastAsiaTheme="minorHAnsi" w:hAnsi="Arial" w:cs="Arial"/>
          <w:color w:val="26292E"/>
          <w:sz w:val="21"/>
          <w:szCs w:val="21"/>
          <w:shd w:val="clear" w:color="auto" w:fill="FFFFFF"/>
        </w:rPr>
        <w:t xml:space="preserve">sostenible. En ese sentido, </w:t>
      </w:r>
      <w:proofErr w:type="spellStart"/>
      <w:r w:rsidRPr="00434148">
        <w:rPr>
          <w:rFonts w:ascii="Arial" w:eastAsiaTheme="minorHAnsi" w:hAnsi="Arial" w:cs="Arial"/>
          <w:color w:val="26292E"/>
          <w:sz w:val="21"/>
          <w:szCs w:val="21"/>
          <w:shd w:val="clear" w:color="auto" w:fill="FFFFFF"/>
        </w:rPr>
        <w:t>Foncodes</w:t>
      </w:r>
      <w:proofErr w:type="spellEnd"/>
      <w:r w:rsidRPr="00434148">
        <w:rPr>
          <w:rFonts w:ascii="Arial" w:eastAsiaTheme="minorHAnsi" w:hAnsi="Arial" w:cs="Arial"/>
          <w:color w:val="26292E"/>
          <w:sz w:val="21"/>
          <w:szCs w:val="21"/>
          <w:shd w:val="clear" w:color="auto" w:fill="FFFFFF"/>
        </w:rPr>
        <w:t xml:space="preserve"> trabaja bajo los enfoques de desarrollo territorial rural, de demanda, de interculturalidad, de género, y agroecológico, articulando su intervención con la población usuaria organizada en núcleos ejecutores, gobiernos locales y otros sectores públicos y privados.</w:t>
      </w:r>
    </w:p>
    <w:p w14:paraId="18C0750B" w14:textId="77777777" w:rsidR="00434148" w:rsidRPr="00434148" w:rsidRDefault="00434148" w:rsidP="00434148">
      <w:pPr>
        <w:spacing w:after="0" w:line="240" w:lineRule="auto"/>
        <w:ind w:left="426"/>
        <w:contextualSpacing/>
        <w:jc w:val="both"/>
        <w:rPr>
          <w:rFonts w:ascii="Arial" w:eastAsia="Calibri" w:hAnsi="Arial" w:cs="Arial"/>
          <w:sz w:val="21"/>
          <w:szCs w:val="21"/>
        </w:rPr>
      </w:pPr>
    </w:p>
    <w:p w14:paraId="2E37F8B1" w14:textId="77777777" w:rsidR="00434148" w:rsidRDefault="00434148" w:rsidP="00A060D0">
      <w:pPr>
        <w:spacing w:after="0" w:line="240" w:lineRule="auto"/>
        <w:contextualSpacing/>
        <w:jc w:val="both"/>
        <w:rPr>
          <w:rFonts w:ascii="Arial" w:eastAsia="Calibri" w:hAnsi="Arial" w:cs="Arial"/>
          <w:sz w:val="21"/>
          <w:szCs w:val="21"/>
        </w:rPr>
      </w:pPr>
      <w:r w:rsidRPr="00434148">
        <w:rPr>
          <w:rFonts w:ascii="Arial" w:eastAsia="Calibri" w:hAnsi="Arial" w:cs="Arial"/>
          <w:sz w:val="21"/>
          <w:szCs w:val="21"/>
        </w:rPr>
        <w:t>Las actividades que se desarrollan están referidas a la asistencia técnica y capacitación y dotación de activos para el desarrollo de capacidades productivas y de emprendimientos rurales inclusivos, que permitan incrementar y diversificar los ingresos autónomos sostenibles de los hogares en situación de pobreza y pobreza extrema ubicados en centros poblados rurales.</w:t>
      </w:r>
    </w:p>
    <w:p w14:paraId="344C76DE" w14:textId="77777777" w:rsidR="00434148" w:rsidRPr="00434148" w:rsidRDefault="00434148" w:rsidP="00434148">
      <w:pPr>
        <w:spacing w:after="0" w:line="240" w:lineRule="auto"/>
        <w:ind w:left="426"/>
        <w:contextualSpacing/>
        <w:jc w:val="both"/>
        <w:rPr>
          <w:rFonts w:ascii="Arial" w:eastAsia="Calibri" w:hAnsi="Arial" w:cs="Arial"/>
          <w:sz w:val="21"/>
          <w:szCs w:val="21"/>
        </w:rPr>
      </w:pPr>
    </w:p>
    <w:p w14:paraId="7478FC72" w14:textId="77777777" w:rsidR="00434148" w:rsidRPr="00434148" w:rsidRDefault="00434148" w:rsidP="00A060D0">
      <w:pPr>
        <w:ind w:left="142"/>
        <w:contextualSpacing/>
        <w:jc w:val="both"/>
        <w:rPr>
          <w:rFonts w:ascii="Arial" w:eastAsiaTheme="minorHAnsi" w:hAnsi="Arial" w:cs="Arial"/>
          <w:color w:val="000000"/>
        </w:rPr>
      </w:pPr>
      <w:r w:rsidRPr="00434148">
        <w:rPr>
          <w:rFonts w:eastAsiaTheme="minorHAnsi"/>
          <w:noProof/>
        </w:rPr>
        <w:drawing>
          <wp:inline distT="0" distB="0" distL="0" distR="0" wp14:anchorId="365ADF1D" wp14:editId="6BC06FEF">
            <wp:extent cx="5999480" cy="2676525"/>
            <wp:effectExtent l="0" t="0" r="1270" b="9525"/>
            <wp:docPr id="4330326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1749" cy="2704305"/>
                    </a:xfrm>
                    <a:prstGeom prst="rect">
                      <a:avLst/>
                    </a:prstGeom>
                    <a:noFill/>
                    <a:ln>
                      <a:noFill/>
                    </a:ln>
                  </pic:spPr>
                </pic:pic>
              </a:graphicData>
            </a:graphic>
          </wp:inline>
        </w:drawing>
      </w:r>
    </w:p>
    <w:p w14:paraId="6079A925" w14:textId="77777777" w:rsidR="00434148" w:rsidRPr="00434148" w:rsidRDefault="00434148" w:rsidP="00434148">
      <w:pPr>
        <w:ind w:left="426" w:hanging="426"/>
        <w:contextualSpacing/>
        <w:jc w:val="both"/>
        <w:rPr>
          <w:rFonts w:ascii="Arial" w:eastAsia="Times New Roman" w:hAnsi="Arial" w:cs="Arial"/>
          <w:bCs/>
          <w:color w:val="000000"/>
          <w:lang w:eastAsia="es-PE"/>
        </w:rPr>
      </w:pPr>
    </w:p>
    <w:p w14:paraId="57890040" w14:textId="77777777" w:rsidR="00434148" w:rsidRDefault="00434148" w:rsidP="00D614AD">
      <w:pPr>
        <w:spacing w:after="0" w:line="240" w:lineRule="auto"/>
        <w:ind w:left="567"/>
        <w:jc w:val="both"/>
        <w:rPr>
          <w:rFonts w:ascii="Arial" w:eastAsia="Calibri" w:hAnsi="Arial" w:cs="Arial"/>
          <w:kern w:val="2"/>
          <w:sz w:val="20"/>
          <w:szCs w:val="20"/>
          <w14:ligatures w14:val="standardContextual"/>
        </w:rPr>
      </w:pPr>
    </w:p>
    <w:p w14:paraId="2A6284EE" w14:textId="77777777" w:rsidR="00434148" w:rsidRDefault="00434148" w:rsidP="00D614AD">
      <w:pPr>
        <w:spacing w:after="0" w:line="240" w:lineRule="auto"/>
        <w:ind w:left="567"/>
        <w:jc w:val="both"/>
        <w:rPr>
          <w:rFonts w:ascii="Arial" w:eastAsia="Calibri" w:hAnsi="Arial" w:cs="Arial"/>
          <w:kern w:val="2"/>
          <w:sz w:val="20"/>
          <w:szCs w:val="20"/>
          <w14:ligatures w14:val="standardContextual"/>
        </w:rPr>
      </w:pPr>
    </w:p>
    <w:p w14:paraId="71332160" w14:textId="0E40519A" w:rsidR="00C36BBF" w:rsidRDefault="00C36BBF" w:rsidP="00943AD3">
      <w:pPr>
        <w:ind w:left="426" w:hanging="426"/>
        <w:contextualSpacing/>
        <w:jc w:val="right"/>
        <w:rPr>
          <w:rFonts w:ascii="Arial" w:eastAsia="Times New Roman" w:hAnsi="Arial" w:cs="Arial"/>
          <w:color w:val="000000"/>
          <w:lang w:eastAsia="es-PE"/>
        </w:rPr>
      </w:pPr>
    </w:p>
    <w:p w14:paraId="26793E21" w14:textId="77777777" w:rsidR="00C36BBF" w:rsidRDefault="00C36BBF" w:rsidP="00A060D0">
      <w:pPr>
        <w:spacing w:after="200" w:line="276" w:lineRule="auto"/>
        <w:contextualSpacing/>
        <w:jc w:val="both"/>
        <w:rPr>
          <w:rFonts w:ascii="Arial" w:hAnsi="Arial" w:cs="Arial"/>
          <w:sz w:val="20"/>
          <w:szCs w:val="20"/>
          <w:lang w:eastAsia="es-PE"/>
        </w:rPr>
      </w:pPr>
      <w:r w:rsidRPr="00136056">
        <w:rPr>
          <w:rFonts w:ascii="Arial" w:hAnsi="Arial" w:cs="Arial"/>
          <w:b/>
          <w:sz w:val="20"/>
          <w:szCs w:val="20"/>
          <w:lang w:eastAsia="es-PE"/>
        </w:rPr>
        <w:t>Acciones Centrales</w:t>
      </w:r>
      <w:r w:rsidRPr="00136056">
        <w:rPr>
          <w:rFonts w:ascii="Arial" w:hAnsi="Arial" w:cs="Arial"/>
          <w:sz w:val="20"/>
          <w:szCs w:val="20"/>
          <w:lang w:eastAsia="es-PE"/>
        </w:rPr>
        <w:t>:</w:t>
      </w:r>
    </w:p>
    <w:p w14:paraId="0DD131A9" w14:textId="77777777" w:rsidR="00A060D0" w:rsidRPr="00136056" w:rsidRDefault="00A060D0" w:rsidP="00A060D0">
      <w:pPr>
        <w:spacing w:after="200" w:line="276" w:lineRule="auto"/>
        <w:contextualSpacing/>
        <w:jc w:val="both"/>
        <w:rPr>
          <w:rFonts w:ascii="Arial" w:hAnsi="Arial" w:cs="Arial"/>
          <w:sz w:val="20"/>
          <w:szCs w:val="20"/>
          <w:lang w:eastAsia="es-PE"/>
        </w:rPr>
      </w:pPr>
    </w:p>
    <w:p w14:paraId="59D5A65E" w14:textId="77777777" w:rsidR="00A060D0" w:rsidRPr="00A060D0" w:rsidRDefault="00A060D0" w:rsidP="00A060D0">
      <w:pPr>
        <w:spacing w:after="0" w:line="240" w:lineRule="auto"/>
        <w:jc w:val="both"/>
        <w:rPr>
          <w:rFonts w:ascii="Arial" w:eastAsia="Times New Roman" w:hAnsi="Arial" w:cs="Arial"/>
          <w:sz w:val="21"/>
          <w:szCs w:val="21"/>
          <w:lang w:val="es-ES" w:eastAsia="es-ES"/>
        </w:rPr>
      </w:pPr>
      <w:r w:rsidRPr="00A060D0">
        <w:rPr>
          <w:rFonts w:ascii="Arial" w:eastAsia="Times New Roman" w:hAnsi="Arial" w:cs="Arial"/>
          <w:bCs/>
          <w:color w:val="000000"/>
          <w:sz w:val="21"/>
          <w:szCs w:val="21"/>
          <w:lang w:val="es-ES"/>
        </w:rPr>
        <w:t xml:space="preserve">En la categoría presupuestal Acciones Centrales, el PIM 2023 asciende a S/ 44 266 466.00, </w:t>
      </w:r>
      <w:r w:rsidRPr="00A060D0">
        <w:rPr>
          <w:rFonts w:ascii="Arial" w:eastAsia="Times New Roman" w:hAnsi="Arial" w:cs="Arial"/>
          <w:sz w:val="21"/>
          <w:szCs w:val="21"/>
          <w:lang w:val="es-ES" w:eastAsia="es-ES"/>
        </w:rPr>
        <w:t xml:space="preserve">cuyos recursos están orientados a actividades de Conducción y Orientación Superior de la Alta Dirección, la gestión de los sistemas administrativos: Planeamiento y Presupuesto que comprenden la gestión del plan operativo, su alineamiento estratégico, el seguimiento y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acciones de Control y Auditoría de la Entidad. Asimismo, permite desarrollar las actividades, orientadas principalmente a garantizar los gastos administrativos de la Sede Central y 26 Unidades Territoriales ubicados en el territorio nacional, así como garantizar el costo de planilla del personal, en el régimen laboral del Decreto Legislativo Nº728 y en el régimen del Decreto Legislativo N°1057. </w:t>
      </w:r>
    </w:p>
    <w:p w14:paraId="745C37D7" w14:textId="77777777" w:rsidR="00A060D0" w:rsidRPr="00A060D0" w:rsidRDefault="00A060D0" w:rsidP="00A060D0">
      <w:pPr>
        <w:contextualSpacing/>
        <w:jc w:val="both"/>
        <w:rPr>
          <w:rFonts w:ascii="Arial" w:eastAsia="Times New Roman" w:hAnsi="Arial" w:cs="Arial"/>
          <w:sz w:val="21"/>
          <w:szCs w:val="21"/>
          <w:lang w:val="es-ES" w:eastAsia="es-PE"/>
        </w:rPr>
      </w:pPr>
    </w:p>
    <w:p w14:paraId="10D72F31" w14:textId="77777777" w:rsidR="00A060D0" w:rsidRPr="00A060D0" w:rsidRDefault="00A060D0" w:rsidP="00A060D0">
      <w:pPr>
        <w:contextualSpacing/>
        <w:jc w:val="both"/>
        <w:rPr>
          <w:rFonts w:ascii="Arial" w:eastAsia="Times New Roman" w:hAnsi="Arial" w:cs="Arial"/>
          <w:sz w:val="21"/>
          <w:szCs w:val="21"/>
          <w:lang w:eastAsia="es-PE"/>
        </w:rPr>
      </w:pPr>
      <w:r w:rsidRPr="00A060D0">
        <w:rPr>
          <w:rFonts w:ascii="Arial" w:eastAsia="Times New Roman" w:hAnsi="Arial" w:cs="Arial"/>
          <w:sz w:val="21"/>
          <w:szCs w:val="21"/>
          <w:lang w:eastAsia="es-PE"/>
        </w:rPr>
        <w:t>El avance al mes de septiembre es del 61% con respecto al PIM autorizado, se ha devengado la suma de S/ 26 892 314,00.</w:t>
      </w:r>
    </w:p>
    <w:p w14:paraId="2A3A167C" w14:textId="77777777" w:rsidR="00A060D0" w:rsidRPr="00A060D0" w:rsidRDefault="00A060D0" w:rsidP="00A060D0">
      <w:pPr>
        <w:ind w:left="567"/>
        <w:contextualSpacing/>
        <w:jc w:val="both"/>
        <w:rPr>
          <w:rFonts w:ascii="Arial" w:eastAsia="Times New Roman" w:hAnsi="Arial" w:cs="Arial"/>
          <w:sz w:val="20"/>
          <w:szCs w:val="20"/>
          <w:lang w:eastAsia="es-PE"/>
        </w:rPr>
      </w:pPr>
    </w:p>
    <w:p w14:paraId="117D68EB" w14:textId="77777777" w:rsidR="00A060D0" w:rsidRPr="00A060D0" w:rsidRDefault="00A060D0" w:rsidP="00A060D0">
      <w:pPr>
        <w:contextualSpacing/>
        <w:jc w:val="right"/>
        <w:rPr>
          <w:rFonts w:ascii="Arial" w:eastAsia="Times New Roman" w:hAnsi="Arial" w:cs="Arial"/>
          <w:sz w:val="20"/>
          <w:szCs w:val="20"/>
          <w:lang w:eastAsia="es-PE"/>
        </w:rPr>
      </w:pPr>
      <w:r w:rsidRPr="00A060D0">
        <w:rPr>
          <w:rFonts w:eastAsiaTheme="minorHAnsi"/>
          <w:noProof/>
        </w:rPr>
        <w:drawing>
          <wp:inline distT="0" distB="0" distL="0" distR="0" wp14:anchorId="027BB5E7" wp14:editId="058A5779">
            <wp:extent cx="6110605" cy="3476625"/>
            <wp:effectExtent l="0" t="0" r="4445" b="9525"/>
            <wp:docPr id="94726594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4839" cy="3518860"/>
                    </a:xfrm>
                    <a:prstGeom prst="rect">
                      <a:avLst/>
                    </a:prstGeom>
                    <a:noFill/>
                    <a:ln>
                      <a:noFill/>
                    </a:ln>
                  </pic:spPr>
                </pic:pic>
              </a:graphicData>
            </a:graphic>
          </wp:inline>
        </w:drawing>
      </w:r>
    </w:p>
    <w:p w14:paraId="132EB8FE" w14:textId="77777777" w:rsidR="00A060D0" w:rsidRPr="00A060D0" w:rsidRDefault="00A060D0" w:rsidP="00A060D0">
      <w:pPr>
        <w:ind w:left="567"/>
        <w:contextualSpacing/>
        <w:jc w:val="both"/>
        <w:rPr>
          <w:rFonts w:ascii="Arial" w:eastAsia="Times New Roman" w:hAnsi="Arial" w:cs="Arial"/>
          <w:sz w:val="20"/>
          <w:szCs w:val="20"/>
          <w:lang w:eastAsia="es-PE"/>
        </w:rPr>
      </w:pPr>
    </w:p>
    <w:p w14:paraId="13B56C1E" w14:textId="77777777" w:rsidR="00B0125A" w:rsidRDefault="00B0125A" w:rsidP="00B0125A">
      <w:pPr>
        <w:spacing w:after="0" w:line="276" w:lineRule="auto"/>
        <w:contextualSpacing/>
        <w:jc w:val="both"/>
        <w:rPr>
          <w:rFonts w:ascii="Arial" w:eastAsia="Times New Roman" w:hAnsi="Arial" w:cs="Arial"/>
          <w:b/>
          <w:color w:val="000000"/>
          <w:sz w:val="20"/>
          <w:szCs w:val="20"/>
          <w:lang w:eastAsia="es-PE"/>
        </w:rPr>
      </w:pPr>
    </w:p>
    <w:p w14:paraId="698DA37C" w14:textId="09CCDFE1" w:rsidR="00C36BBF" w:rsidRPr="00DC1D63" w:rsidRDefault="00C36BBF" w:rsidP="00B0125A">
      <w:pPr>
        <w:spacing w:after="0" w:line="276" w:lineRule="auto"/>
        <w:contextualSpacing/>
        <w:jc w:val="both"/>
        <w:rPr>
          <w:rFonts w:ascii="Arial" w:eastAsia="Times New Roman" w:hAnsi="Arial" w:cs="Arial"/>
          <w:color w:val="000000"/>
          <w:sz w:val="20"/>
          <w:szCs w:val="20"/>
          <w:lang w:eastAsia="es-PE"/>
        </w:rPr>
      </w:pPr>
      <w:r w:rsidRPr="00DC1D63">
        <w:rPr>
          <w:rFonts w:ascii="Arial" w:eastAsia="Times New Roman" w:hAnsi="Arial" w:cs="Arial"/>
          <w:b/>
          <w:color w:val="000000"/>
          <w:sz w:val="20"/>
          <w:szCs w:val="20"/>
          <w:lang w:eastAsia="es-PE"/>
        </w:rPr>
        <w:t>Asignaciones Presupuestarias que No Resultan en Productos (APNOP)</w:t>
      </w:r>
      <w:r w:rsidRPr="00DC1D63">
        <w:rPr>
          <w:rFonts w:ascii="Arial" w:eastAsia="Times New Roman" w:hAnsi="Arial" w:cs="Arial"/>
          <w:color w:val="000000"/>
          <w:sz w:val="20"/>
          <w:szCs w:val="20"/>
          <w:lang w:eastAsia="es-PE"/>
        </w:rPr>
        <w:t>,</w:t>
      </w:r>
    </w:p>
    <w:p w14:paraId="79C5A97B" w14:textId="77777777" w:rsidR="00C36BBF" w:rsidRPr="00DC1D63" w:rsidRDefault="00C36BBF" w:rsidP="00C36BBF">
      <w:pPr>
        <w:spacing w:after="0"/>
        <w:contextualSpacing/>
        <w:jc w:val="both"/>
        <w:rPr>
          <w:rFonts w:ascii="Arial" w:eastAsia="Times New Roman" w:hAnsi="Arial" w:cs="Arial"/>
          <w:color w:val="000000"/>
          <w:sz w:val="20"/>
          <w:szCs w:val="20"/>
          <w:lang w:eastAsia="es-PE"/>
        </w:rPr>
      </w:pPr>
    </w:p>
    <w:p w14:paraId="415FADE7" w14:textId="77777777" w:rsidR="00B0125A" w:rsidRPr="00B0125A" w:rsidRDefault="00B0125A" w:rsidP="00B0125A">
      <w:pPr>
        <w:spacing w:after="0"/>
        <w:contextualSpacing/>
        <w:jc w:val="both"/>
        <w:rPr>
          <w:rFonts w:ascii="Arial" w:eastAsia="Times New Roman" w:hAnsi="Arial" w:cs="Arial"/>
          <w:color w:val="000000"/>
          <w:sz w:val="21"/>
          <w:szCs w:val="21"/>
          <w:lang w:eastAsia="es-PE"/>
        </w:rPr>
      </w:pPr>
      <w:bookmarkStart w:id="0" w:name="_Hlk124352909"/>
      <w:r w:rsidRPr="00B0125A">
        <w:rPr>
          <w:rFonts w:ascii="Arial" w:eastAsia="Times New Roman" w:hAnsi="Arial" w:cs="Arial"/>
          <w:color w:val="000000"/>
          <w:sz w:val="21"/>
          <w:szCs w:val="21"/>
          <w:lang w:eastAsia="es-PE"/>
        </w:rPr>
        <w:t xml:space="preserve">El PIM autorizado al mes de septiembre </w:t>
      </w:r>
      <w:r w:rsidRPr="00B0125A">
        <w:rPr>
          <w:rFonts w:ascii="Arial" w:eastAsia="Times New Roman" w:hAnsi="Arial" w:cs="Arial"/>
          <w:sz w:val="21"/>
          <w:szCs w:val="21"/>
          <w:lang w:eastAsia="es-PE"/>
        </w:rPr>
        <w:t xml:space="preserve">2023 </w:t>
      </w:r>
      <w:r w:rsidRPr="00B0125A">
        <w:rPr>
          <w:rFonts w:ascii="Arial" w:eastAsia="Times New Roman" w:hAnsi="Arial" w:cs="Arial"/>
          <w:color w:val="000000"/>
          <w:sz w:val="21"/>
          <w:szCs w:val="21"/>
          <w:lang w:eastAsia="es-PE"/>
        </w:rPr>
        <w:t>asciende a S/ 137 025 844,00; de los cuales se ha devengado S/ 136 318 445,53, lo que representa un avance de 99.5% del gasto.</w:t>
      </w:r>
    </w:p>
    <w:p w14:paraId="0E9F50C3" w14:textId="77777777" w:rsidR="00B0125A" w:rsidRPr="00B0125A" w:rsidRDefault="00B0125A" w:rsidP="00B0125A">
      <w:pPr>
        <w:spacing w:after="0"/>
        <w:contextualSpacing/>
        <w:jc w:val="both"/>
        <w:rPr>
          <w:rFonts w:ascii="Arial" w:eastAsia="Times New Roman" w:hAnsi="Arial" w:cs="Arial"/>
          <w:color w:val="000000"/>
          <w:sz w:val="21"/>
          <w:szCs w:val="21"/>
          <w:lang w:eastAsia="es-PE"/>
        </w:rPr>
      </w:pPr>
    </w:p>
    <w:p w14:paraId="10E9F427" w14:textId="77777777" w:rsidR="00B0125A" w:rsidRPr="00B0125A" w:rsidRDefault="00B0125A" w:rsidP="00B0125A">
      <w:pPr>
        <w:spacing w:after="0"/>
        <w:contextualSpacing/>
        <w:jc w:val="both"/>
        <w:rPr>
          <w:rFonts w:ascii="Arial" w:eastAsia="Times New Roman" w:hAnsi="Arial" w:cs="Arial"/>
          <w:color w:val="000000"/>
          <w:sz w:val="20"/>
          <w:szCs w:val="20"/>
          <w:lang w:eastAsia="es-PE"/>
        </w:rPr>
      </w:pPr>
      <w:r w:rsidRPr="00B0125A">
        <w:rPr>
          <w:rFonts w:ascii="Arial" w:eastAsia="Times New Roman" w:hAnsi="Arial" w:cs="Arial"/>
          <w:color w:val="000000"/>
          <w:sz w:val="21"/>
          <w:szCs w:val="21"/>
          <w:lang w:eastAsia="es-PE"/>
        </w:rPr>
        <w:t xml:space="preserve">En esta categoría de gasto, FONCODES realiza intervenciones en: </w:t>
      </w:r>
      <w:r w:rsidRPr="00B0125A">
        <w:rPr>
          <w:rFonts w:ascii="Arial" w:eastAsia="Times New Roman" w:hAnsi="Arial" w:cs="Arial"/>
          <w:bCs/>
          <w:sz w:val="21"/>
          <w:szCs w:val="21"/>
          <w:lang w:val="es-ES" w:eastAsia="es-ES"/>
        </w:rPr>
        <w:t xml:space="preserve">Renovación de Cerco Perimétrico en la Unidad Territorial FONCODES – Chimbote, departamento de Ancash; </w:t>
      </w:r>
      <w:r w:rsidRPr="00B0125A">
        <w:rPr>
          <w:rFonts w:ascii="Arial" w:eastAsia="Times New Roman" w:hAnsi="Arial" w:cs="Arial"/>
          <w:color w:val="000000"/>
          <w:sz w:val="21"/>
          <w:szCs w:val="21"/>
          <w:lang w:eastAsia="es-PE"/>
        </w:rPr>
        <w:t>Renovación de Cerco Perimétrico en la Unidad Territorial FONCODES – Huancayo, departamento de Junín</w:t>
      </w:r>
      <w:r w:rsidRPr="00B0125A">
        <w:rPr>
          <w:rFonts w:ascii="Arial" w:eastAsia="Times New Roman" w:hAnsi="Arial" w:cs="Arial"/>
          <w:b/>
          <w:bCs/>
          <w:color w:val="000000"/>
          <w:sz w:val="21"/>
          <w:szCs w:val="21"/>
          <w:lang w:eastAsia="es-PE"/>
        </w:rPr>
        <w:t xml:space="preserve">; </w:t>
      </w:r>
      <w:r w:rsidRPr="00B0125A">
        <w:rPr>
          <w:rFonts w:ascii="Arial" w:eastAsia="Times New Roman" w:hAnsi="Arial" w:cs="Arial"/>
          <w:color w:val="000000"/>
          <w:sz w:val="21"/>
          <w:szCs w:val="21"/>
          <w:lang w:eastAsia="es-PE"/>
        </w:rPr>
        <w:t>Transferencia para el mejoramiento y ampliación de los Servicios Educativos; Transferencia e Inventario de Obras; Promoción, Implementación y ejecución de actividades para la Reactivación Económica, esta actividad orientada a la adquisición de bienes para la Policía Nacional del Perú; Emprendimientos de ciudadanos en situación de vulnerabilidad asociada a discapacidad; e Implementación de iniciativas de voluntariado dirigidas a poblaciones vulnerables</w:t>
      </w:r>
      <w:r w:rsidRPr="00B0125A">
        <w:rPr>
          <w:rFonts w:ascii="Arial" w:eastAsia="Times New Roman" w:hAnsi="Arial" w:cs="Arial"/>
          <w:color w:val="000000"/>
          <w:sz w:val="20"/>
          <w:szCs w:val="20"/>
          <w:lang w:eastAsia="es-PE"/>
        </w:rPr>
        <w:t>.</w:t>
      </w:r>
    </w:p>
    <w:p w14:paraId="7A482F31" w14:textId="77777777" w:rsidR="00B0125A" w:rsidRDefault="00B0125A" w:rsidP="00B0125A">
      <w:pPr>
        <w:spacing w:after="0"/>
        <w:ind w:left="426"/>
        <w:contextualSpacing/>
        <w:jc w:val="both"/>
        <w:rPr>
          <w:rFonts w:ascii="Arial" w:eastAsia="Times New Roman" w:hAnsi="Arial" w:cs="Arial"/>
          <w:color w:val="000000"/>
          <w:sz w:val="20"/>
          <w:szCs w:val="20"/>
          <w:lang w:eastAsia="es-PE"/>
        </w:rPr>
      </w:pPr>
    </w:p>
    <w:p w14:paraId="36919932" w14:textId="77777777" w:rsidR="00B0125A" w:rsidRDefault="00B0125A" w:rsidP="00B0125A">
      <w:pPr>
        <w:spacing w:after="0"/>
        <w:ind w:left="426"/>
        <w:contextualSpacing/>
        <w:jc w:val="both"/>
        <w:rPr>
          <w:rFonts w:ascii="Arial" w:eastAsia="Times New Roman" w:hAnsi="Arial" w:cs="Arial"/>
          <w:color w:val="000000"/>
          <w:sz w:val="20"/>
          <w:szCs w:val="20"/>
          <w:lang w:eastAsia="es-PE"/>
        </w:rPr>
      </w:pPr>
    </w:p>
    <w:p w14:paraId="733477A1" w14:textId="77777777" w:rsidR="00B0125A" w:rsidRDefault="00B0125A" w:rsidP="00B0125A">
      <w:pPr>
        <w:spacing w:after="0"/>
        <w:ind w:left="426"/>
        <w:contextualSpacing/>
        <w:jc w:val="both"/>
        <w:rPr>
          <w:rFonts w:ascii="Arial" w:eastAsia="Times New Roman" w:hAnsi="Arial" w:cs="Arial"/>
          <w:color w:val="000000"/>
          <w:sz w:val="20"/>
          <w:szCs w:val="20"/>
          <w:lang w:eastAsia="es-PE"/>
        </w:rPr>
      </w:pPr>
    </w:p>
    <w:p w14:paraId="705FAA6D" w14:textId="77777777" w:rsidR="00B0125A" w:rsidRDefault="00B0125A" w:rsidP="00B0125A">
      <w:pPr>
        <w:spacing w:after="0"/>
        <w:ind w:left="426"/>
        <w:contextualSpacing/>
        <w:jc w:val="both"/>
        <w:rPr>
          <w:rFonts w:ascii="Arial" w:eastAsia="Times New Roman" w:hAnsi="Arial" w:cs="Arial"/>
          <w:color w:val="000000"/>
          <w:sz w:val="20"/>
          <w:szCs w:val="20"/>
          <w:lang w:eastAsia="es-PE"/>
        </w:rPr>
      </w:pPr>
    </w:p>
    <w:p w14:paraId="7F359AA1" w14:textId="77777777" w:rsidR="00B0125A" w:rsidRDefault="00B0125A" w:rsidP="00B0125A">
      <w:pPr>
        <w:spacing w:after="0"/>
        <w:ind w:left="426"/>
        <w:contextualSpacing/>
        <w:jc w:val="both"/>
        <w:rPr>
          <w:rFonts w:ascii="Arial" w:eastAsia="Times New Roman" w:hAnsi="Arial" w:cs="Arial"/>
          <w:color w:val="000000"/>
          <w:sz w:val="20"/>
          <w:szCs w:val="20"/>
          <w:lang w:eastAsia="es-PE"/>
        </w:rPr>
      </w:pPr>
    </w:p>
    <w:p w14:paraId="549BFD14" w14:textId="77777777" w:rsidR="00B0125A" w:rsidRPr="00B0125A" w:rsidRDefault="00B0125A" w:rsidP="00B0125A">
      <w:pPr>
        <w:spacing w:after="0"/>
        <w:ind w:left="426"/>
        <w:contextualSpacing/>
        <w:jc w:val="both"/>
        <w:rPr>
          <w:rFonts w:ascii="Arial" w:eastAsia="Times New Roman" w:hAnsi="Arial" w:cs="Arial"/>
          <w:color w:val="000000"/>
          <w:sz w:val="20"/>
          <w:szCs w:val="20"/>
          <w:lang w:eastAsia="es-PE"/>
        </w:rPr>
      </w:pPr>
    </w:p>
    <w:p w14:paraId="3E475F64" w14:textId="77777777" w:rsidR="00B0125A" w:rsidRPr="00B0125A" w:rsidRDefault="00B0125A" w:rsidP="00B0125A">
      <w:pPr>
        <w:widowControl w:val="0"/>
        <w:spacing w:after="0"/>
        <w:jc w:val="center"/>
        <w:rPr>
          <w:rFonts w:ascii="Arial" w:eastAsia="Times New Roman" w:hAnsi="Arial" w:cs="Arial"/>
          <w:color w:val="000000"/>
          <w:lang w:eastAsia="es-PE"/>
        </w:rPr>
      </w:pPr>
      <w:r w:rsidRPr="00B0125A">
        <w:rPr>
          <w:rFonts w:eastAsiaTheme="minorHAnsi"/>
          <w:noProof/>
        </w:rPr>
        <w:drawing>
          <wp:inline distT="0" distB="0" distL="0" distR="0" wp14:anchorId="6F718F33" wp14:editId="6E0DF29C">
            <wp:extent cx="5648325" cy="3200400"/>
            <wp:effectExtent l="0" t="0" r="9525" b="0"/>
            <wp:docPr id="125495755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8358" cy="3223083"/>
                    </a:xfrm>
                    <a:prstGeom prst="rect">
                      <a:avLst/>
                    </a:prstGeom>
                    <a:noFill/>
                    <a:ln>
                      <a:noFill/>
                    </a:ln>
                  </pic:spPr>
                </pic:pic>
              </a:graphicData>
            </a:graphic>
          </wp:inline>
        </w:drawing>
      </w:r>
    </w:p>
    <w:p w14:paraId="53234B14" w14:textId="77777777" w:rsidR="00B0125A" w:rsidRPr="00B0125A" w:rsidRDefault="00B0125A" w:rsidP="00B0125A">
      <w:pPr>
        <w:widowControl w:val="0"/>
        <w:spacing w:after="0"/>
        <w:jc w:val="center"/>
        <w:rPr>
          <w:rFonts w:ascii="Arial" w:eastAsia="Times New Roman" w:hAnsi="Arial" w:cs="Arial"/>
          <w:color w:val="000000"/>
          <w:lang w:eastAsia="es-PE"/>
        </w:rPr>
      </w:pPr>
    </w:p>
    <w:bookmarkEnd w:id="0"/>
    <w:p w14:paraId="4BA3B30C" w14:textId="77777777" w:rsidR="005F3BC5" w:rsidRDefault="005F3BC5" w:rsidP="00C36BBF">
      <w:pPr>
        <w:spacing w:after="0"/>
        <w:jc w:val="both"/>
        <w:rPr>
          <w:rFonts w:ascii="Arial" w:eastAsia="Times New Roman" w:hAnsi="Arial" w:cs="Arial"/>
          <w:color w:val="000000"/>
          <w:sz w:val="20"/>
          <w:szCs w:val="20"/>
          <w:lang w:eastAsia="es-PE"/>
        </w:rPr>
      </w:pPr>
    </w:p>
    <w:p w14:paraId="5208EAD4" w14:textId="4400C9D0" w:rsidR="00C36BBF" w:rsidRPr="000F358D" w:rsidRDefault="00C36BBF" w:rsidP="00C36BBF">
      <w:pPr>
        <w:spacing w:after="0"/>
        <w:jc w:val="both"/>
        <w:rPr>
          <w:rFonts w:ascii="Arial" w:eastAsia="Times New Roman" w:hAnsi="Arial" w:cs="Arial"/>
          <w:color w:val="000000"/>
          <w:sz w:val="20"/>
          <w:szCs w:val="20"/>
          <w:lang w:eastAsia="es-PE"/>
        </w:rPr>
      </w:pPr>
      <w:r w:rsidRPr="000F358D">
        <w:rPr>
          <w:rFonts w:ascii="Arial" w:eastAsia="Times New Roman" w:hAnsi="Arial" w:cs="Arial"/>
          <w:color w:val="000000"/>
          <w:sz w:val="20"/>
          <w:szCs w:val="20"/>
          <w:lang w:eastAsia="es-PE"/>
        </w:rPr>
        <w:t>El comportamiento del gasto a nivel de Categoría y Grupo Genérico del Gasto</w:t>
      </w:r>
      <w:r w:rsidR="000F358D">
        <w:rPr>
          <w:rFonts w:ascii="Arial" w:eastAsia="Times New Roman" w:hAnsi="Arial" w:cs="Arial"/>
          <w:color w:val="000000"/>
          <w:sz w:val="20"/>
          <w:szCs w:val="20"/>
          <w:lang w:eastAsia="es-PE"/>
        </w:rPr>
        <w:t>,</w:t>
      </w:r>
      <w:r w:rsidRPr="000F358D">
        <w:rPr>
          <w:rFonts w:ascii="Arial" w:eastAsia="Times New Roman" w:hAnsi="Arial" w:cs="Arial"/>
          <w:color w:val="000000"/>
          <w:sz w:val="20"/>
          <w:szCs w:val="20"/>
          <w:lang w:eastAsia="es-PE"/>
        </w:rPr>
        <w:t xml:space="preserve"> al mes de </w:t>
      </w:r>
      <w:r w:rsidR="00B0125A">
        <w:rPr>
          <w:rFonts w:ascii="Arial" w:eastAsia="Times New Roman" w:hAnsi="Arial" w:cs="Arial"/>
          <w:color w:val="000000"/>
          <w:sz w:val="20"/>
          <w:szCs w:val="20"/>
          <w:lang w:eastAsia="es-PE"/>
        </w:rPr>
        <w:t>septiembre</w:t>
      </w:r>
      <w:r w:rsidRPr="000F358D">
        <w:rPr>
          <w:rFonts w:ascii="Arial" w:eastAsia="Times New Roman" w:hAnsi="Arial" w:cs="Arial"/>
          <w:color w:val="000000"/>
          <w:sz w:val="20"/>
          <w:szCs w:val="20"/>
          <w:lang w:eastAsia="es-PE"/>
        </w:rPr>
        <w:t xml:space="preserve"> </w:t>
      </w:r>
      <w:r w:rsidR="000F358D">
        <w:rPr>
          <w:rFonts w:ascii="Arial" w:eastAsia="Times New Roman" w:hAnsi="Arial" w:cs="Arial"/>
          <w:color w:val="000000"/>
          <w:sz w:val="20"/>
          <w:szCs w:val="20"/>
          <w:lang w:eastAsia="es-PE"/>
        </w:rPr>
        <w:t xml:space="preserve">2023 </w:t>
      </w:r>
      <w:r w:rsidRPr="000F358D">
        <w:rPr>
          <w:rFonts w:ascii="Arial" w:eastAsia="Times New Roman" w:hAnsi="Arial" w:cs="Arial"/>
          <w:color w:val="000000"/>
          <w:sz w:val="20"/>
          <w:szCs w:val="20"/>
          <w:lang w:eastAsia="es-PE"/>
        </w:rPr>
        <w:t>se observa en el siguiente cuadro:</w:t>
      </w:r>
    </w:p>
    <w:p w14:paraId="2F932E82" w14:textId="69E2EBF9" w:rsidR="00DF62F6" w:rsidRPr="00CE7E0D" w:rsidRDefault="00DF62F6" w:rsidP="001059E2">
      <w:pPr>
        <w:spacing w:after="0"/>
        <w:jc w:val="center"/>
        <w:rPr>
          <w:rFonts w:ascii="Arial" w:eastAsia="Times New Roman" w:hAnsi="Arial" w:cs="Arial"/>
          <w:color w:val="000000"/>
          <w:sz w:val="20"/>
          <w:szCs w:val="20"/>
          <w:lang w:val="es-ES" w:eastAsia="es-PE"/>
        </w:rPr>
      </w:pPr>
    </w:p>
    <w:p w14:paraId="48DCD29F" w14:textId="77777777" w:rsidR="007669B0" w:rsidRDefault="007669B0" w:rsidP="007669B0">
      <w:pPr>
        <w:spacing w:after="0"/>
        <w:rPr>
          <w:rFonts w:ascii="Arial" w:eastAsia="Times New Roman" w:hAnsi="Arial" w:cs="Arial"/>
          <w:color w:val="000000"/>
          <w:sz w:val="20"/>
          <w:szCs w:val="20"/>
          <w:lang w:eastAsia="es-PE"/>
        </w:rPr>
      </w:pPr>
    </w:p>
    <w:p w14:paraId="1495E385" w14:textId="7EC43C1E" w:rsidR="00476A54" w:rsidRDefault="007B7846" w:rsidP="007669B0">
      <w:pPr>
        <w:spacing w:after="0"/>
        <w:rPr>
          <w:rFonts w:ascii="Arial" w:eastAsia="Times New Roman" w:hAnsi="Arial" w:cs="Arial"/>
          <w:color w:val="000000"/>
          <w:sz w:val="20"/>
          <w:szCs w:val="20"/>
          <w:lang w:eastAsia="es-PE"/>
        </w:rPr>
        <w:sectPr w:rsidR="00476A54" w:rsidSect="000F358D">
          <w:headerReference w:type="default" r:id="rId19"/>
          <w:pgSz w:w="11907" w:h="16839" w:code="9"/>
          <w:pgMar w:top="1134" w:right="992" w:bottom="709" w:left="1134" w:header="564" w:footer="708" w:gutter="0"/>
          <w:cols w:space="708"/>
          <w:docGrid w:linePitch="360"/>
        </w:sectPr>
      </w:pPr>
      <w:r w:rsidRPr="007B7846">
        <w:drawing>
          <wp:inline distT="0" distB="0" distL="0" distR="0" wp14:anchorId="0A9D8306" wp14:editId="3A5C1ADF">
            <wp:extent cx="6210935" cy="3322955"/>
            <wp:effectExtent l="0" t="0" r="0" b="0"/>
            <wp:docPr id="46443463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935" cy="3322955"/>
                    </a:xfrm>
                    <a:prstGeom prst="rect">
                      <a:avLst/>
                    </a:prstGeom>
                    <a:noFill/>
                    <a:ln>
                      <a:noFill/>
                    </a:ln>
                  </pic:spPr>
                </pic:pic>
              </a:graphicData>
            </a:graphic>
          </wp:inline>
        </w:drawing>
      </w:r>
    </w:p>
    <w:p w14:paraId="55461CEA" w14:textId="5D773E75" w:rsidR="00307541" w:rsidRDefault="00307541" w:rsidP="00307541">
      <w:pPr>
        <w:spacing w:after="0"/>
        <w:rPr>
          <w:rFonts w:ascii="Arial" w:eastAsia="Times New Roman" w:hAnsi="Arial" w:cs="Arial"/>
          <w:color w:val="000000"/>
          <w:sz w:val="20"/>
          <w:szCs w:val="20"/>
          <w:lang w:eastAsia="es-PE"/>
        </w:rPr>
      </w:pPr>
    </w:p>
    <w:p w14:paraId="6DBF2693" w14:textId="16C6A014" w:rsidR="00334566" w:rsidRPr="00334566" w:rsidRDefault="00334566" w:rsidP="00334566">
      <w:pPr>
        <w:spacing w:after="0"/>
        <w:rPr>
          <w:rFonts w:ascii="Arial" w:eastAsia="Times New Roman" w:hAnsi="Arial" w:cs="Arial"/>
          <w:color w:val="000000"/>
          <w:lang w:eastAsia="es-PE"/>
        </w:rPr>
      </w:pPr>
      <w:bookmarkStart w:id="1" w:name="_Hlk100757194"/>
      <w:r w:rsidRPr="00334566">
        <w:rPr>
          <w:rFonts w:ascii="Arial" w:eastAsia="Times New Roman" w:hAnsi="Arial" w:cs="Arial"/>
          <w:color w:val="000000"/>
          <w:lang w:eastAsia="es-PE"/>
        </w:rPr>
        <w:t xml:space="preserve">En los siguientes cuadros se puede apreciar el comportamiento del gasto y el porcentaje de avance en los últimos </w:t>
      </w:r>
      <w:r w:rsidR="00C974F1">
        <w:rPr>
          <w:rFonts w:ascii="Arial" w:eastAsia="Times New Roman" w:hAnsi="Arial" w:cs="Arial"/>
          <w:color w:val="000000"/>
          <w:lang w:eastAsia="es-PE"/>
        </w:rPr>
        <w:t>cinco</w:t>
      </w:r>
      <w:r w:rsidRPr="00334566">
        <w:rPr>
          <w:rFonts w:ascii="Arial" w:eastAsia="Times New Roman" w:hAnsi="Arial" w:cs="Arial"/>
          <w:color w:val="000000"/>
          <w:lang w:eastAsia="es-PE"/>
        </w:rPr>
        <w:t xml:space="preserve"> años:</w:t>
      </w:r>
    </w:p>
    <w:p w14:paraId="5937CB30" w14:textId="5BBBA9E5" w:rsidR="00334566" w:rsidRPr="00334566" w:rsidRDefault="00130975" w:rsidP="00334566">
      <w:pPr>
        <w:spacing w:after="0"/>
        <w:rPr>
          <w:rFonts w:ascii="Arial" w:eastAsia="Times New Roman" w:hAnsi="Arial" w:cs="Arial"/>
          <w:color w:val="000000"/>
          <w:lang w:eastAsia="es-PE"/>
        </w:rPr>
      </w:pPr>
      <w:r w:rsidRPr="00130975">
        <w:drawing>
          <wp:inline distT="0" distB="0" distL="0" distR="0" wp14:anchorId="3B256FB7" wp14:editId="4FF27ADF">
            <wp:extent cx="9882505" cy="2103120"/>
            <wp:effectExtent l="0" t="0" r="4445" b="0"/>
            <wp:docPr id="99184410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82505" cy="2103120"/>
                    </a:xfrm>
                    <a:prstGeom prst="rect">
                      <a:avLst/>
                    </a:prstGeom>
                    <a:noFill/>
                    <a:ln>
                      <a:noFill/>
                    </a:ln>
                  </pic:spPr>
                </pic:pic>
              </a:graphicData>
            </a:graphic>
          </wp:inline>
        </w:drawing>
      </w:r>
    </w:p>
    <w:p w14:paraId="4C7ADEF5" w14:textId="664339E7" w:rsidR="00334566" w:rsidRDefault="00334566" w:rsidP="00334566">
      <w:pPr>
        <w:spacing w:after="0"/>
        <w:rPr>
          <w:rFonts w:ascii="Arial" w:eastAsia="Times New Roman" w:hAnsi="Arial" w:cs="Arial"/>
          <w:color w:val="000000"/>
          <w:sz w:val="20"/>
          <w:szCs w:val="20"/>
          <w:lang w:eastAsia="es-PE"/>
        </w:rPr>
      </w:pPr>
    </w:p>
    <w:p w14:paraId="20C833C6" w14:textId="2460A4DD" w:rsidR="00334566" w:rsidRPr="00334566" w:rsidRDefault="00334566" w:rsidP="00334566">
      <w:pPr>
        <w:spacing w:after="0" w:line="240" w:lineRule="auto"/>
        <w:rPr>
          <w:rFonts w:eastAsiaTheme="minorHAnsi"/>
        </w:rPr>
      </w:pPr>
      <w:bookmarkStart w:id="2" w:name="_Hlk100757260"/>
      <w:r w:rsidRPr="00334566">
        <w:rPr>
          <w:rFonts w:eastAsiaTheme="minorHAnsi"/>
        </w:rPr>
        <w:t xml:space="preserve"> </w:t>
      </w:r>
    </w:p>
    <w:p w14:paraId="3B76F372" w14:textId="24C11EF2" w:rsidR="00334566" w:rsidRDefault="00130975" w:rsidP="00334566">
      <w:pPr>
        <w:spacing w:after="0" w:line="240" w:lineRule="auto"/>
        <w:rPr>
          <w:rFonts w:eastAsiaTheme="minorHAnsi"/>
          <w:noProof/>
        </w:rPr>
      </w:pPr>
      <w:r>
        <w:rPr>
          <w:rFonts w:eastAsiaTheme="minorHAnsi"/>
          <w:noProof/>
        </w:rPr>
        <w:drawing>
          <wp:inline distT="0" distB="0" distL="0" distR="0" wp14:anchorId="111F4998" wp14:editId="2C1C8964">
            <wp:extent cx="9848146" cy="3197289"/>
            <wp:effectExtent l="0" t="0" r="1270" b="3175"/>
            <wp:docPr id="11531741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31428" cy="3224327"/>
                    </a:xfrm>
                    <a:prstGeom prst="rect">
                      <a:avLst/>
                    </a:prstGeom>
                    <a:noFill/>
                  </pic:spPr>
                </pic:pic>
              </a:graphicData>
            </a:graphic>
          </wp:inline>
        </w:drawing>
      </w:r>
    </w:p>
    <w:p w14:paraId="02C2BDA6" w14:textId="77777777" w:rsidR="00035D32" w:rsidRDefault="00035D32" w:rsidP="00334566">
      <w:pPr>
        <w:spacing w:after="0" w:line="240" w:lineRule="auto"/>
        <w:rPr>
          <w:rFonts w:eastAsiaTheme="minorHAnsi"/>
          <w:noProof/>
        </w:rPr>
      </w:pPr>
    </w:p>
    <w:p w14:paraId="0EC32698" w14:textId="77777777" w:rsidR="00061355" w:rsidRDefault="00061355" w:rsidP="00334566">
      <w:pPr>
        <w:spacing w:after="0" w:line="240" w:lineRule="auto"/>
        <w:rPr>
          <w:rFonts w:eastAsiaTheme="minorHAnsi"/>
          <w:noProof/>
        </w:rPr>
      </w:pPr>
    </w:p>
    <w:p w14:paraId="4EE6034C" w14:textId="77777777" w:rsidR="00061355" w:rsidRDefault="00061355" w:rsidP="00334566">
      <w:pPr>
        <w:spacing w:after="0" w:line="240" w:lineRule="auto"/>
        <w:rPr>
          <w:rFonts w:eastAsiaTheme="minorHAnsi"/>
          <w:noProof/>
        </w:rPr>
      </w:pPr>
    </w:p>
    <w:p w14:paraId="5D661EF3" w14:textId="42C210E5" w:rsidR="00334566" w:rsidRDefault="00130975" w:rsidP="00334566">
      <w:pPr>
        <w:spacing w:after="0" w:line="240" w:lineRule="auto"/>
        <w:rPr>
          <w:rFonts w:eastAsiaTheme="minorHAnsi"/>
        </w:rPr>
      </w:pPr>
      <w:r w:rsidRPr="00130975">
        <w:drawing>
          <wp:inline distT="0" distB="0" distL="0" distR="0" wp14:anchorId="04623774" wp14:editId="2B5B2052">
            <wp:extent cx="9882505" cy="1446836"/>
            <wp:effectExtent l="0" t="0" r="4445" b="1270"/>
            <wp:docPr id="163402005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2830" cy="1449812"/>
                    </a:xfrm>
                    <a:prstGeom prst="rect">
                      <a:avLst/>
                    </a:prstGeom>
                    <a:noFill/>
                    <a:ln>
                      <a:noFill/>
                    </a:ln>
                  </pic:spPr>
                </pic:pic>
              </a:graphicData>
            </a:graphic>
          </wp:inline>
        </w:drawing>
      </w:r>
    </w:p>
    <w:p w14:paraId="5FA1E94A" w14:textId="77777777" w:rsidR="00130975" w:rsidRPr="00334566" w:rsidRDefault="00130975" w:rsidP="00334566">
      <w:pPr>
        <w:spacing w:after="0" w:line="240" w:lineRule="auto"/>
        <w:rPr>
          <w:rFonts w:eastAsiaTheme="minorHAnsi"/>
        </w:rPr>
      </w:pPr>
    </w:p>
    <w:bookmarkEnd w:id="1"/>
    <w:bookmarkEnd w:id="2"/>
    <w:p w14:paraId="33CEDD88" w14:textId="73D7B527" w:rsidR="00334566" w:rsidRDefault="00130975" w:rsidP="00334566">
      <w:pPr>
        <w:spacing w:after="0"/>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43F863F8" wp14:editId="19C9745F">
            <wp:extent cx="9834961" cy="4004840"/>
            <wp:effectExtent l="0" t="0" r="0" b="0"/>
            <wp:docPr id="9862609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56064" cy="4013433"/>
                    </a:xfrm>
                    <a:prstGeom prst="rect">
                      <a:avLst/>
                    </a:prstGeom>
                    <a:noFill/>
                  </pic:spPr>
                </pic:pic>
              </a:graphicData>
            </a:graphic>
          </wp:inline>
        </w:drawing>
      </w:r>
    </w:p>
    <w:sectPr w:rsidR="00334566" w:rsidSect="001C0C79">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66F1" w14:textId="77777777" w:rsidR="00FE2F32" w:rsidRDefault="00FE2F32" w:rsidP="00E57FB7">
      <w:pPr>
        <w:spacing w:after="0" w:line="240" w:lineRule="auto"/>
      </w:pPr>
      <w:r>
        <w:separator/>
      </w:r>
    </w:p>
  </w:endnote>
  <w:endnote w:type="continuationSeparator" w:id="0">
    <w:p w14:paraId="2B29DD31" w14:textId="77777777" w:rsidR="00FE2F32" w:rsidRDefault="00FE2F32"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narro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7E76" w14:textId="77777777" w:rsidR="00FE2F32" w:rsidRDefault="00FE2F32" w:rsidP="00E57FB7">
      <w:pPr>
        <w:spacing w:after="0" w:line="240" w:lineRule="auto"/>
      </w:pPr>
      <w:r>
        <w:separator/>
      </w:r>
    </w:p>
  </w:footnote>
  <w:footnote w:type="continuationSeparator" w:id="0">
    <w:p w14:paraId="52C82117" w14:textId="77777777" w:rsidR="00FE2F32" w:rsidRDefault="00FE2F32"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9C9B0"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76440"/>
    <w:multiLevelType w:val="hybridMultilevel"/>
    <w:tmpl w:val="DDDAABE0"/>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5" w15:restartNumberingAfterBreak="0">
    <w:nsid w:val="2B983391"/>
    <w:multiLevelType w:val="hybridMultilevel"/>
    <w:tmpl w:val="FF96D9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36410EEC"/>
    <w:multiLevelType w:val="hybridMultilevel"/>
    <w:tmpl w:val="151ACA5E"/>
    <w:lvl w:ilvl="0" w:tplc="505649E4">
      <w:start w:val="9002"/>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 w15:restartNumberingAfterBreak="0">
    <w:nsid w:val="3D911F42"/>
    <w:multiLevelType w:val="hybridMultilevel"/>
    <w:tmpl w:val="DF787EE8"/>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23CD5"/>
    <w:multiLevelType w:val="hybridMultilevel"/>
    <w:tmpl w:val="EE4C76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BF051D"/>
    <w:multiLevelType w:val="hybridMultilevel"/>
    <w:tmpl w:val="D8E0C14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70B46C47"/>
    <w:multiLevelType w:val="hybridMultilevel"/>
    <w:tmpl w:val="B3C651EA"/>
    <w:lvl w:ilvl="0" w:tplc="B5A4FA86">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AC651F5"/>
    <w:multiLevelType w:val="hybridMultilevel"/>
    <w:tmpl w:val="42F62ED0"/>
    <w:lvl w:ilvl="0" w:tplc="280A0001">
      <w:start w:val="1"/>
      <w:numFmt w:val="bullet"/>
      <w:lvlText w:val=""/>
      <w:lvlJc w:val="left"/>
      <w:pPr>
        <w:ind w:left="2346" w:hanging="360"/>
      </w:pPr>
      <w:rPr>
        <w:rFonts w:ascii="Symbol" w:hAnsi="Symbol" w:hint="default"/>
      </w:rPr>
    </w:lvl>
    <w:lvl w:ilvl="1" w:tplc="280A0003" w:tentative="1">
      <w:start w:val="1"/>
      <w:numFmt w:val="bullet"/>
      <w:lvlText w:val="o"/>
      <w:lvlJc w:val="left"/>
      <w:pPr>
        <w:ind w:left="3066" w:hanging="360"/>
      </w:pPr>
      <w:rPr>
        <w:rFonts w:ascii="Courier New" w:hAnsi="Courier New" w:cs="Courier New" w:hint="default"/>
      </w:rPr>
    </w:lvl>
    <w:lvl w:ilvl="2" w:tplc="280A0005" w:tentative="1">
      <w:start w:val="1"/>
      <w:numFmt w:val="bullet"/>
      <w:lvlText w:val=""/>
      <w:lvlJc w:val="left"/>
      <w:pPr>
        <w:ind w:left="3786" w:hanging="360"/>
      </w:pPr>
      <w:rPr>
        <w:rFonts w:ascii="Wingdings" w:hAnsi="Wingdings" w:hint="default"/>
      </w:rPr>
    </w:lvl>
    <w:lvl w:ilvl="3" w:tplc="280A0001" w:tentative="1">
      <w:start w:val="1"/>
      <w:numFmt w:val="bullet"/>
      <w:lvlText w:val=""/>
      <w:lvlJc w:val="left"/>
      <w:pPr>
        <w:ind w:left="4506" w:hanging="360"/>
      </w:pPr>
      <w:rPr>
        <w:rFonts w:ascii="Symbol" w:hAnsi="Symbol" w:hint="default"/>
      </w:rPr>
    </w:lvl>
    <w:lvl w:ilvl="4" w:tplc="280A0003" w:tentative="1">
      <w:start w:val="1"/>
      <w:numFmt w:val="bullet"/>
      <w:lvlText w:val="o"/>
      <w:lvlJc w:val="left"/>
      <w:pPr>
        <w:ind w:left="5226" w:hanging="360"/>
      </w:pPr>
      <w:rPr>
        <w:rFonts w:ascii="Courier New" w:hAnsi="Courier New" w:cs="Courier New" w:hint="default"/>
      </w:rPr>
    </w:lvl>
    <w:lvl w:ilvl="5" w:tplc="280A0005" w:tentative="1">
      <w:start w:val="1"/>
      <w:numFmt w:val="bullet"/>
      <w:lvlText w:val=""/>
      <w:lvlJc w:val="left"/>
      <w:pPr>
        <w:ind w:left="5946" w:hanging="360"/>
      </w:pPr>
      <w:rPr>
        <w:rFonts w:ascii="Wingdings" w:hAnsi="Wingdings" w:hint="default"/>
      </w:rPr>
    </w:lvl>
    <w:lvl w:ilvl="6" w:tplc="280A0001" w:tentative="1">
      <w:start w:val="1"/>
      <w:numFmt w:val="bullet"/>
      <w:lvlText w:val=""/>
      <w:lvlJc w:val="left"/>
      <w:pPr>
        <w:ind w:left="6666" w:hanging="360"/>
      </w:pPr>
      <w:rPr>
        <w:rFonts w:ascii="Symbol" w:hAnsi="Symbol" w:hint="default"/>
      </w:rPr>
    </w:lvl>
    <w:lvl w:ilvl="7" w:tplc="280A0003" w:tentative="1">
      <w:start w:val="1"/>
      <w:numFmt w:val="bullet"/>
      <w:lvlText w:val="o"/>
      <w:lvlJc w:val="left"/>
      <w:pPr>
        <w:ind w:left="7386" w:hanging="360"/>
      </w:pPr>
      <w:rPr>
        <w:rFonts w:ascii="Courier New" w:hAnsi="Courier New" w:cs="Courier New" w:hint="default"/>
      </w:rPr>
    </w:lvl>
    <w:lvl w:ilvl="8" w:tplc="280A0005" w:tentative="1">
      <w:start w:val="1"/>
      <w:numFmt w:val="bullet"/>
      <w:lvlText w:val=""/>
      <w:lvlJc w:val="left"/>
      <w:pPr>
        <w:ind w:left="8106" w:hanging="360"/>
      </w:pPr>
      <w:rPr>
        <w:rFonts w:ascii="Wingdings" w:hAnsi="Wingdings" w:hint="default"/>
      </w:rPr>
    </w:lvl>
  </w:abstractNum>
  <w:abstractNum w:abstractNumId="15"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4"/>
  </w:num>
  <w:num w:numId="2" w16cid:durableId="922570479">
    <w:abstractNumId w:val="11"/>
  </w:num>
  <w:num w:numId="3" w16cid:durableId="982202223">
    <w:abstractNumId w:val="9"/>
  </w:num>
  <w:num w:numId="4" w16cid:durableId="129979673">
    <w:abstractNumId w:val="0"/>
  </w:num>
  <w:num w:numId="5" w16cid:durableId="1913080171">
    <w:abstractNumId w:val="6"/>
  </w:num>
  <w:num w:numId="6" w16cid:durableId="944534668">
    <w:abstractNumId w:val="10"/>
  </w:num>
  <w:num w:numId="7" w16cid:durableId="442845762">
    <w:abstractNumId w:val="3"/>
  </w:num>
  <w:num w:numId="8" w16cid:durableId="1690528063">
    <w:abstractNumId w:val="2"/>
  </w:num>
  <w:num w:numId="9" w16cid:durableId="1353609794">
    <w:abstractNumId w:val="15"/>
  </w:num>
  <w:num w:numId="10" w16cid:durableId="510072101">
    <w:abstractNumId w:val="7"/>
  </w:num>
  <w:num w:numId="11" w16cid:durableId="2090734679">
    <w:abstractNumId w:val="13"/>
  </w:num>
  <w:num w:numId="12" w16cid:durableId="1901479692">
    <w:abstractNumId w:val="5"/>
  </w:num>
  <w:num w:numId="13" w16cid:durableId="1242256121">
    <w:abstractNumId w:val="8"/>
  </w:num>
  <w:num w:numId="14" w16cid:durableId="1499345369">
    <w:abstractNumId w:val="1"/>
  </w:num>
  <w:num w:numId="15" w16cid:durableId="561719668">
    <w:abstractNumId w:val="14"/>
  </w:num>
  <w:num w:numId="16" w16cid:durableId="1584873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114D1"/>
    <w:rsid w:val="0001184E"/>
    <w:rsid w:val="000149BB"/>
    <w:rsid w:val="000166BF"/>
    <w:rsid w:val="00016C1E"/>
    <w:rsid w:val="00026882"/>
    <w:rsid w:val="00031A0B"/>
    <w:rsid w:val="00031C0E"/>
    <w:rsid w:val="000321B7"/>
    <w:rsid w:val="00034517"/>
    <w:rsid w:val="00035D32"/>
    <w:rsid w:val="000373C2"/>
    <w:rsid w:val="000375ED"/>
    <w:rsid w:val="00040160"/>
    <w:rsid w:val="0004370E"/>
    <w:rsid w:val="0004647A"/>
    <w:rsid w:val="0005471C"/>
    <w:rsid w:val="00054ABB"/>
    <w:rsid w:val="00054C07"/>
    <w:rsid w:val="00055A91"/>
    <w:rsid w:val="00056E6E"/>
    <w:rsid w:val="00057349"/>
    <w:rsid w:val="0005797B"/>
    <w:rsid w:val="0006061E"/>
    <w:rsid w:val="00061355"/>
    <w:rsid w:val="00061577"/>
    <w:rsid w:val="00062754"/>
    <w:rsid w:val="00065E3C"/>
    <w:rsid w:val="00065F36"/>
    <w:rsid w:val="00065FBA"/>
    <w:rsid w:val="00066CE3"/>
    <w:rsid w:val="0006746E"/>
    <w:rsid w:val="000733C0"/>
    <w:rsid w:val="00075CA8"/>
    <w:rsid w:val="00076330"/>
    <w:rsid w:val="000806E8"/>
    <w:rsid w:val="000917F4"/>
    <w:rsid w:val="00092A7D"/>
    <w:rsid w:val="000936CE"/>
    <w:rsid w:val="0009543B"/>
    <w:rsid w:val="000A3553"/>
    <w:rsid w:val="000A3B50"/>
    <w:rsid w:val="000A51BD"/>
    <w:rsid w:val="000A642D"/>
    <w:rsid w:val="000A67AD"/>
    <w:rsid w:val="000A70C0"/>
    <w:rsid w:val="000B06DD"/>
    <w:rsid w:val="000B14EC"/>
    <w:rsid w:val="000B1725"/>
    <w:rsid w:val="000B38D8"/>
    <w:rsid w:val="000C1268"/>
    <w:rsid w:val="000C24AE"/>
    <w:rsid w:val="000C3588"/>
    <w:rsid w:val="000C40F1"/>
    <w:rsid w:val="000C47BE"/>
    <w:rsid w:val="000C6CC9"/>
    <w:rsid w:val="000C7022"/>
    <w:rsid w:val="000D0F07"/>
    <w:rsid w:val="000D0F48"/>
    <w:rsid w:val="000D16AB"/>
    <w:rsid w:val="000D373D"/>
    <w:rsid w:val="000D391D"/>
    <w:rsid w:val="000D3E2C"/>
    <w:rsid w:val="000E0C8B"/>
    <w:rsid w:val="000E10B8"/>
    <w:rsid w:val="000E5A3D"/>
    <w:rsid w:val="000F1441"/>
    <w:rsid w:val="000F358D"/>
    <w:rsid w:val="00101644"/>
    <w:rsid w:val="0010352D"/>
    <w:rsid w:val="001041B7"/>
    <w:rsid w:val="00104C93"/>
    <w:rsid w:val="001059E2"/>
    <w:rsid w:val="00107303"/>
    <w:rsid w:val="001073EA"/>
    <w:rsid w:val="00107B2B"/>
    <w:rsid w:val="00113B42"/>
    <w:rsid w:val="001148AF"/>
    <w:rsid w:val="00116C9C"/>
    <w:rsid w:val="00122865"/>
    <w:rsid w:val="00130975"/>
    <w:rsid w:val="00130A95"/>
    <w:rsid w:val="001356DF"/>
    <w:rsid w:val="00136056"/>
    <w:rsid w:val="00137463"/>
    <w:rsid w:val="001422BC"/>
    <w:rsid w:val="00146C6A"/>
    <w:rsid w:val="001506F9"/>
    <w:rsid w:val="001570BA"/>
    <w:rsid w:val="00157A48"/>
    <w:rsid w:val="00157FF0"/>
    <w:rsid w:val="0016029F"/>
    <w:rsid w:val="00160515"/>
    <w:rsid w:val="001610AE"/>
    <w:rsid w:val="00163EB5"/>
    <w:rsid w:val="00164CC1"/>
    <w:rsid w:val="001669C6"/>
    <w:rsid w:val="00170F9E"/>
    <w:rsid w:val="00176064"/>
    <w:rsid w:val="00176C4F"/>
    <w:rsid w:val="0018231C"/>
    <w:rsid w:val="00186694"/>
    <w:rsid w:val="00187A22"/>
    <w:rsid w:val="00194F9B"/>
    <w:rsid w:val="0019742C"/>
    <w:rsid w:val="001A0852"/>
    <w:rsid w:val="001A1C3C"/>
    <w:rsid w:val="001A3D48"/>
    <w:rsid w:val="001A47F3"/>
    <w:rsid w:val="001A4A30"/>
    <w:rsid w:val="001A5253"/>
    <w:rsid w:val="001A5E68"/>
    <w:rsid w:val="001A62F4"/>
    <w:rsid w:val="001B0683"/>
    <w:rsid w:val="001B1FCA"/>
    <w:rsid w:val="001B3760"/>
    <w:rsid w:val="001B3DAD"/>
    <w:rsid w:val="001B6D04"/>
    <w:rsid w:val="001B7BDD"/>
    <w:rsid w:val="001C09F4"/>
    <w:rsid w:val="001C0C79"/>
    <w:rsid w:val="001C1B87"/>
    <w:rsid w:val="001C5478"/>
    <w:rsid w:val="001D2419"/>
    <w:rsid w:val="001D45F0"/>
    <w:rsid w:val="001E07EC"/>
    <w:rsid w:val="001E14B2"/>
    <w:rsid w:val="001E3E94"/>
    <w:rsid w:val="001E5111"/>
    <w:rsid w:val="001E5BC3"/>
    <w:rsid w:val="001E6539"/>
    <w:rsid w:val="001E72F2"/>
    <w:rsid w:val="001F0BD4"/>
    <w:rsid w:val="001F3EC1"/>
    <w:rsid w:val="001F5E5E"/>
    <w:rsid w:val="001F7563"/>
    <w:rsid w:val="001F766B"/>
    <w:rsid w:val="00200F26"/>
    <w:rsid w:val="00204241"/>
    <w:rsid w:val="00206250"/>
    <w:rsid w:val="002071D0"/>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40A3E"/>
    <w:rsid w:val="00240CD9"/>
    <w:rsid w:val="00241F49"/>
    <w:rsid w:val="00245A25"/>
    <w:rsid w:val="002472D4"/>
    <w:rsid w:val="00247F13"/>
    <w:rsid w:val="002575E1"/>
    <w:rsid w:val="00260523"/>
    <w:rsid w:val="00260C4B"/>
    <w:rsid w:val="0026297C"/>
    <w:rsid w:val="00267181"/>
    <w:rsid w:val="002675F6"/>
    <w:rsid w:val="00270B50"/>
    <w:rsid w:val="002720FC"/>
    <w:rsid w:val="00273553"/>
    <w:rsid w:val="00274089"/>
    <w:rsid w:val="00275DB6"/>
    <w:rsid w:val="002772ED"/>
    <w:rsid w:val="002825AE"/>
    <w:rsid w:val="00282ED2"/>
    <w:rsid w:val="00283742"/>
    <w:rsid w:val="002873B3"/>
    <w:rsid w:val="00290C27"/>
    <w:rsid w:val="00291EE0"/>
    <w:rsid w:val="0029291F"/>
    <w:rsid w:val="002948FD"/>
    <w:rsid w:val="002A343C"/>
    <w:rsid w:val="002A5276"/>
    <w:rsid w:val="002A7052"/>
    <w:rsid w:val="002A7070"/>
    <w:rsid w:val="002B3758"/>
    <w:rsid w:val="002B6607"/>
    <w:rsid w:val="002B6DDD"/>
    <w:rsid w:val="002C0A36"/>
    <w:rsid w:val="002C1294"/>
    <w:rsid w:val="002C37BB"/>
    <w:rsid w:val="002C4680"/>
    <w:rsid w:val="002C54E1"/>
    <w:rsid w:val="002D36FE"/>
    <w:rsid w:val="002D67F9"/>
    <w:rsid w:val="002D697C"/>
    <w:rsid w:val="002D7D3D"/>
    <w:rsid w:val="002E0671"/>
    <w:rsid w:val="002E3142"/>
    <w:rsid w:val="002F0A83"/>
    <w:rsid w:val="002F128F"/>
    <w:rsid w:val="002F1BB4"/>
    <w:rsid w:val="002F40FE"/>
    <w:rsid w:val="002F486F"/>
    <w:rsid w:val="002F4E0F"/>
    <w:rsid w:val="003034D4"/>
    <w:rsid w:val="00303FDF"/>
    <w:rsid w:val="00305AF7"/>
    <w:rsid w:val="00306CC1"/>
    <w:rsid w:val="00307541"/>
    <w:rsid w:val="00311ABA"/>
    <w:rsid w:val="0031300F"/>
    <w:rsid w:val="00314F65"/>
    <w:rsid w:val="00315EFC"/>
    <w:rsid w:val="003168B3"/>
    <w:rsid w:val="003205F6"/>
    <w:rsid w:val="00321744"/>
    <w:rsid w:val="00321FA1"/>
    <w:rsid w:val="0032620B"/>
    <w:rsid w:val="00326FB6"/>
    <w:rsid w:val="00327694"/>
    <w:rsid w:val="00330DDD"/>
    <w:rsid w:val="00333AE0"/>
    <w:rsid w:val="003342D7"/>
    <w:rsid w:val="00334566"/>
    <w:rsid w:val="00334A5E"/>
    <w:rsid w:val="00336BFC"/>
    <w:rsid w:val="00340C94"/>
    <w:rsid w:val="00340D32"/>
    <w:rsid w:val="00341007"/>
    <w:rsid w:val="0034393B"/>
    <w:rsid w:val="00346E64"/>
    <w:rsid w:val="00352464"/>
    <w:rsid w:val="00352C50"/>
    <w:rsid w:val="0035551A"/>
    <w:rsid w:val="00355E50"/>
    <w:rsid w:val="00357120"/>
    <w:rsid w:val="00360F8C"/>
    <w:rsid w:val="003655A4"/>
    <w:rsid w:val="00366987"/>
    <w:rsid w:val="00370E3A"/>
    <w:rsid w:val="0037328D"/>
    <w:rsid w:val="003734AB"/>
    <w:rsid w:val="00373D82"/>
    <w:rsid w:val="00383F77"/>
    <w:rsid w:val="003848D2"/>
    <w:rsid w:val="00384AFE"/>
    <w:rsid w:val="003858D9"/>
    <w:rsid w:val="00385C2C"/>
    <w:rsid w:val="003879C9"/>
    <w:rsid w:val="00395DB5"/>
    <w:rsid w:val="00396C6C"/>
    <w:rsid w:val="003A1CDD"/>
    <w:rsid w:val="003A221D"/>
    <w:rsid w:val="003A7A55"/>
    <w:rsid w:val="003B123A"/>
    <w:rsid w:val="003B29D5"/>
    <w:rsid w:val="003B3CB1"/>
    <w:rsid w:val="003B3D70"/>
    <w:rsid w:val="003B4F7F"/>
    <w:rsid w:val="003B6985"/>
    <w:rsid w:val="003B6AFA"/>
    <w:rsid w:val="003B764D"/>
    <w:rsid w:val="003D0C92"/>
    <w:rsid w:val="003D20F8"/>
    <w:rsid w:val="003D3BAB"/>
    <w:rsid w:val="003D541C"/>
    <w:rsid w:val="003D696C"/>
    <w:rsid w:val="003E0973"/>
    <w:rsid w:val="003E246C"/>
    <w:rsid w:val="003E27C8"/>
    <w:rsid w:val="003E35B1"/>
    <w:rsid w:val="003E4C44"/>
    <w:rsid w:val="003F16B7"/>
    <w:rsid w:val="003F2489"/>
    <w:rsid w:val="003F27F1"/>
    <w:rsid w:val="003F37C4"/>
    <w:rsid w:val="003F3988"/>
    <w:rsid w:val="003F4099"/>
    <w:rsid w:val="003F43AA"/>
    <w:rsid w:val="003F45CC"/>
    <w:rsid w:val="003F464B"/>
    <w:rsid w:val="003F6045"/>
    <w:rsid w:val="00401AE4"/>
    <w:rsid w:val="004023BA"/>
    <w:rsid w:val="004038EB"/>
    <w:rsid w:val="00403E2A"/>
    <w:rsid w:val="004072BD"/>
    <w:rsid w:val="004128E2"/>
    <w:rsid w:val="00425B11"/>
    <w:rsid w:val="0042753C"/>
    <w:rsid w:val="0043201A"/>
    <w:rsid w:val="00434148"/>
    <w:rsid w:val="004353A5"/>
    <w:rsid w:val="00436E58"/>
    <w:rsid w:val="00440361"/>
    <w:rsid w:val="0044067D"/>
    <w:rsid w:val="00440A2B"/>
    <w:rsid w:val="00440F23"/>
    <w:rsid w:val="00445603"/>
    <w:rsid w:val="00450944"/>
    <w:rsid w:val="004529CC"/>
    <w:rsid w:val="00452CF6"/>
    <w:rsid w:val="00456710"/>
    <w:rsid w:val="004573E9"/>
    <w:rsid w:val="00460EAD"/>
    <w:rsid w:val="0046183C"/>
    <w:rsid w:val="00470CE1"/>
    <w:rsid w:val="004711F3"/>
    <w:rsid w:val="00472EE9"/>
    <w:rsid w:val="0047395D"/>
    <w:rsid w:val="0047462C"/>
    <w:rsid w:val="00476A54"/>
    <w:rsid w:val="00476B57"/>
    <w:rsid w:val="00480BA1"/>
    <w:rsid w:val="004827EC"/>
    <w:rsid w:val="00484CBA"/>
    <w:rsid w:val="004850BD"/>
    <w:rsid w:val="00492ECB"/>
    <w:rsid w:val="004938C2"/>
    <w:rsid w:val="00493965"/>
    <w:rsid w:val="004A1672"/>
    <w:rsid w:val="004A1CCC"/>
    <w:rsid w:val="004B1056"/>
    <w:rsid w:val="004C173F"/>
    <w:rsid w:val="004C1F17"/>
    <w:rsid w:val="004C38F5"/>
    <w:rsid w:val="004C5EF5"/>
    <w:rsid w:val="004C69C2"/>
    <w:rsid w:val="004C6D7D"/>
    <w:rsid w:val="004C7239"/>
    <w:rsid w:val="004D0C92"/>
    <w:rsid w:val="004D37BF"/>
    <w:rsid w:val="004D5836"/>
    <w:rsid w:val="004D6F0D"/>
    <w:rsid w:val="004D7193"/>
    <w:rsid w:val="004E373A"/>
    <w:rsid w:val="004E7B42"/>
    <w:rsid w:val="004F1F79"/>
    <w:rsid w:val="004F243C"/>
    <w:rsid w:val="004F5C9C"/>
    <w:rsid w:val="005028A5"/>
    <w:rsid w:val="00506DC0"/>
    <w:rsid w:val="0051228A"/>
    <w:rsid w:val="00513B35"/>
    <w:rsid w:val="00514797"/>
    <w:rsid w:val="0051484B"/>
    <w:rsid w:val="00515F13"/>
    <w:rsid w:val="00516B04"/>
    <w:rsid w:val="00523958"/>
    <w:rsid w:val="00523B50"/>
    <w:rsid w:val="00525BFB"/>
    <w:rsid w:val="00527133"/>
    <w:rsid w:val="00527FF7"/>
    <w:rsid w:val="005321D1"/>
    <w:rsid w:val="00533E94"/>
    <w:rsid w:val="0054430E"/>
    <w:rsid w:val="0054465F"/>
    <w:rsid w:val="00545444"/>
    <w:rsid w:val="00545875"/>
    <w:rsid w:val="005469F7"/>
    <w:rsid w:val="005511F2"/>
    <w:rsid w:val="005515DC"/>
    <w:rsid w:val="00553FC4"/>
    <w:rsid w:val="0055535D"/>
    <w:rsid w:val="0055603D"/>
    <w:rsid w:val="00557AF3"/>
    <w:rsid w:val="00560CDA"/>
    <w:rsid w:val="00563443"/>
    <w:rsid w:val="00563B29"/>
    <w:rsid w:val="00566BF2"/>
    <w:rsid w:val="00570242"/>
    <w:rsid w:val="005705AA"/>
    <w:rsid w:val="00574C91"/>
    <w:rsid w:val="00575D44"/>
    <w:rsid w:val="00576FC7"/>
    <w:rsid w:val="0058025B"/>
    <w:rsid w:val="005819C9"/>
    <w:rsid w:val="00581DC3"/>
    <w:rsid w:val="00583073"/>
    <w:rsid w:val="005852B7"/>
    <w:rsid w:val="00587186"/>
    <w:rsid w:val="00590D86"/>
    <w:rsid w:val="00593A9B"/>
    <w:rsid w:val="00593E70"/>
    <w:rsid w:val="00595CFD"/>
    <w:rsid w:val="005A0ABB"/>
    <w:rsid w:val="005A17EB"/>
    <w:rsid w:val="005A3B58"/>
    <w:rsid w:val="005B03D4"/>
    <w:rsid w:val="005B7F7F"/>
    <w:rsid w:val="005C2832"/>
    <w:rsid w:val="005C5E5B"/>
    <w:rsid w:val="005C5FA2"/>
    <w:rsid w:val="005D0A70"/>
    <w:rsid w:val="005D5471"/>
    <w:rsid w:val="005D5F87"/>
    <w:rsid w:val="005D777A"/>
    <w:rsid w:val="005E0048"/>
    <w:rsid w:val="005E07E5"/>
    <w:rsid w:val="005E09CC"/>
    <w:rsid w:val="005E3001"/>
    <w:rsid w:val="005F047C"/>
    <w:rsid w:val="005F05D0"/>
    <w:rsid w:val="005F3BC5"/>
    <w:rsid w:val="005F4987"/>
    <w:rsid w:val="006044D6"/>
    <w:rsid w:val="006102F3"/>
    <w:rsid w:val="00612F5D"/>
    <w:rsid w:val="006135AE"/>
    <w:rsid w:val="006137F0"/>
    <w:rsid w:val="0061507C"/>
    <w:rsid w:val="006160C8"/>
    <w:rsid w:val="00623441"/>
    <w:rsid w:val="00623D68"/>
    <w:rsid w:val="00624EDB"/>
    <w:rsid w:val="006257B7"/>
    <w:rsid w:val="00625AE7"/>
    <w:rsid w:val="00630CE6"/>
    <w:rsid w:val="00630CF0"/>
    <w:rsid w:val="00633C1C"/>
    <w:rsid w:val="006353D5"/>
    <w:rsid w:val="0064184C"/>
    <w:rsid w:val="00641F81"/>
    <w:rsid w:val="00643934"/>
    <w:rsid w:val="00644D40"/>
    <w:rsid w:val="0065358E"/>
    <w:rsid w:val="00655F4E"/>
    <w:rsid w:val="0065691F"/>
    <w:rsid w:val="0066368F"/>
    <w:rsid w:val="00665CE0"/>
    <w:rsid w:val="00670934"/>
    <w:rsid w:val="006731FE"/>
    <w:rsid w:val="00674BB0"/>
    <w:rsid w:val="00677EE5"/>
    <w:rsid w:val="00680115"/>
    <w:rsid w:val="00686247"/>
    <w:rsid w:val="006924C4"/>
    <w:rsid w:val="0069316F"/>
    <w:rsid w:val="006A09A6"/>
    <w:rsid w:val="006A3C24"/>
    <w:rsid w:val="006A4428"/>
    <w:rsid w:val="006B0B23"/>
    <w:rsid w:val="006B262C"/>
    <w:rsid w:val="006B34BD"/>
    <w:rsid w:val="006B4903"/>
    <w:rsid w:val="006B4EB5"/>
    <w:rsid w:val="006B61EC"/>
    <w:rsid w:val="006C0EE5"/>
    <w:rsid w:val="006C2CF5"/>
    <w:rsid w:val="006C5102"/>
    <w:rsid w:val="006D2F06"/>
    <w:rsid w:val="006E14D0"/>
    <w:rsid w:val="006E68F1"/>
    <w:rsid w:val="006F1378"/>
    <w:rsid w:val="006F2543"/>
    <w:rsid w:val="00701FF6"/>
    <w:rsid w:val="00704DE6"/>
    <w:rsid w:val="00705EA7"/>
    <w:rsid w:val="00706BA7"/>
    <w:rsid w:val="00713D3D"/>
    <w:rsid w:val="00713F6A"/>
    <w:rsid w:val="007178C4"/>
    <w:rsid w:val="0072498E"/>
    <w:rsid w:val="00724A81"/>
    <w:rsid w:val="00727266"/>
    <w:rsid w:val="00731A4C"/>
    <w:rsid w:val="00731DDB"/>
    <w:rsid w:val="007322B8"/>
    <w:rsid w:val="007324BB"/>
    <w:rsid w:val="00732F9A"/>
    <w:rsid w:val="007339C1"/>
    <w:rsid w:val="00740E7C"/>
    <w:rsid w:val="007416F0"/>
    <w:rsid w:val="007437C1"/>
    <w:rsid w:val="00743B37"/>
    <w:rsid w:val="007442FB"/>
    <w:rsid w:val="00747D22"/>
    <w:rsid w:val="00747F89"/>
    <w:rsid w:val="00764018"/>
    <w:rsid w:val="0076423F"/>
    <w:rsid w:val="007669B0"/>
    <w:rsid w:val="00766E51"/>
    <w:rsid w:val="00773DD8"/>
    <w:rsid w:val="00773E11"/>
    <w:rsid w:val="0077607A"/>
    <w:rsid w:val="00777542"/>
    <w:rsid w:val="00777909"/>
    <w:rsid w:val="00782FD4"/>
    <w:rsid w:val="007903E6"/>
    <w:rsid w:val="00791881"/>
    <w:rsid w:val="00794574"/>
    <w:rsid w:val="00797783"/>
    <w:rsid w:val="007A0A05"/>
    <w:rsid w:val="007A2603"/>
    <w:rsid w:val="007A528C"/>
    <w:rsid w:val="007A52D9"/>
    <w:rsid w:val="007A7B91"/>
    <w:rsid w:val="007B6DAF"/>
    <w:rsid w:val="007B7846"/>
    <w:rsid w:val="007C0847"/>
    <w:rsid w:val="007C0B43"/>
    <w:rsid w:val="007C11AA"/>
    <w:rsid w:val="007C2867"/>
    <w:rsid w:val="007C6D73"/>
    <w:rsid w:val="007D0CFA"/>
    <w:rsid w:val="007D1560"/>
    <w:rsid w:val="007D1846"/>
    <w:rsid w:val="007D527F"/>
    <w:rsid w:val="007D5CBE"/>
    <w:rsid w:val="007E033E"/>
    <w:rsid w:val="007F20DF"/>
    <w:rsid w:val="007F6DBD"/>
    <w:rsid w:val="007F6E4B"/>
    <w:rsid w:val="00803D03"/>
    <w:rsid w:val="008129E3"/>
    <w:rsid w:val="00813543"/>
    <w:rsid w:val="00813EB6"/>
    <w:rsid w:val="00815ADE"/>
    <w:rsid w:val="00816D64"/>
    <w:rsid w:val="0082231E"/>
    <w:rsid w:val="00825E3D"/>
    <w:rsid w:val="0082624D"/>
    <w:rsid w:val="00826697"/>
    <w:rsid w:val="008308EE"/>
    <w:rsid w:val="00831209"/>
    <w:rsid w:val="00832488"/>
    <w:rsid w:val="00835B2D"/>
    <w:rsid w:val="00835FBA"/>
    <w:rsid w:val="00836782"/>
    <w:rsid w:val="008449A7"/>
    <w:rsid w:val="00844DF8"/>
    <w:rsid w:val="00844EF4"/>
    <w:rsid w:val="00845151"/>
    <w:rsid w:val="008451D3"/>
    <w:rsid w:val="0084685A"/>
    <w:rsid w:val="00846F77"/>
    <w:rsid w:val="00847A21"/>
    <w:rsid w:val="00852061"/>
    <w:rsid w:val="008520AC"/>
    <w:rsid w:val="0085531D"/>
    <w:rsid w:val="0086358D"/>
    <w:rsid w:val="0086436E"/>
    <w:rsid w:val="0086504F"/>
    <w:rsid w:val="008653A1"/>
    <w:rsid w:val="00865D38"/>
    <w:rsid w:val="00866754"/>
    <w:rsid w:val="008733C4"/>
    <w:rsid w:val="00877059"/>
    <w:rsid w:val="0087780F"/>
    <w:rsid w:val="00882124"/>
    <w:rsid w:val="00884F30"/>
    <w:rsid w:val="00886171"/>
    <w:rsid w:val="0088656E"/>
    <w:rsid w:val="008867F2"/>
    <w:rsid w:val="0088765D"/>
    <w:rsid w:val="008900BF"/>
    <w:rsid w:val="008906AC"/>
    <w:rsid w:val="008A4779"/>
    <w:rsid w:val="008A6DFC"/>
    <w:rsid w:val="008B2642"/>
    <w:rsid w:val="008B30A7"/>
    <w:rsid w:val="008B331B"/>
    <w:rsid w:val="008C15AC"/>
    <w:rsid w:val="008C1699"/>
    <w:rsid w:val="008C39E8"/>
    <w:rsid w:val="008C483B"/>
    <w:rsid w:val="008C6ED2"/>
    <w:rsid w:val="008C719A"/>
    <w:rsid w:val="008D1E0A"/>
    <w:rsid w:val="008D5027"/>
    <w:rsid w:val="008D5E46"/>
    <w:rsid w:val="008D6040"/>
    <w:rsid w:val="008D79C1"/>
    <w:rsid w:val="008E5F92"/>
    <w:rsid w:val="008E79CD"/>
    <w:rsid w:val="008F0E0A"/>
    <w:rsid w:val="008F2322"/>
    <w:rsid w:val="008F2C78"/>
    <w:rsid w:val="008F3CB1"/>
    <w:rsid w:val="008F7600"/>
    <w:rsid w:val="00900315"/>
    <w:rsid w:val="009015BE"/>
    <w:rsid w:val="00902BC8"/>
    <w:rsid w:val="00904060"/>
    <w:rsid w:val="009048FB"/>
    <w:rsid w:val="00906079"/>
    <w:rsid w:val="009066BD"/>
    <w:rsid w:val="00911F81"/>
    <w:rsid w:val="00912AEA"/>
    <w:rsid w:val="00912ED7"/>
    <w:rsid w:val="00914CB9"/>
    <w:rsid w:val="00914FAC"/>
    <w:rsid w:val="00922F39"/>
    <w:rsid w:val="00923F19"/>
    <w:rsid w:val="009269A8"/>
    <w:rsid w:val="0092712A"/>
    <w:rsid w:val="009307D0"/>
    <w:rsid w:val="00930F13"/>
    <w:rsid w:val="00932318"/>
    <w:rsid w:val="00932C5B"/>
    <w:rsid w:val="00937940"/>
    <w:rsid w:val="00940C9B"/>
    <w:rsid w:val="00940D4D"/>
    <w:rsid w:val="00942860"/>
    <w:rsid w:val="00943153"/>
    <w:rsid w:val="00943AD3"/>
    <w:rsid w:val="00946597"/>
    <w:rsid w:val="00953768"/>
    <w:rsid w:val="00955DDA"/>
    <w:rsid w:val="00963827"/>
    <w:rsid w:val="00963F69"/>
    <w:rsid w:val="009652D7"/>
    <w:rsid w:val="0096627E"/>
    <w:rsid w:val="009667BC"/>
    <w:rsid w:val="00966A31"/>
    <w:rsid w:val="00975948"/>
    <w:rsid w:val="0098138D"/>
    <w:rsid w:val="00982093"/>
    <w:rsid w:val="00982476"/>
    <w:rsid w:val="00982C27"/>
    <w:rsid w:val="00985AA6"/>
    <w:rsid w:val="00986B51"/>
    <w:rsid w:val="00991986"/>
    <w:rsid w:val="00991E4D"/>
    <w:rsid w:val="00995574"/>
    <w:rsid w:val="009A1636"/>
    <w:rsid w:val="009A349F"/>
    <w:rsid w:val="009A364B"/>
    <w:rsid w:val="009A56F2"/>
    <w:rsid w:val="009A5D10"/>
    <w:rsid w:val="009B0259"/>
    <w:rsid w:val="009B17A7"/>
    <w:rsid w:val="009B4D20"/>
    <w:rsid w:val="009B4F08"/>
    <w:rsid w:val="009B6555"/>
    <w:rsid w:val="009C014E"/>
    <w:rsid w:val="009C75CE"/>
    <w:rsid w:val="009D0966"/>
    <w:rsid w:val="009D2549"/>
    <w:rsid w:val="009D2BA8"/>
    <w:rsid w:val="009E1A1F"/>
    <w:rsid w:val="009E2186"/>
    <w:rsid w:val="009E50D7"/>
    <w:rsid w:val="009F0C5D"/>
    <w:rsid w:val="009F1A38"/>
    <w:rsid w:val="009F24AE"/>
    <w:rsid w:val="009F4EB1"/>
    <w:rsid w:val="009F5280"/>
    <w:rsid w:val="009F5C29"/>
    <w:rsid w:val="009F639D"/>
    <w:rsid w:val="009F7033"/>
    <w:rsid w:val="009F79A4"/>
    <w:rsid w:val="00A00248"/>
    <w:rsid w:val="00A003BE"/>
    <w:rsid w:val="00A05DB5"/>
    <w:rsid w:val="00A060D0"/>
    <w:rsid w:val="00A06DBA"/>
    <w:rsid w:val="00A1156A"/>
    <w:rsid w:val="00A11865"/>
    <w:rsid w:val="00A22E75"/>
    <w:rsid w:val="00A233D1"/>
    <w:rsid w:val="00A23655"/>
    <w:rsid w:val="00A24DDC"/>
    <w:rsid w:val="00A30A77"/>
    <w:rsid w:val="00A31399"/>
    <w:rsid w:val="00A33823"/>
    <w:rsid w:val="00A36566"/>
    <w:rsid w:val="00A37CBD"/>
    <w:rsid w:val="00A4002A"/>
    <w:rsid w:val="00A40232"/>
    <w:rsid w:val="00A407A2"/>
    <w:rsid w:val="00A412E7"/>
    <w:rsid w:val="00A42F48"/>
    <w:rsid w:val="00A43408"/>
    <w:rsid w:val="00A43C7A"/>
    <w:rsid w:val="00A4738D"/>
    <w:rsid w:val="00A535B4"/>
    <w:rsid w:val="00A5703A"/>
    <w:rsid w:val="00A61093"/>
    <w:rsid w:val="00A611F2"/>
    <w:rsid w:val="00A6203F"/>
    <w:rsid w:val="00A71D40"/>
    <w:rsid w:val="00A75060"/>
    <w:rsid w:val="00A77D6E"/>
    <w:rsid w:val="00A82ECC"/>
    <w:rsid w:val="00A82F92"/>
    <w:rsid w:val="00A9009D"/>
    <w:rsid w:val="00A917AC"/>
    <w:rsid w:val="00A9231D"/>
    <w:rsid w:val="00A95040"/>
    <w:rsid w:val="00A954E2"/>
    <w:rsid w:val="00A95566"/>
    <w:rsid w:val="00A96BBA"/>
    <w:rsid w:val="00AA4E5C"/>
    <w:rsid w:val="00AB2681"/>
    <w:rsid w:val="00AB2A51"/>
    <w:rsid w:val="00AB3C71"/>
    <w:rsid w:val="00AB5114"/>
    <w:rsid w:val="00AB667C"/>
    <w:rsid w:val="00AC166C"/>
    <w:rsid w:val="00AC4158"/>
    <w:rsid w:val="00AD034D"/>
    <w:rsid w:val="00AD4D16"/>
    <w:rsid w:val="00AD66F0"/>
    <w:rsid w:val="00AD7340"/>
    <w:rsid w:val="00AE0AA5"/>
    <w:rsid w:val="00AE2A62"/>
    <w:rsid w:val="00AE71B3"/>
    <w:rsid w:val="00AF1E78"/>
    <w:rsid w:val="00AF2004"/>
    <w:rsid w:val="00AF2E5F"/>
    <w:rsid w:val="00AF60E1"/>
    <w:rsid w:val="00B0095F"/>
    <w:rsid w:val="00B0125A"/>
    <w:rsid w:val="00B05B3B"/>
    <w:rsid w:val="00B06B0D"/>
    <w:rsid w:val="00B10994"/>
    <w:rsid w:val="00B119A5"/>
    <w:rsid w:val="00B17382"/>
    <w:rsid w:val="00B22623"/>
    <w:rsid w:val="00B243D3"/>
    <w:rsid w:val="00B24BFF"/>
    <w:rsid w:val="00B24C68"/>
    <w:rsid w:val="00B26306"/>
    <w:rsid w:val="00B305B4"/>
    <w:rsid w:val="00B30A41"/>
    <w:rsid w:val="00B30A92"/>
    <w:rsid w:val="00B35E1C"/>
    <w:rsid w:val="00B366DE"/>
    <w:rsid w:val="00B407EA"/>
    <w:rsid w:val="00B41865"/>
    <w:rsid w:val="00B41F4F"/>
    <w:rsid w:val="00B43A41"/>
    <w:rsid w:val="00B5513D"/>
    <w:rsid w:val="00B55A90"/>
    <w:rsid w:val="00B576BA"/>
    <w:rsid w:val="00B578D8"/>
    <w:rsid w:val="00B57A07"/>
    <w:rsid w:val="00B57E06"/>
    <w:rsid w:val="00B615DB"/>
    <w:rsid w:val="00B62653"/>
    <w:rsid w:val="00B63AD4"/>
    <w:rsid w:val="00B67180"/>
    <w:rsid w:val="00B7227B"/>
    <w:rsid w:val="00B73664"/>
    <w:rsid w:val="00B7418B"/>
    <w:rsid w:val="00B8128B"/>
    <w:rsid w:val="00B9074A"/>
    <w:rsid w:val="00B94B7A"/>
    <w:rsid w:val="00B96F8F"/>
    <w:rsid w:val="00BA1D4E"/>
    <w:rsid w:val="00BA620A"/>
    <w:rsid w:val="00BA7645"/>
    <w:rsid w:val="00BB0BDF"/>
    <w:rsid w:val="00BB1719"/>
    <w:rsid w:val="00BB25B5"/>
    <w:rsid w:val="00BB2E1B"/>
    <w:rsid w:val="00BB3EC9"/>
    <w:rsid w:val="00BB4907"/>
    <w:rsid w:val="00BB6095"/>
    <w:rsid w:val="00BC06B2"/>
    <w:rsid w:val="00BC1930"/>
    <w:rsid w:val="00BC35C5"/>
    <w:rsid w:val="00BC363B"/>
    <w:rsid w:val="00BD3EED"/>
    <w:rsid w:val="00BE6FFE"/>
    <w:rsid w:val="00BF0343"/>
    <w:rsid w:val="00BF1EE8"/>
    <w:rsid w:val="00BF39C4"/>
    <w:rsid w:val="00BF7668"/>
    <w:rsid w:val="00BF78B9"/>
    <w:rsid w:val="00BF7977"/>
    <w:rsid w:val="00C03A3B"/>
    <w:rsid w:val="00C03C36"/>
    <w:rsid w:val="00C067D0"/>
    <w:rsid w:val="00C06DF1"/>
    <w:rsid w:val="00C138DB"/>
    <w:rsid w:val="00C166AA"/>
    <w:rsid w:val="00C17A41"/>
    <w:rsid w:val="00C17EE5"/>
    <w:rsid w:val="00C23AE7"/>
    <w:rsid w:val="00C24D8F"/>
    <w:rsid w:val="00C25254"/>
    <w:rsid w:val="00C25E25"/>
    <w:rsid w:val="00C33C62"/>
    <w:rsid w:val="00C342E5"/>
    <w:rsid w:val="00C364AF"/>
    <w:rsid w:val="00C36BBF"/>
    <w:rsid w:val="00C37483"/>
    <w:rsid w:val="00C43A07"/>
    <w:rsid w:val="00C469BB"/>
    <w:rsid w:val="00C53C6B"/>
    <w:rsid w:val="00C60F8A"/>
    <w:rsid w:val="00C6179B"/>
    <w:rsid w:val="00C63851"/>
    <w:rsid w:val="00C643E0"/>
    <w:rsid w:val="00C65DE0"/>
    <w:rsid w:val="00C71E6A"/>
    <w:rsid w:val="00C72EB6"/>
    <w:rsid w:val="00C734D3"/>
    <w:rsid w:val="00C74CB0"/>
    <w:rsid w:val="00C756E7"/>
    <w:rsid w:val="00C75CFA"/>
    <w:rsid w:val="00C84452"/>
    <w:rsid w:val="00C8454C"/>
    <w:rsid w:val="00C85919"/>
    <w:rsid w:val="00C9205A"/>
    <w:rsid w:val="00C974F1"/>
    <w:rsid w:val="00CA0DFF"/>
    <w:rsid w:val="00CA21AC"/>
    <w:rsid w:val="00CA5E94"/>
    <w:rsid w:val="00CA5ED1"/>
    <w:rsid w:val="00CA6624"/>
    <w:rsid w:val="00CA6C6B"/>
    <w:rsid w:val="00CB16B8"/>
    <w:rsid w:val="00CB19CB"/>
    <w:rsid w:val="00CB20C8"/>
    <w:rsid w:val="00CB2623"/>
    <w:rsid w:val="00CB6B33"/>
    <w:rsid w:val="00CB792F"/>
    <w:rsid w:val="00CC45E2"/>
    <w:rsid w:val="00CD2A0C"/>
    <w:rsid w:val="00CD622A"/>
    <w:rsid w:val="00CD736A"/>
    <w:rsid w:val="00CD7444"/>
    <w:rsid w:val="00CD7C2B"/>
    <w:rsid w:val="00CE0804"/>
    <w:rsid w:val="00CE4877"/>
    <w:rsid w:val="00CE572F"/>
    <w:rsid w:val="00CE70A8"/>
    <w:rsid w:val="00CE7E0D"/>
    <w:rsid w:val="00CF2AE0"/>
    <w:rsid w:val="00CF3429"/>
    <w:rsid w:val="00CF364F"/>
    <w:rsid w:val="00CF44C4"/>
    <w:rsid w:val="00CF5A6D"/>
    <w:rsid w:val="00CF7620"/>
    <w:rsid w:val="00D01CF3"/>
    <w:rsid w:val="00D04178"/>
    <w:rsid w:val="00D06835"/>
    <w:rsid w:val="00D07A48"/>
    <w:rsid w:val="00D1391F"/>
    <w:rsid w:val="00D13AFD"/>
    <w:rsid w:val="00D170AC"/>
    <w:rsid w:val="00D30A98"/>
    <w:rsid w:val="00D33DF8"/>
    <w:rsid w:val="00D3582F"/>
    <w:rsid w:val="00D409A2"/>
    <w:rsid w:val="00D40B7D"/>
    <w:rsid w:val="00D428F1"/>
    <w:rsid w:val="00D43389"/>
    <w:rsid w:val="00D4422A"/>
    <w:rsid w:val="00D44B2B"/>
    <w:rsid w:val="00D44D22"/>
    <w:rsid w:val="00D46884"/>
    <w:rsid w:val="00D52348"/>
    <w:rsid w:val="00D54139"/>
    <w:rsid w:val="00D54921"/>
    <w:rsid w:val="00D614AD"/>
    <w:rsid w:val="00D63B81"/>
    <w:rsid w:val="00D72899"/>
    <w:rsid w:val="00D7527F"/>
    <w:rsid w:val="00D75620"/>
    <w:rsid w:val="00D76942"/>
    <w:rsid w:val="00D774C6"/>
    <w:rsid w:val="00D774FC"/>
    <w:rsid w:val="00D8018E"/>
    <w:rsid w:val="00D80D0B"/>
    <w:rsid w:val="00D80D0E"/>
    <w:rsid w:val="00D8226E"/>
    <w:rsid w:val="00D8749F"/>
    <w:rsid w:val="00D91234"/>
    <w:rsid w:val="00D91D0F"/>
    <w:rsid w:val="00D93AC6"/>
    <w:rsid w:val="00D94C02"/>
    <w:rsid w:val="00D94CCC"/>
    <w:rsid w:val="00D9583D"/>
    <w:rsid w:val="00DA1A27"/>
    <w:rsid w:val="00DA544E"/>
    <w:rsid w:val="00DA67AE"/>
    <w:rsid w:val="00DA6EF5"/>
    <w:rsid w:val="00DA73C5"/>
    <w:rsid w:val="00DB1352"/>
    <w:rsid w:val="00DB347B"/>
    <w:rsid w:val="00DB4D70"/>
    <w:rsid w:val="00DB607E"/>
    <w:rsid w:val="00DB642A"/>
    <w:rsid w:val="00DB68BD"/>
    <w:rsid w:val="00DC0669"/>
    <w:rsid w:val="00DC068B"/>
    <w:rsid w:val="00DC1D63"/>
    <w:rsid w:val="00DC2BB9"/>
    <w:rsid w:val="00DC41B4"/>
    <w:rsid w:val="00DC4EEB"/>
    <w:rsid w:val="00DC623B"/>
    <w:rsid w:val="00DC7620"/>
    <w:rsid w:val="00DC77B7"/>
    <w:rsid w:val="00DD2F68"/>
    <w:rsid w:val="00DD337D"/>
    <w:rsid w:val="00DE5F5D"/>
    <w:rsid w:val="00DE7B60"/>
    <w:rsid w:val="00DF234B"/>
    <w:rsid w:val="00DF3745"/>
    <w:rsid w:val="00DF62F6"/>
    <w:rsid w:val="00DF6830"/>
    <w:rsid w:val="00DF717F"/>
    <w:rsid w:val="00E053A8"/>
    <w:rsid w:val="00E07D51"/>
    <w:rsid w:val="00E11F8E"/>
    <w:rsid w:val="00E1369E"/>
    <w:rsid w:val="00E145A0"/>
    <w:rsid w:val="00E21F69"/>
    <w:rsid w:val="00E22FC3"/>
    <w:rsid w:val="00E252B4"/>
    <w:rsid w:val="00E26E87"/>
    <w:rsid w:val="00E30D0C"/>
    <w:rsid w:val="00E30DB0"/>
    <w:rsid w:val="00E34BC1"/>
    <w:rsid w:val="00E35476"/>
    <w:rsid w:val="00E35A27"/>
    <w:rsid w:val="00E408F6"/>
    <w:rsid w:val="00E422A3"/>
    <w:rsid w:val="00E441C1"/>
    <w:rsid w:val="00E44549"/>
    <w:rsid w:val="00E4483F"/>
    <w:rsid w:val="00E54D59"/>
    <w:rsid w:val="00E552C5"/>
    <w:rsid w:val="00E57FB7"/>
    <w:rsid w:val="00E62DD9"/>
    <w:rsid w:val="00E64A7D"/>
    <w:rsid w:val="00E64F8B"/>
    <w:rsid w:val="00E650FF"/>
    <w:rsid w:val="00E65D69"/>
    <w:rsid w:val="00E661E3"/>
    <w:rsid w:val="00E67BE6"/>
    <w:rsid w:val="00E67DF2"/>
    <w:rsid w:val="00E71197"/>
    <w:rsid w:val="00E73CB2"/>
    <w:rsid w:val="00E7484D"/>
    <w:rsid w:val="00E76144"/>
    <w:rsid w:val="00E778F2"/>
    <w:rsid w:val="00E801E9"/>
    <w:rsid w:val="00E90F39"/>
    <w:rsid w:val="00E91662"/>
    <w:rsid w:val="00E926DC"/>
    <w:rsid w:val="00E96178"/>
    <w:rsid w:val="00E97C0F"/>
    <w:rsid w:val="00EA06A5"/>
    <w:rsid w:val="00EA5CFC"/>
    <w:rsid w:val="00EA5DC9"/>
    <w:rsid w:val="00EB0062"/>
    <w:rsid w:val="00EB01B8"/>
    <w:rsid w:val="00EB1AFD"/>
    <w:rsid w:val="00EB3B87"/>
    <w:rsid w:val="00EB3C47"/>
    <w:rsid w:val="00EC1C9A"/>
    <w:rsid w:val="00EC1F50"/>
    <w:rsid w:val="00EC32AE"/>
    <w:rsid w:val="00EC40F8"/>
    <w:rsid w:val="00EC7E70"/>
    <w:rsid w:val="00ED54BB"/>
    <w:rsid w:val="00ED6CCA"/>
    <w:rsid w:val="00EE12A7"/>
    <w:rsid w:val="00EF2233"/>
    <w:rsid w:val="00EF4F03"/>
    <w:rsid w:val="00EF6C6E"/>
    <w:rsid w:val="00F00DAD"/>
    <w:rsid w:val="00F010F1"/>
    <w:rsid w:val="00F040CC"/>
    <w:rsid w:val="00F048C5"/>
    <w:rsid w:val="00F0589F"/>
    <w:rsid w:val="00F05A92"/>
    <w:rsid w:val="00F07A41"/>
    <w:rsid w:val="00F1013F"/>
    <w:rsid w:val="00F10B32"/>
    <w:rsid w:val="00F11543"/>
    <w:rsid w:val="00F14D58"/>
    <w:rsid w:val="00F1653C"/>
    <w:rsid w:val="00F16C6F"/>
    <w:rsid w:val="00F20964"/>
    <w:rsid w:val="00F22340"/>
    <w:rsid w:val="00F23952"/>
    <w:rsid w:val="00F24692"/>
    <w:rsid w:val="00F24BDC"/>
    <w:rsid w:val="00F2796B"/>
    <w:rsid w:val="00F30B91"/>
    <w:rsid w:val="00F33249"/>
    <w:rsid w:val="00F33C30"/>
    <w:rsid w:val="00F353D3"/>
    <w:rsid w:val="00F35E89"/>
    <w:rsid w:val="00F365EE"/>
    <w:rsid w:val="00F43BEF"/>
    <w:rsid w:val="00F52625"/>
    <w:rsid w:val="00F528E0"/>
    <w:rsid w:val="00F52CB1"/>
    <w:rsid w:val="00F5537F"/>
    <w:rsid w:val="00F66666"/>
    <w:rsid w:val="00F670EE"/>
    <w:rsid w:val="00F67483"/>
    <w:rsid w:val="00F67941"/>
    <w:rsid w:val="00F714D1"/>
    <w:rsid w:val="00F72CA3"/>
    <w:rsid w:val="00F76355"/>
    <w:rsid w:val="00F77D5D"/>
    <w:rsid w:val="00F8005B"/>
    <w:rsid w:val="00F816DA"/>
    <w:rsid w:val="00F83DD2"/>
    <w:rsid w:val="00F8712B"/>
    <w:rsid w:val="00F879F8"/>
    <w:rsid w:val="00F905E4"/>
    <w:rsid w:val="00F951D6"/>
    <w:rsid w:val="00F9769B"/>
    <w:rsid w:val="00F97B3A"/>
    <w:rsid w:val="00F97B77"/>
    <w:rsid w:val="00FA2D25"/>
    <w:rsid w:val="00FA54E3"/>
    <w:rsid w:val="00FA57F8"/>
    <w:rsid w:val="00FA5BD0"/>
    <w:rsid w:val="00FB0945"/>
    <w:rsid w:val="00FB4CCD"/>
    <w:rsid w:val="00FB75B9"/>
    <w:rsid w:val="00FC13B6"/>
    <w:rsid w:val="00FC2102"/>
    <w:rsid w:val="00FC24A3"/>
    <w:rsid w:val="00FC26B5"/>
    <w:rsid w:val="00FC5579"/>
    <w:rsid w:val="00FC6360"/>
    <w:rsid w:val="00FD08F7"/>
    <w:rsid w:val="00FD51E9"/>
    <w:rsid w:val="00FE2161"/>
    <w:rsid w:val="00FE2F32"/>
    <w:rsid w:val="00FE5554"/>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C"/>
  </w:style>
  <w:style w:type="paragraph" w:styleId="Ttulo1">
    <w:name w:val="heading 1"/>
    <w:basedOn w:val="Normal"/>
    <w:next w:val="Normal"/>
    <w:link w:val="Ttulo1Car"/>
    <w:uiPriority w:val="9"/>
    <w:qFormat/>
    <w:rsid w:val="004C5EF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4C5EF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C5EF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C5EF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4C5EF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4C5EF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4C5EF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4C5EF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4C5EF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4C5EF5"/>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C5EF5"/>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4C5EF5"/>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C5EF5"/>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C5EF5"/>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4C5EF5"/>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4C5EF5"/>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4C5EF5"/>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4C5EF5"/>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4C5EF5"/>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4C5EF5"/>
    <w:pPr>
      <w:spacing w:line="240" w:lineRule="auto"/>
    </w:pPr>
    <w:rPr>
      <w:b/>
      <w:bCs/>
      <w:smallCaps/>
      <w:color w:val="1F497D" w:themeColor="text2"/>
    </w:rPr>
  </w:style>
  <w:style w:type="paragraph" w:styleId="Ttulo">
    <w:name w:val="Title"/>
    <w:basedOn w:val="Normal"/>
    <w:next w:val="Normal"/>
    <w:link w:val="TtuloCar"/>
    <w:uiPriority w:val="10"/>
    <w:qFormat/>
    <w:rsid w:val="004C5EF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4C5EF5"/>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4C5EF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4C5EF5"/>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4C5EF5"/>
    <w:rPr>
      <w:b/>
      <w:bCs/>
    </w:rPr>
  </w:style>
  <w:style w:type="character" w:styleId="nfasis">
    <w:name w:val="Emphasis"/>
    <w:basedOn w:val="Fuentedeprrafopredeter"/>
    <w:uiPriority w:val="20"/>
    <w:qFormat/>
    <w:rsid w:val="004C5EF5"/>
    <w:rPr>
      <w:i/>
      <w:iCs/>
    </w:rPr>
  </w:style>
  <w:style w:type="paragraph" w:styleId="Cita">
    <w:name w:val="Quote"/>
    <w:basedOn w:val="Normal"/>
    <w:next w:val="Normal"/>
    <w:link w:val="CitaCar"/>
    <w:uiPriority w:val="29"/>
    <w:qFormat/>
    <w:rsid w:val="004C5EF5"/>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4C5EF5"/>
    <w:rPr>
      <w:color w:val="1F497D" w:themeColor="text2"/>
      <w:sz w:val="24"/>
      <w:szCs w:val="24"/>
    </w:rPr>
  </w:style>
  <w:style w:type="paragraph" w:styleId="Citadestacada">
    <w:name w:val="Intense Quote"/>
    <w:basedOn w:val="Normal"/>
    <w:next w:val="Normal"/>
    <w:link w:val="CitadestacadaCar"/>
    <w:uiPriority w:val="30"/>
    <w:qFormat/>
    <w:rsid w:val="004C5EF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4C5EF5"/>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4C5EF5"/>
    <w:rPr>
      <w:i/>
      <w:iCs/>
      <w:color w:val="595959" w:themeColor="text1" w:themeTint="A6"/>
    </w:rPr>
  </w:style>
  <w:style w:type="character" w:styleId="nfasisintenso">
    <w:name w:val="Intense Emphasis"/>
    <w:basedOn w:val="Fuentedeprrafopredeter"/>
    <w:uiPriority w:val="21"/>
    <w:qFormat/>
    <w:rsid w:val="004C5EF5"/>
    <w:rPr>
      <w:b/>
      <w:bCs/>
      <w:i/>
      <w:iCs/>
    </w:rPr>
  </w:style>
  <w:style w:type="character" w:styleId="Referenciasutil">
    <w:name w:val="Subtle Reference"/>
    <w:basedOn w:val="Fuentedeprrafopredeter"/>
    <w:uiPriority w:val="31"/>
    <w:qFormat/>
    <w:rsid w:val="004C5EF5"/>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C5EF5"/>
    <w:rPr>
      <w:b/>
      <w:bCs/>
      <w:smallCaps/>
      <w:color w:val="1F497D" w:themeColor="text2"/>
      <w:u w:val="single"/>
    </w:rPr>
  </w:style>
  <w:style w:type="character" w:styleId="Ttulodellibro">
    <w:name w:val="Book Title"/>
    <w:basedOn w:val="Fuentedeprrafopredeter"/>
    <w:uiPriority w:val="33"/>
    <w:qFormat/>
    <w:rsid w:val="004C5EF5"/>
    <w:rPr>
      <w:b/>
      <w:bCs/>
      <w:smallCaps/>
      <w:spacing w:val="10"/>
    </w:rPr>
  </w:style>
  <w:style w:type="paragraph" w:styleId="TtuloTDC">
    <w:name w:val="TOC Heading"/>
    <w:basedOn w:val="Ttulo1"/>
    <w:next w:val="Normal"/>
    <w:uiPriority w:val="39"/>
    <w:semiHidden/>
    <w:unhideWhenUsed/>
    <w:qFormat/>
    <w:rsid w:val="004C5EF5"/>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qFormat/>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363598708">
      <w:bodyDiv w:val="1"/>
      <w:marLeft w:val="0"/>
      <w:marRight w:val="0"/>
      <w:marTop w:val="0"/>
      <w:marBottom w:val="0"/>
      <w:divBdr>
        <w:top w:val="none" w:sz="0" w:space="0" w:color="auto"/>
        <w:left w:val="none" w:sz="0" w:space="0" w:color="auto"/>
        <w:bottom w:val="none" w:sz="0" w:space="0" w:color="auto"/>
        <w:right w:val="none" w:sz="0" w:space="0" w:color="auto"/>
      </w:divBdr>
    </w:div>
    <w:div w:id="415178310">
      <w:bodyDiv w:val="1"/>
      <w:marLeft w:val="0"/>
      <w:marRight w:val="0"/>
      <w:marTop w:val="0"/>
      <w:marBottom w:val="0"/>
      <w:divBdr>
        <w:top w:val="none" w:sz="0" w:space="0" w:color="auto"/>
        <w:left w:val="none" w:sz="0" w:space="0" w:color="auto"/>
        <w:bottom w:val="none" w:sz="0" w:space="0" w:color="auto"/>
        <w:right w:val="none" w:sz="0" w:space="0" w:color="auto"/>
      </w:divBdr>
    </w:div>
    <w:div w:id="417478844">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739333475">
      <w:bodyDiv w:val="1"/>
      <w:marLeft w:val="0"/>
      <w:marRight w:val="0"/>
      <w:marTop w:val="0"/>
      <w:marBottom w:val="0"/>
      <w:divBdr>
        <w:top w:val="none" w:sz="0" w:space="0" w:color="auto"/>
        <w:left w:val="none" w:sz="0" w:space="0" w:color="auto"/>
        <w:bottom w:val="none" w:sz="0" w:space="0" w:color="auto"/>
        <w:right w:val="none" w:sz="0" w:space="0" w:color="auto"/>
      </w:divBdr>
    </w:div>
    <w:div w:id="739669821">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916941002">
      <w:bodyDiv w:val="1"/>
      <w:marLeft w:val="0"/>
      <w:marRight w:val="0"/>
      <w:marTop w:val="0"/>
      <w:marBottom w:val="0"/>
      <w:divBdr>
        <w:top w:val="none" w:sz="0" w:space="0" w:color="auto"/>
        <w:left w:val="none" w:sz="0" w:space="0" w:color="auto"/>
        <w:bottom w:val="none" w:sz="0" w:space="0" w:color="auto"/>
        <w:right w:val="none" w:sz="0" w:space="0" w:color="auto"/>
      </w:divBdr>
    </w:div>
    <w:div w:id="925651251">
      <w:bodyDiv w:val="1"/>
      <w:marLeft w:val="0"/>
      <w:marRight w:val="0"/>
      <w:marTop w:val="0"/>
      <w:marBottom w:val="0"/>
      <w:divBdr>
        <w:top w:val="none" w:sz="0" w:space="0" w:color="auto"/>
        <w:left w:val="none" w:sz="0" w:space="0" w:color="auto"/>
        <w:bottom w:val="none" w:sz="0" w:space="0" w:color="auto"/>
        <w:right w:val="none" w:sz="0" w:space="0" w:color="auto"/>
      </w:divBdr>
    </w:div>
    <w:div w:id="1051199043">
      <w:bodyDiv w:val="1"/>
      <w:marLeft w:val="0"/>
      <w:marRight w:val="0"/>
      <w:marTop w:val="0"/>
      <w:marBottom w:val="0"/>
      <w:divBdr>
        <w:top w:val="none" w:sz="0" w:space="0" w:color="auto"/>
        <w:left w:val="none" w:sz="0" w:space="0" w:color="auto"/>
        <w:bottom w:val="none" w:sz="0" w:space="0" w:color="auto"/>
        <w:right w:val="none" w:sz="0" w:space="0" w:color="auto"/>
      </w:divBdr>
    </w:div>
    <w:div w:id="1153837032">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262302939">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4002013">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30905916">
      <w:bodyDiv w:val="1"/>
      <w:marLeft w:val="0"/>
      <w:marRight w:val="0"/>
      <w:marTop w:val="0"/>
      <w:marBottom w:val="0"/>
      <w:divBdr>
        <w:top w:val="none" w:sz="0" w:space="0" w:color="auto"/>
        <w:left w:val="none" w:sz="0" w:space="0" w:color="auto"/>
        <w:bottom w:val="none" w:sz="0" w:space="0" w:color="auto"/>
        <w:right w:val="none" w:sz="0" w:space="0" w:color="auto"/>
      </w:divBdr>
    </w:div>
    <w:div w:id="2059157165">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package" Target="embeddings/Microsoft_Excel_Worksheet.xls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48</cp:revision>
  <cp:lastPrinted>2023-07-05T14:57:00Z</cp:lastPrinted>
  <dcterms:created xsi:type="dcterms:W3CDTF">2023-07-05T18:03:00Z</dcterms:created>
  <dcterms:modified xsi:type="dcterms:W3CDTF">2023-10-07T07:31:00Z</dcterms:modified>
</cp:coreProperties>
</file>