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0C13D" w14:textId="77777777" w:rsidR="00ED2BA2" w:rsidRDefault="00ED2BA2" w:rsidP="00ED2BA2">
      <w:pPr>
        <w:spacing w:line="229" w:lineRule="exact"/>
        <w:ind w:right="49"/>
        <w:jc w:val="center"/>
        <w:rPr>
          <w:b/>
          <w:sz w:val="24"/>
          <w:u w:val="single"/>
        </w:rPr>
      </w:pPr>
      <w:r w:rsidRPr="009F5456">
        <w:rPr>
          <w:b/>
          <w:sz w:val="24"/>
          <w:u w:val="single"/>
        </w:rPr>
        <w:t>SOLICITUD DE COTIZACIÓN</w:t>
      </w:r>
    </w:p>
    <w:p w14:paraId="48F22E7B" w14:textId="77777777" w:rsidR="00ED2BA2" w:rsidRDefault="00ED2BA2" w:rsidP="00ED2BA2">
      <w:pPr>
        <w:spacing w:line="229" w:lineRule="exact"/>
        <w:ind w:right="49"/>
        <w:jc w:val="center"/>
        <w:rPr>
          <w:b/>
          <w:sz w:val="24"/>
          <w:u w:val="single"/>
        </w:rPr>
      </w:pPr>
    </w:p>
    <w:p w14:paraId="601DBE1F" w14:textId="77777777" w:rsidR="00482C0B" w:rsidRDefault="00482C0B" w:rsidP="00482C0B">
      <w:pPr>
        <w:jc w:val="center"/>
        <w:rPr>
          <w:rFonts w:cstheme="minorHAnsi"/>
          <w:b/>
          <w:color w:val="0000FF"/>
          <w:lang w:val="es-US"/>
        </w:rPr>
      </w:pPr>
      <w:r w:rsidRPr="00482C0B">
        <w:rPr>
          <w:rFonts w:cstheme="minorHAnsi"/>
          <w:b/>
          <w:color w:val="0000FF"/>
          <w:lang w:val="es-US"/>
        </w:rPr>
        <w:t>"SERVICIO DE OPERACIÓN Y MANTENIMIENTO POR NIVELES DE SERVICIO DEL TUNEL GAMBETTA - PE 20"</w:t>
      </w:r>
    </w:p>
    <w:p w14:paraId="132EE7AF" w14:textId="7013A47E" w:rsidR="00ED2BA2" w:rsidRDefault="00ED2BA2" w:rsidP="00ED2BA2">
      <w:pPr>
        <w:jc w:val="both"/>
      </w:pPr>
      <w:r>
        <w:t xml:space="preserve">El proyecto Especial de Infraestructura de Transporte Nacional – </w:t>
      </w:r>
      <w:r w:rsidRPr="009F5456">
        <w:rPr>
          <w:b/>
        </w:rPr>
        <w:t>PROVIAS NACIONAL</w:t>
      </w:r>
      <w:r>
        <w:t>, adscrito al Ministerio de Transportes y Comunicaciones, está encargado de la ejecución de proyectos de construcción, mejoramiento rehabilitación y mantenimiento de la Red Vial Nacional, y cuya misión es la preparación, gestión, administración y ejecución de proyectos de infraestructura de transporte relacionada a la Red Vial Nacional, así como de la gestión y control de actividades y recursos económicos que se emplean para el mantenimiento y seguridad de la carretera y puentes de la Red Vial Nacional.</w:t>
      </w:r>
    </w:p>
    <w:p w14:paraId="097AEA69" w14:textId="77777777" w:rsidR="00ED2BA2" w:rsidRDefault="00ED2BA2" w:rsidP="00ED2BA2">
      <w:pPr>
        <w:jc w:val="both"/>
      </w:pPr>
    </w:p>
    <w:p w14:paraId="4B7F7CB6" w14:textId="77777777" w:rsidR="00ED2BA2" w:rsidRDefault="00ED2BA2" w:rsidP="00ED2BA2">
      <w:pPr>
        <w:jc w:val="both"/>
      </w:pPr>
      <w:r w:rsidRPr="009F5456">
        <w:rPr>
          <w:b/>
        </w:rPr>
        <w:t>PROVIAS NACIONAL</w:t>
      </w:r>
      <w:r>
        <w:t xml:space="preserve">, prevé contratar el requerimiento indicado en el Asunto; de acuerdo a las condiciones y requisitos mínimos establecidos en los </w:t>
      </w:r>
      <w:r w:rsidRPr="00457ED0">
        <w:rPr>
          <w:b/>
        </w:rPr>
        <w:t>Términos de Referencia y/o Especificaciones Técnicas</w:t>
      </w:r>
      <w:r>
        <w:t>, adjuntos.</w:t>
      </w:r>
    </w:p>
    <w:p w14:paraId="74E01F4A" w14:textId="77777777" w:rsidR="00ED2BA2" w:rsidRDefault="00ED2BA2" w:rsidP="00ED2BA2">
      <w:pPr>
        <w:jc w:val="both"/>
      </w:pPr>
    </w:p>
    <w:p w14:paraId="551D5D88" w14:textId="77777777" w:rsidR="00ED2BA2" w:rsidRDefault="00ED2BA2" w:rsidP="00ED2BA2">
      <w:pPr>
        <w:jc w:val="both"/>
      </w:pPr>
      <w:r>
        <w:t>Al respecto, el Área de Logística de PROVIAS NACIONAL, como Órgano Encargado de las Contrataciones, invita a las personas jurídicas o personas naturales, a presentar sus propuestas para participar en procesos de selección de conformidad a la Ley de Contrataciones del Estado y su Reglamento, para lo cual previamente deberá presentar:</w:t>
      </w:r>
    </w:p>
    <w:p w14:paraId="629A09CA" w14:textId="77777777" w:rsidR="00ED2BA2" w:rsidRDefault="00ED2BA2" w:rsidP="00ED2BA2">
      <w:pPr>
        <w:jc w:val="both"/>
      </w:pPr>
    </w:p>
    <w:p w14:paraId="4A766CFD" w14:textId="77777777" w:rsidR="00ED2BA2" w:rsidRPr="00457ED0" w:rsidRDefault="00ED2BA2" w:rsidP="00ED2BA2">
      <w:pPr>
        <w:jc w:val="both"/>
        <w:rPr>
          <w:b/>
        </w:rPr>
      </w:pPr>
      <w:r w:rsidRPr="00457ED0">
        <w:rPr>
          <w:b/>
        </w:rPr>
        <w:t>Formato modelo de cotización, en la que indicará las condiciones y el costo del requerimiento, de conformidad con lo establecido en los Términos de Referencia y/o Especificaciones Técnicas, incluido todos los impuestos de Ley.</w:t>
      </w:r>
    </w:p>
    <w:p w14:paraId="3C400140" w14:textId="77777777" w:rsidR="00ED2BA2" w:rsidRDefault="00ED2BA2" w:rsidP="00ED2BA2">
      <w:pPr>
        <w:jc w:val="both"/>
      </w:pPr>
    </w:p>
    <w:p w14:paraId="7E7CB7D5" w14:textId="72FAA9B2" w:rsidR="00ED2BA2" w:rsidRDefault="00ED2BA2" w:rsidP="00ED2BA2">
      <w:pPr>
        <w:jc w:val="both"/>
      </w:pPr>
      <w:r>
        <w:t xml:space="preserve">La información solicitad (Incluyendo la Cotización </w:t>
      </w:r>
      <w:r w:rsidRPr="007D0EB7">
        <w:t>debidamente suscrita y sustentada</w:t>
      </w:r>
      <w:r>
        <w:t xml:space="preserve">, y también la versión digital Excel debidamente llenada) deberá ser remitida a los correos electrónicos: </w:t>
      </w:r>
      <w:r w:rsidR="005B30ED" w:rsidRPr="005B30ED">
        <w:rPr>
          <w:b/>
          <w:color w:val="0000FF"/>
        </w:rPr>
        <w:t>scostosLOG4@pvn.gob.pe</w:t>
      </w:r>
      <w:r w:rsidR="004B0AD2">
        <w:t>,</w:t>
      </w:r>
      <w:r w:rsidR="00DF02FC" w:rsidRPr="00DF02FC">
        <w:t xml:space="preserve"> </w:t>
      </w:r>
      <w:r w:rsidR="0000246C">
        <w:rPr>
          <w:b/>
          <w:color w:val="0000FF"/>
        </w:rPr>
        <w:t>joanpalomino86@gmail.com</w:t>
      </w:r>
      <w:r w:rsidR="004B0AD2">
        <w:t xml:space="preserve"> y</w:t>
      </w:r>
      <w:r>
        <w:t>/o ingresada por mesa de partes de PVN, cito en las instalaciones de Jr. Zorritos Nro. 1203, distrito, provincia y departamento de Lima.  Cualquier consulta y/u observación al Requerimiento podrá realizarla por los mismos medios.</w:t>
      </w:r>
    </w:p>
    <w:p w14:paraId="11A56071" w14:textId="77777777" w:rsidR="00ED2BA2" w:rsidRDefault="00ED2BA2" w:rsidP="00ED2BA2">
      <w:pPr>
        <w:jc w:val="both"/>
      </w:pPr>
    </w:p>
    <w:p w14:paraId="10717E7C" w14:textId="5EA95B91" w:rsidR="00ED2BA2" w:rsidRDefault="00ED2BA2" w:rsidP="00ED2BA2">
      <w:pPr>
        <w:jc w:val="both"/>
      </w:pPr>
      <w:r>
        <w:t xml:space="preserve">La fecha de presentación de lo solicitado será hasta el </w:t>
      </w:r>
      <w:r w:rsidR="004D5200">
        <w:rPr>
          <w:b/>
          <w:color w:val="0000FF"/>
        </w:rPr>
        <w:t>2</w:t>
      </w:r>
      <w:r w:rsidR="00166E88">
        <w:rPr>
          <w:b/>
          <w:color w:val="0000FF"/>
        </w:rPr>
        <w:t>6</w:t>
      </w:r>
      <w:bookmarkStart w:id="0" w:name="_GoBack"/>
      <w:bookmarkEnd w:id="0"/>
      <w:r w:rsidR="004D5200">
        <w:rPr>
          <w:b/>
          <w:color w:val="0000FF"/>
        </w:rPr>
        <w:t>.</w:t>
      </w:r>
      <w:r w:rsidR="00EF0143">
        <w:rPr>
          <w:b/>
          <w:color w:val="0000FF"/>
        </w:rPr>
        <w:t>0</w:t>
      </w:r>
      <w:r w:rsidR="00482C0B">
        <w:rPr>
          <w:b/>
          <w:color w:val="0000FF"/>
        </w:rPr>
        <w:t>9</w:t>
      </w:r>
      <w:r>
        <w:rPr>
          <w:b/>
          <w:color w:val="0000FF"/>
        </w:rPr>
        <w:t>.20</w:t>
      </w:r>
      <w:r w:rsidR="003B687D">
        <w:rPr>
          <w:b/>
          <w:color w:val="0000FF"/>
        </w:rPr>
        <w:t>2</w:t>
      </w:r>
      <w:r w:rsidR="00A360BC">
        <w:rPr>
          <w:b/>
          <w:color w:val="0000FF"/>
        </w:rPr>
        <w:t>3</w:t>
      </w:r>
      <w:r w:rsidR="00CC3874">
        <w:rPr>
          <w:b/>
          <w:color w:val="0000FF"/>
        </w:rPr>
        <w:t>.</w:t>
      </w:r>
    </w:p>
    <w:p w14:paraId="6D0E0DB2" w14:textId="77777777" w:rsidR="00ED2BA2" w:rsidRDefault="00ED2BA2" w:rsidP="00ED2BA2">
      <w:pPr>
        <w:jc w:val="both"/>
      </w:pPr>
    </w:p>
    <w:p w14:paraId="4F305DC6" w14:textId="77777777" w:rsidR="00ED2BA2" w:rsidRDefault="00ED2BA2" w:rsidP="00ED2BA2">
      <w:pPr>
        <w:jc w:val="both"/>
      </w:pPr>
      <w:r w:rsidRPr="00457ED0">
        <w:rPr>
          <w:b/>
        </w:rPr>
        <w:t xml:space="preserve">NOTAS: </w:t>
      </w:r>
    </w:p>
    <w:p w14:paraId="0D8A555E" w14:textId="77777777" w:rsidR="00ED2BA2" w:rsidRDefault="00ED2BA2" w:rsidP="00ED2BA2">
      <w:pPr>
        <w:pStyle w:val="Prrafodelista"/>
        <w:numPr>
          <w:ilvl w:val="0"/>
          <w:numId w:val="1"/>
        </w:numPr>
        <w:jc w:val="both"/>
      </w:pPr>
      <w:r>
        <w:t xml:space="preserve">El presente aviso tiene por finalidad obtener información de las posibilidades que ofrece el mercado, para determinar la existencia de pluralidad de personas naturales o jurídicas que puedan brindar la prestación, posteriormente se realizara la convocatoria invitando mediante correo electrónico a las personas que presenten su cotización y a través del SEACE. </w:t>
      </w:r>
    </w:p>
    <w:p w14:paraId="0EF9A1DC" w14:textId="77777777" w:rsidR="00ED2BA2" w:rsidRDefault="00ED2BA2" w:rsidP="00ED2BA2">
      <w:pPr>
        <w:pStyle w:val="Prrafodelista"/>
        <w:jc w:val="both"/>
      </w:pPr>
    </w:p>
    <w:p w14:paraId="19C33CEE" w14:textId="77777777" w:rsidR="00ED2BA2" w:rsidRDefault="00ED2BA2" w:rsidP="00ED2BA2">
      <w:pPr>
        <w:pStyle w:val="Prrafodelista"/>
        <w:numPr>
          <w:ilvl w:val="0"/>
          <w:numId w:val="1"/>
        </w:numPr>
        <w:jc w:val="both"/>
      </w:pPr>
      <w:r>
        <w:t xml:space="preserve">Los requisitos mínimos del postor, establecidos en las Especificaciones Técnicas, son condiciones mínimas requeridas por la Entidad, por lo tanto todo aquel que las supere puede participar. </w:t>
      </w:r>
    </w:p>
    <w:p w14:paraId="72053F4A" w14:textId="77777777" w:rsidR="00ED2BA2" w:rsidRDefault="00ED2BA2" w:rsidP="00ED2BA2">
      <w:pPr>
        <w:pStyle w:val="Prrafodelista"/>
      </w:pPr>
    </w:p>
    <w:p w14:paraId="4E59E900" w14:textId="77777777" w:rsidR="00ED2BA2" w:rsidRDefault="00ED2BA2" w:rsidP="00ED2BA2">
      <w:pPr>
        <w:pStyle w:val="Prrafodelista"/>
        <w:numPr>
          <w:ilvl w:val="0"/>
          <w:numId w:val="1"/>
        </w:numPr>
        <w:jc w:val="both"/>
      </w:pPr>
      <w:r>
        <w:t>Esta información servirá para determinar el Valor Referencial de un próximo procedimiento de selección, por lo que solicitamos el precio que nos proporcione sea el más competitivo del mercado.</w:t>
      </w:r>
    </w:p>
    <w:p w14:paraId="4DC0923D" w14:textId="4A09B6B0" w:rsidR="008A2B12" w:rsidRPr="00121598" w:rsidRDefault="00121598">
      <w:r>
        <w:t xml:space="preserve"> </w:t>
      </w:r>
    </w:p>
    <w:sectPr w:rsidR="008A2B12" w:rsidRPr="001215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CC229" w14:textId="77777777" w:rsidR="00AF0BBA" w:rsidRDefault="00AF0BBA" w:rsidP="00055C39">
      <w:r>
        <w:separator/>
      </w:r>
    </w:p>
  </w:endnote>
  <w:endnote w:type="continuationSeparator" w:id="0">
    <w:p w14:paraId="05D12E66" w14:textId="77777777" w:rsidR="00AF0BBA" w:rsidRDefault="00AF0BBA" w:rsidP="0005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52C07" w14:textId="22B29B66" w:rsidR="00F7274C" w:rsidRDefault="00F7274C" w:rsidP="00F727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8752" behindDoc="1" locked="0" layoutInCell="1" allowOverlap="1" wp14:anchorId="2016C206" wp14:editId="39004A2F">
          <wp:simplePos x="0" y="0"/>
          <wp:positionH relativeFrom="column">
            <wp:posOffset>140970</wp:posOffset>
          </wp:positionH>
          <wp:positionV relativeFrom="paragraph">
            <wp:posOffset>8129270</wp:posOffset>
          </wp:positionV>
          <wp:extent cx="1062990" cy="928370"/>
          <wp:effectExtent l="0" t="0" r="3810" b="5080"/>
          <wp:wrapNone/>
          <wp:docPr id="12" name="Imagen 12" descr="img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590AFE8" wp14:editId="0AB9164D">
              <wp:simplePos x="0" y="0"/>
              <wp:positionH relativeFrom="column">
                <wp:posOffset>-339078</wp:posOffset>
              </wp:positionH>
              <wp:positionV relativeFrom="paragraph">
                <wp:posOffset>152376</wp:posOffset>
              </wp:positionV>
              <wp:extent cx="1699404" cy="500332"/>
              <wp:effectExtent l="0" t="0" r="0" b="0"/>
              <wp:wrapNone/>
              <wp:docPr id="51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404" cy="5003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36BD0" w14:textId="77777777" w:rsidR="00F7274C" w:rsidRDefault="00F7274C" w:rsidP="00F727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  <w:tab w:val="right" w:pos="9072"/>
                            </w:tabs>
                            <w:ind w:right="-562"/>
                            <w:rPr>
                              <w:rFonts w:ascii="Arial" w:eastAsia="Arial" w:hAnsi="Arial" w:cs="Arial"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6"/>
                              <w:szCs w:val="16"/>
                            </w:rPr>
                            <w:t>Jirón Zorritos 1203 – Lima – Perú</w:t>
                          </w:r>
                        </w:p>
                        <w:p w14:paraId="320BDF62" w14:textId="77777777" w:rsidR="00F7274C" w:rsidRDefault="00F7274C" w:rsidP="00F727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  <w:tab w:val="right" w:pos="9072"/>
                            </w:tabs>
                            <w:ind w:right="-562"/>
                            <w:rPr>
                              <w:rFonts w:ascii="Arial" w:eastAsia="Arial" w:hAnsi="Arial" w:cs="Arial"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6"/>
                              <w:szCs w:val="16"/>
                            </w:rPr>
                            <w:t>Central telefónica. (511) 615-7800</w:t>
                          </w:r>
                        </w:p>
                        <w:p w14:paraId="0C857DC2" w14:textId="77777777" w:rsidR="00F7274C" w:rsidRDefault="00F7274C" w:rsidP="00F727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ind w:right="-562"/>
                            <w:rPr>
                              <w:rFonts w:ascii="Arial" w:eastAsia="Arial" w:hAnsi="Arial" w:cs="Arial"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6"/>
                              <w:szCs w:val="16"/>
                            </w:rPr>
                            <w:t>www.gob.pe/pvn</w:t>
                          </w:r>
                        </w:p>
                        <w:p w14:paraId="78363611" w14:textId="77777777" w:rsidR="00F7274C" w:rsidRDefault="00F7274C" w:rsidP="00F727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0AFE8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-26.7pt;margin-top:12pt;width:133.8pt;height:39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" filled="f" stroked="f" strokeweight=".5pt">
              <v:textbox>
                <w:txbxContent>
                  <w:p w14:paraId="26C36BD0" w14:textId="77777777" w:rsidR="00F7274C" w:rsidRDefault="00F7274C" w:rsidP="00F7274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  <w:tab w:val="right" w:pos="9072"/>
                      </w:tabs>
                      <w:ind w:right="-562"/>
                      <w:rPr>
                        <w:rFonts w:ascii="Arial" w:eastAsia="Arial" w:hAnsi="Arial" w:cs="Arial"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z w:val="16"/>
                        <w:szCs w:val="16"/>
                      </w:rPr>
                      <w:t>Jirón Zorritos 1203 – Lima – Perú</w:t>
                    </w:r>
                  </w:p>
                  <w:p w14:paraId="320BDF62" w14:textId="77777777" w:rsidR="00F7274C" w:rsidRDefault="00F7274C" w:rsidP="00F7274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  <w:tab w:val="right" w:pos="9072"/>
                      </w:tabs>
                      <w:ind w:right="-562"/>
                      <w:rPr>
                        <w:rFonts w:ascii="Arial" w:eastAsia="Arial" w:hAnsi="Arial" w:cs="Arial"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z w:val="16"/>
                        <w:szCs w:val="16"/>
                      </w:rPr>
                      <w:t>Central telefónica. (511) 615-7800</w:t>
                    </w:r>
                  </w:p>
                  <w:p w14:paraId="0C857DC2" w14:textId="77777777" w:rsidR="00F7274C" w:rsidRDefault="00F7274C" w:rsidP="00F7274C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ind w:right="-562"/>
                      <w:rPr>
                        <w:rFonts w:ascii="Arial" w:eastAsia="Arial" w:hAnsi="Arial" w:cs="Arial"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z w:val="16"/>
                        <w:szCs w:val="16"/>
                      </w:rPr>
                      <w:t>www.gob.pe/pvn</w:t>
                    </w:r>
                  </w:p>
                  <w:p w14:paraId="78363611" w14:textId="77777777" w:rsidR="00F7274C" w:rsidRDefault="00F7274C" w:rsidP="00F7274C"/>
                </w:txbxContent>
              </v:textbox>
            </v:shape>
          </w:pict>
        </mc:Fallback>
      </mc:AlternateContent>
    </w:r>
  </w:p>
  <w:p w14:paraId="7136DA23" w14:textId="77777777" w:rsidR="00F7274C" w:rsidRDefault="00F7274C" w:rsidP="00F727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6704" behindDoc="1" locked="0" layoutInCell="1" allowOverlap="1" wp14:anchorId="7999323B" wp14:editId="0528EC5C">
          <wp:simplePos x="0" y="0"/>
          <wp:positionH relativeFrom="column">
            <wp:posOffset>4536145</wp:posOffset>
          </wp:positionH>
          <wp:positionV relativeFrom="paragraph">
            <wp:posOffset>8580</wp:posOffset>
          </wp:positionV>
          <wp:extent cx="1329690" cy="508635"/>
          <wp:effectExtent l="0" t="0" r="3810" b="571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21" r="5882" b="10788"/>
                  <a:stretch/>
                </pic:blipFill>
                <pic:spPr bwMode="auto">
                  <a:xfrm>
                    <a:off x="0" y="0"/>
                    <a:ext cx="132969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B697F" w14:textId="77777777" w:rsidR="00F7274C" w:rsidRDefault="00F7274C" w:rsidP="00F727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jc w:val="right"/>
      <w:rPr>
        <w:rFonts w:ascii="Arial" w:eastAsia="Arial" w:hAnsi="Arial" w:cs="Arial"/>
        <w:color w:val="000000"/>
        <w:sz w:val="16"/>
        <w:szCs w:val="16"/>
      </w:rPr>
    </w:pPr>
  </w:p>
  <w:p w14:paraId="2DEB25D9" w14:textId="77777777" w:rsidR="00F7274C" w:rsidRDefault="00F7274C" w:rsidP="00F7274C">
    <w:pPr>
      <w:pStyle w:val="Piedepgina"/>
    </w:pPr>
  </w:p>
  <w:p w14:paraId="72950883" w14:textId="3549F708" w:rsidR="009B7DEC" w:rsidRPr="00F7274C" w:rsidRDefault="009B7DEC" w:rsidP="00F72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11DF3" w14:textId="77777777" w:rsidR="00AF0BBA" w:rsidRDefault="00AF0BBA" w:rsidP="00055C39">
      <w:r>
        <w:separator/>
      </w:r>
    </w:p>
  </w:footnote>
  <w:footnote w:type="continuationSeparator" w:id="0">
    <w:p w14:paraId="17C0396C" w14:textId="77777777" w:rsidR="00AF0BBA" w:rsidRDefault="00AF0BBA" w:rsidP="0005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AC485" w14:textId="6BF758AA" w:rsidR="009D05CE" w:rsidRDefault="009D05CE" w:rsidP="009D05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4"/>
        <w:szCs w:val="14"/>
      </w:rPr>
    </w:pPr>
    <w:r>
      <w:rPr>
        <w:noProof/>
        <w:lang w:val="es-PE" w:eastAsia="es-PE" w:bidi="ar-SA"/>
      </w:rPr>
      <w:drawing>
        <wp:anchor distT="0" distB="0" distL="0" distR="0" simplePos="0" relativeHeight="251670527" behindDoc="1" locked="0" layoutInCell="1" allowOverlap="1" wp14:anchorId="339A22C2" wp14:editId="3BB63211">
          <wp:simplePos x="0" y="0"/>
          <wp:positionH relativeFrom="column">
            <wp:posOffset>438785</wp:posOffset>
          </wp:positionH>
          <wp:positionV relativeFrom="paragraph">
            <wp:posOffset>0</wp:posOffset>
          </wp:positionV>
          <wp:extent cx="4479925" cy="438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" b="240"/>
                  <a:stretch>
                    <a:fillRect/>
                  </a:stretch>
                </pic:blipFill>
                <pic:spPr bwMode="auto">
                  <a:xfrm>
                    <a:off x="0" y="0"/>
                    <a:ext cx="4479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16FF1" w14:textId="77777777" w:rsidR="009D05CE" w:rsidRDefault="009D05CE" w:rsidP="009D05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4"/>
        <w:szCs w:val="14"/>
      </w:rPr>
    </w:pPr>
  </w:p>
  <w:p w14:paraId="383202AD" w14:textId="77777777" w:rsidR="009D05CE" w:rsidRDefault="009D05CE" w:rsidP="009D05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</w:tabs>
      <w:ind w:left="-360"/>
      <w:rPr>
        <w:rFonts w:ascii="Arial" w:eastAsia="Arial" w:hAnsi="Arial" w:cs="Arial"/>
        <w:b/>
        <w:sz w:val="14"/>
        <w:szCs w:val="14"/>
      </w:rPr>
    </w:pPr>
  </w:p>
  <w:p w14:paraId="719D70F3" w14:textId="77777777" w:rsidR="009D05CE" w:rsidRDefault="009D05CE" w:rsidP="009D05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</w:tabs>
      <w:ind w:left="-360" w:firstLine="360"/>
      <w:jc w:val="center"/>
      <w:rPr>
        <w:rFonts w:ascii="Arial" w:eastAsia="Arial" w:hAnsi="Arial" w:cs="Arial"/>
        <w:color w:val="000000"/>
        <w:sz w:val="16"/>
        <w:szCs w:val="16"/>
      </w:rPr>
    </w:pPr>
  </w:p>
  <w:p w14:paraId="31D74871" w14:textId="77777777" w:rsidR="00F7274C" w:rsidRPr="00937251" w:rsidRDefault="00F7274C" w:rsidP="00F727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</w:tabs>
      <w:ind w:left="-360"/>
      <w:jc w:val="center"/>
      <w:rPr>
        <w:rFonts w:eastAsia="Arial" w:cstheme="minorHAnsi"/>
        <w:i/>
        <w:color w:val="000000"/>
        <w:sz w:val="14"/>
        <w:szCs w:val="14"/>
      </w:rPr>
    </w:pPr>
    <w:r w:rsidRPr="00937251">
      <w:rPr>
        <w:rFonts w:eastAsia="Arial" w:cstheme="minorHAnsi"/>
        <w:i/>
        <w:color w:val="000000"/>
        <w:sz w:val="14"/>
        <w:szCs w:val="14"/>
      </w:rPr>
      <w:t xml:space="preserve">“Decenio de la Igualdad de Oportunidades para </w:t>
    </w:r>
    <w:r w:rsidRPr="00937251">
      <w:rPr>
        <w:rFonts w:eastAsia="Arial" w:cstheme="minorHAnsi"/>
        <w:i/>
        <w:sz w:val="14"/>
        <w:szCs w:val="14"/>
      </w:rPr>
      <w:t>m</w:t>
    </w:r>
    <w:r w:rsidRPr="00937251">
      <w:rPr>
        <w:rFonts w:eastAsia="Arial" w:cstheme="minorHAnsi"/>
        <w:i/>
        <w:color w:val="000000"/>
        <w:sz w:val="14"/>
        <w:szCs w:val="14"/>
      </w:rPr>
      <w:t xml:space="preserve">ujeres y </w:t>
    </w:r>
    <w:r w:rsidRPr="00937251">
      <w:rPr>
        <w:rFonts w:eastAsia="Arial" w:cstheme="minorHAnsi"/>
        <w:i/>
        <w:sz w:val="14"/>
        <w:szCs w:val="14"/>
      </w:rPr>
      <w:t>h</w:t>
    </w:r>
    <w:r w:rsidRPr="00937251">
      <w:rPr>
        <w:rFonts w:eastAsia="Arial" w:cstheme="minorHAnsi"/>
        <w:i/>
        <w:color w:val="000000"/>
        <w:sz w:val="14"/>
        <w:szCs w:val="14"/>
      </w:rPr>
      <w:t>ombres”</w:t>
    </w:r>
  </w:p>
  <w:p w14:paraId="2B02D671" w14:textId="77777777" w:rsidR="00F7274C" w:rsidRPr="006C17DC" w:rsidRDefault="00F7274C" w:rsidP="00F7274C">
    <w:pPr>
      <w:tabs>
        <w:tab w:val="left" w:pos="2265"/>
        <w:tab w:val="center" w:pos="4252"/>
        <w:tab w:val="right" w:pos="8504"/>
      </w:tabs>
      <w:ind w:left="-360"/>
      <w:jc w:val="center"/>
      <w:rPr>
        <w:rFonts w:eastAsia="Arial" w:cstheme="minorHAnsi"/>
        <w:i/>
        <w:sz w:val="14"/>
        <w:szCs w:val="14"/>
      </w:rPr>
    </w:pPr>
    <w:r>
      <w:rPr>
        <w:rFonts w:eastAsia="Arial" w:cstheme="minorHAnsi"/>
        <w:i/>
        <w:sz w:val="14"/>
        <w:szCs w:val="14"/>
      </w:rPr>
      <w:t>“</w:t>
    </w:r>
    <w:r w:rsidRPr="008255F7">
      <w:rPr>
        <w:rFonts w:eastAsia="Arial" w:cstheme="minorHAnsi"/>
        <w:i/>
        <w:sz w:val="14"/>
        <w:szCs w:val="14"/>
      </w:rPr>
      <w:t>Año de la unidad, la paz y el desarrollo</w:t>
    </w:r>
    <w:r>
      <w:rPr>
        <w:rFonts w:eastAsia="Arial" w:cstheme="minorHAnsi"/>
        <w:i/>
        <w:sz w:val="14"/>
        <w:szCs w:val="14"/>
      </w:rPr>
      <w:t>”</w:t>
    </w:r>
  </w:p>
  <w:p w14:paraId="08D5821C" w14:textId="4C77683A" w:rsidR="009B7DEC" w:rsidRPr="009D05CE" w:rsidRDefault="009B7DEC" w:rsidP="009D05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401F6"/>
    <w:multiLevelType w:val="hybridMultilevel"/>
    <w:tmpl w:val="CD84E7E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39"/>
    <w:rsid w:val="00001683"/>
    <w:rsid w:val="0000246C"/>
    <w:rsid w:val="00013B83"/>
    <w:rsid w:val="000406AC"/>
    <w:rsid w:val="00055C39"/>
    <w:rsid w:val="000652E9"/>
    <w:rsid w:val="00083DCF"/>
    <w:rsid w:val="000953C8"/>
    <w:rsid w:val="000C648A"/>
    <w:rsid w:val="00121598"/>
    <w:rsid w:val="0013547F"/>
    <w:rsid w:val="00166E88"/>
    <w:rsid w:val="00182051"/>
    <w:rsid w:val="001A3AD6"/>
    <w:rsid w:val="001B64A1"/>
    <w:rsid w:val="00242611"/>
    <w:rsid w:val="002745D2"/>
    <w:rsid w:val="00284DDC"/>
    <w:rsid w:val="00284FA1"/>
    <w:rsid w:val="002C45DF"/>
    <w:rsid w:val="002D2FE6"/>
    <w:rsid w:val="002D6103"/>
    <w:rsid w:val="002F1CF2"/>
    <w:rsid w:val="002F48ED"/>
    <w:rsid w:val="002F5B5F"/>
    <w:rsid w:val="00306D3D"/>
    <w:rsid w:val="00307550"/>
    <w:rsid w:val="003243FB"/>
    <w:rsid w:val="00332827"/>
    <w:rsid w:val="003B687D"/>
    <w:rsid w:val="003F7181"/>
    <w:rsid w:val="00452AC6"/>
    <w:rsid w:val="00460072"/>
    <w:rsid w:val="00476021"/>
    <w:rsid w:val="00482C0B"/>
    <w:rsid w:val="004B0AD2"/>
    <w:rsid w:val="004B59F0"/>
    <w:rsid w:val="004D5200"/>
    <w:rsid w:val="004E7559"/>
    <w:rsid w:val="005802BE"/>
    <w:rsid w:val="0058706A"/>
    <w:rsid w:val="005A3E87"/>
    <w:rsid w:val="005B30ED"/>
    <w:rsid w:val="005B66A4"/>
    <w:rsid w:val="006760F1"/>
    <w:rsid w:val="006B3607"/>
    <w:rsid w:val="006C226A"/>
    <w:rsid w:val="006C3CD6"/>
    <w:rsid w:val="00750E11"/>
    <w:rsid w:val="00754D62"/>
    <w:rsid w:val="00755E83"/>
    <w:rsid w:val="00774A83"/>
    <w:rsid w:val="00786C78"/>
    <w:rsid w:val="00795E91"/>
    <w:rsid w:val="007A76A7"/>
    <w:rsid w:val="007B386C"/>
    <w:rsid w:val="007F4074"/>
    <w:rsid w:val="008223B4"/>
    <w:rsid w:val="0085722F"/>
    <w:rsid w:val="0086338C"/>
    <w:rsid w:val="008A2B12"/>
    <w:rsid w:val="009015D2"/>
    <w:rsid w:val="0090291A"/>
    <w:rsid w:val="00950996"/>
    <w:rsid w:val="00985BBB"/>
    <w:rsid w:val="009A52FD"/>
    <w:rsid w:val="009B161F"/>
    <w:rsid w:val="009B7DEC"/>
    <w:rsid w:val="009C086C"/>
    <w:rsid w:val="009C2EE1"/>
    <w:rsid w:val="009D05CE"/>
    <w:rsid w:val="00A002C9"/>
    <w:rsid w:val="00A360BC"/>
    <w:rsid w:val="00A44A23"/>
    <w:rsid w:val="00A5618B"/>
    <w:rsid w:val="00A67B41"/>
    <w:rsid w:val="00A76722"/>
    <w:rsid w:val="00A864DB"/>
    <w:rsid w:val="00A93747"/>
    <w:rsid w:val="00AD0B42"/>
    <w:rsid w:val="00AD4385"/>
    <w:rsid w:val="00AE4454"/>
    <w:rsid w:val="00AE7172"/>
    <w:rsid w:val="00AF0BBA"/>
    <w:rsid w:val="00AF7E3F"/>
    <w:rsid w:val="00B062EA"/>
    <w:rsid w:val="00B62988"/>
    <w:rsid w:val="00B75C25"/>
    <w:rsid w:val="00B83F94"/>
    <w:rsid w:val="00B85094"/>
    <w:rsid w:val="00B94912"/>
    <w:rsid w:val="00BA10C6"/>
    <w:rsid w:val="00BB1F46"/>
    <w:rsid w:val="00BB4DCB"/>
    <w:rsid w:val="00BC212F"/>
    <w:rsid w:val="00BD0C29"/>
    <w:rsid w:val="00C26CD8"/>
    <w:rsid w:val="00C45E11"/>
    <w:rsid w:val="00C5793C"/>
    <w:rsid w:val="00CB71D1"/>
    <w:rsid w:val="00CC3874"/>
    <w:rsid w:val="00CD64CA"/>
    <w:rsid w:val="00D10D27"/>
    <w:rsid w:val="00D43889"/>
    <w:rsid w:val="00D616FD"/>
    <w:rsid w:val="00D965C0"/>
    <w:rsid w:val="00DC60FF"/>
    <w:rsid w:val="00DC7546"/>
    <w:rsid w:val="00DE1F2A"/>
    <w:rsid w:val="00DF02FC"/>
    <w:rsid w:val="00E310B2"/>
    <w:rsid w:val="00E33074"/>
    <w:rsid w:val="00E3359C"/>
    <w:rsid w:val="00E50872"/>
    <w:rsid w:val="00E57C12"/>
    <w:rsid w:val="00E63B17"/>
    <w:rsid w:val="00E821AB"/>
    <w:rsid w:val="00E92B93"/>
    <w:rsid w:val="00ED2BA2"/>
    <w:rsid w:val="00EF0143"/>
    <w:rsid w:val="00EF68BE"/>
    <w:rsid w:val="00F13C60"/>
    <w:rsid w:val="00F1722B"/>
    <w:rsid w:val="00F279BE"/>
    <w:rsid w:val="00F4161F"/>
    <w:rsid w:val="00F7274C"/>
    <w:rsid w:val="00F92B5E"/>
    <w:rsid w:val="00F93E7C"/>
    <w:rsid w:val="00FB4254"/>
    <w:rsid w:val="00FC1447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7B14AF3"/>
  <w15:docId w15:val="{A77DABD2-A02A-425B-9CE4-EF019304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2BA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3F71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55C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5C39"/>
  </w:style>
  <w:style w:type="paragraph" w:styleId="Piedepgina">
    <w:name w:val="footer"/>
    <w:basedOn w:val="Normal"/>
    <w:link w:val="PiedepginaCar"/>
    <w:unhideWhenUsed/>
    <w:rsid w:val="00055C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C39"/>
  </w:style>
  <w:style w:type="character" w:customStyle="1" w:styleId="Ttulo1Car">
    <w:name w:val="Título 1 Car"/>
    <w:basedOn w:val="Fuentedeprrafopredeter"/>
    <w:link w:val="Ttulo1"/>
    <w:uiPriority w:val="9"/>
    <w:rsid w:val="003F7181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C754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5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5D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D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58B435-9A9A-4295-A444-8956408B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Bardales De Padilla, Maria Delicia</dc:creator>
  <cp:lastModifiedBy>Servicio de Elaboracion de Estructura de Costos LOG4</cp:lastModifiedBy>
  <cp:revision>21</cp:revision>
  <cp:lastPrinted>2021-01-18T20:11:00Z</cp:lastPrinted>
  <dcterms:created xsi:type="dcterms:W3CDTF">2022-08-16T17:02:00Z</dcterms:created>
  <dcterms:modified xsi:type="dcterms:W3CDTF">2023-09-15T23:44:00Z</dcterms:modified>
</cp:coreProperties>
</file>