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EC417" w14:textId="77777777" w:rsidR="00A60F18" w:rsidRDefault="00A60F18" w:rsidP="00E2083C">
      <w:pPr>
        <w:pStyle w:val="FirstParagraph"/>
        <w:spacing w:before="0" w:after="0"/>
        <w:jc w:val="center"/>
        <w:rPr>
          <w:rFonts w:ascii="Arial" w:hAnsi="Arial" w:cs="Arial"/>
          <w:b/>
          <w:sz w:val="23"/>
          <w:szCs w:val="23"/>
          <w:lang w:val="es-PE"/>
        </w:rPr>
      </w:pPr>
    </w:p>
    <w:p w14:paraId="4A058A3C" w14:textId="77777777" w:rsidR="0063288C" w:rsidRPr="009925EE" w:rsidRDefault="009D690C" w:rsidP="00E2083C">
      <w:pPr>
        <w:pStyle w:val="FirstParagraph"/>
        <w:spacing w:before="0" w:after="0"/>
        <w:jc w:val="center"/>
        <w:rPr>
          <w:rFonts w:ascii="Arial" w:hAnsi="Arial" w:cs="Arial"/>
          <w:b/>
          <w:sz w:val="23"/>
          <w:szCs w:val="23"/>
          <w:lang w:val="es-PE"/>
        </w:rPr>
      </w:pPr>
      <w:r w:rsidRPr="009925EE">
        <w:rPr>
          <w:rFonts w:ascii="Arial" w:hAnsi="Arial" w:cs="Arial"/>
          <w:b/>
          <w:sz w:val="23"/>
          <w:szCs w:val="23"/>
          <w:lang w:val="es-PE"/>
        </w:rPr>
        <w:t>PROYECTO DE DECRETO SUPREMO</w:t>
      </w:r>
    </w:p>
    <w:p w14:paraId="5194FE81" w14:textId="77777777" w:rsidR="005F3CC0" w:rsidRPr="009925EE" w:rsidRDefault="005F3CC0" w:rsidP="00E2083C">
      <w:pPr>
        <w:pStyle w:val="Textoindependiente"/>
        <w:spacing w:before="0" w:after="0"/>
        <w:jc w:val="center"/>
        <w:rPr>
          <w:rFonts w:ascii="Arial" w:hAnsi="Arial" w:cs="Arial"/>
          <w:b/>
          <w:sz w:val="23"/>
          <w:szCs w:val="23"/>
          <w:lang w:val="es-PE"/>
        </w:rPr>
      </w:pPr>
    </w:p>
    <w:p w14:paraId="5BF48B7B" w14:textId="77777777" w:rsidR="0043416F" w:rsidRPr="009925EE" w:rsidRDefault="0043416F" w:rsidP="00E2083C">
      <w:pPr>
        <w:pStyle w:val="Textoindependiente"/>
        <w:spacing w:before="0" w:after="0"/>
        <w:jc w:val="center"/>
        <w:rPr>
          <w:rFonts w:ascii="Arial" w:hAnsi="Arial" w:cs="Arial"/>
          <w:b/>
          <w:sz w:val="23"/>
          <w:szCs w:val="23"/>
          <w:lang w:val="es-PE"/>
        </w:rPr>
      </w:pPr>
      <w:r w:rsidRPr="009925EE">
        <w:rPr>
          <w:rFonts w:ascii="Arial" w:hAnsi="Arial" w:cs="Arial"/>
          <w:b/>
          <w:sz w:val="23"/>
          <w:szCs w:val="23"/>
          <w:lang w:val="es-PE"/>
        </w:rPr>
        <w:t xml:space="preserve">MODIFICAN REGLAMENTO PARA LA PROTECCIÓN AMBIENTAL EN LAS ACTIVIDADES DE HIDROCARBUROS </w:t>
      </w:r>
    </w:p>
    <w:p w14:paraId="4F97C7BF" w14:textId="77777777" w:rsidR="0043416F" w:rsidRPr="009925EE" w:rsidRDefault="0043416F" w:rsidP="00E2083C">
      <w:pPr>
        <w:pStyle w:val="Textoindependiente"/>
        <w:spacing w:before="0" w:after="0"/>
        <w:jc w:val="center"/>
        <w:rPr>
          <w:rFonts w:ascii="Arial" w:hAnsi="Arial" w:cs="Arial"/>
          <w:b/>
          <w:sz w:val="23"/>
          <w:szCs w:val="23"/>
          <w:lang w:val="es-PE"/>
        </w:rPr>
      </w:pPr>
    </w:p>
    <w:p w14:paraId="0CD6D0F8" w14:textId="77777777" w:rsidR="00A60F18" w:rsidRPr="009925EE" w:rsidRDefault="00A60F18" w:rsidP="00E2083C">
      <w:pPr>
        <w:pStyle w:val="Textoindependiente"/>
        <w:spacing w:before="0" w:after="0"/>
        <w:jc w:val="both"/>
        <w:rPr>
          <w:rFonts w:ascii="Arial" w:hAnsi="Arial" w:cs="Arial"/>
          <w:sz w:val="21"/>
          <w:szCs w:val="21"/>
          <w:lang w:val="es-PE"/>
        </w:rPr>
      </w:pPr>
    </w:p>
    <w:p w14:paraId="281B60C2" w14:textId="77777777" w:rsidR="00B352C2" w:rsidRPr="009925EE" w:rsidRDefault="00FE6C17" w:rsidP="00E2083C">
      <w:pPr>
        <w:pStyle w:val="Textoindependiente"/>
        <w:spacing w:before="0" w:after="0"/>
        <w:jc w:val="both"/>
        <w:rPr>
          <w:rFonts w:ascii="Arial" w:hAnsi="Arial" w:cs="Arial"/>
          <w:sz w:val="21"/>
          <w:szCs w:val="21"/>
          <w:lang w:val="es-PE"/>
        </w:rPr>
      </w:pPr>
      <w:r w:rsidRPr="009925EE">
        <w:rPr>
          <w:rFonts w:ascii="Arial" w:hAnsi="Arial" w:cs="Arial"/>
          <w:sz w:val="21"/>
          <w:szCs w:val="21"/>
          <w:lang w:val="es-PE"/>
        </w:rPr>
        <w:t>EL PRESIDENTE DE LA REPUBLICA</w:t>
      </w:r>
    </w:p>
    <w:p w14:paraId="3D5BC1D3" w14:textId="77777777" w:rsidR="005F3CC0" w:rsidRPr="009925EE" w:rsidRDefault="005F3CC0" w:rsidP="00E2083C">
      <w:pPr>
        <w:pStyle w:val="Textoindependiente"/>
        <w:spacing w:before="0" w:after="0"/>
        <w:jc w:val="both"/>
        <w:rPr>
          <w:rFonts w:ascii="Arial" w:hAnsi="Arial" w:cs="Arial"/>
          <w:sz w:val="21"/>
          <w:szCs w:val="21"/>
          <w:lang w:val="es-PE"/>
        </w:rPr>
      </w:pPr>
    </w:p>
    <w:p w14:paraId="0427A335" w14:textId="77777777" w:rsidR="00FE6C17" w:rsidRPr="009925EE" w:rsidRDefault="00FE6C17" w:rsidP="00E2083C">
      <w:pPr>
        <w:pStyle w:val="Textoindependiente"/>
        <w:spacing w:before="0" w:after="0"/>
        <w:jc w:val="both"/>
        <w:rPr>
          <w:rFonts w:ascii="Arial" w:hAnsi="Arial" w:cs="Arial"/>
          <w:sz w:val="21"/>
          <w:szCs w:val="21"/>
          <w:lang w:val="es-PE"/>
        </w:rPr>
      </w:pPr>
      <w:r w:rsidRPr="009925EE">
        <w:rPr>
          <w:rFonts w:ascii="Arial" w:hAnsi="Arial" w:cs="Arial"/>
          <w:sz w:val="21"/>
          <w:szCs w:val="21"/>
          <w:lang w:val="es-PE"/>
        </w:rPr>
        <w:t>CONSIDERANDO:</w:t>
      </w:r>
    </w:p>
    <w:p w14:paraId="259EA4CC" w14:textId="77777777" w:rsidR="0043416F" w:rsidRPr="009925EE" w:rsidRDefault="0043416F" w:rsidP="0043416F">
      <w:pPr>
        <w:tabs>
          <w:tab w:val="left" w:pos="567"/>
          <w:tab w:val="left" w:pos="709"/>
        </w:tabs>
        <w:spacing w:before="100" w:beforeAutospacing="1" w:after="100" w:afterAutospacing="1"/>
        <w:ind w:firstLine="709"/>
        <w:jc w:val="both"/>
        <w:rPr>
          <w:rFonts w:ascii="Arial" w:hAnsi="Arial" w:cs="Arial"/>
          <w:sz w:val="21"/>
          <w:szCs w:val="21"/>
          <w:lang w:val="es-PE"/>
        </w:rPr>
      </w:pPr>
      <w:r w:rsidRPr="009925EE">
        <w:rPr>
          <w:rFonts w:ascii="Arial" w:hAnsi="Arial" w:cs="Arial"/>
          <w:sz w:val="21"/>
          <w:szCs w:val="21"/>
          <w:lang w:val="es-PE"/>
        </w:rPr>
        <w:t>Que, de conformidad con lo dispuesto en el artículo 3 del Texto Único Ordenado de la Ley Nº 26221, Ley Orgánica de Hidrocarburos, aprobado por Decreto Supremo Nº 042-2005-EM, el Ministerio de Energía y Minas es el encargado de proponer, elaborar, aprobar y aplicar la política del Sector, así como dictar las demás normas pertinentes;</w:t>
      </w:r>
    </w:p>
    <w:p w14:paraId="5224EC2B" w14:textId="77777777" w:rsidR="00FE6C17" w:rsidRPr="009925EE" w:rsidRDefault="00FE6C17"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Que, mediante Ley N° 27446, Ley del Sistema Nacional de Evaluación del Impacto Ambiental, se creó el Sistema Nacional de Evaluación de</w:t>
      </w:r>
      <w:r w:rsidR="00AD2FE2" w:rsidRPr="009925EE">
        <w:rPr>
          <w:rFonts w:ascii="Arial" w:hAnsi="Arial" w:cs="Arial"/>
          <w:sz w:val="21"/>
          <w:szCs w:val="21"/>
          <w:lang w:val="es-PE"/>
        </w:rPr>
        <w:t>l</w:t>
      </w:r>
      <w:r w:rsidRPr="009925EE">
        <w:rPr>
          <w:rFonts w:ascii="Arial" w:hAnsi="Arial" w:cs="Arial"/>
          <w:sz w:val="21"/>
          <w:szCs w:val="21"/>
          <w:lang w:val="es-PE"/>
        </w:rPr>
        <w:t xml:space="preserve"> Impacto Ambiental — SEIA, </w:t>
      </w:r>
      <w:r w:rsidR="00AD2FE2" w:rsidRPr="009925EE">
        <w:rPr>
          <w:rFonts w:ascii="Arial" w:hAnsi="Arial" w:cs="Arial"/>
          <w:sz w:val="21"/>
          <w:szCs w:val="21"/>
          <w:lang w:val="es-PE"/>
        </w:rPr>
        <w:t xml:space="preserve">como un </w:t>
      </w:r>
      <w:r w:rsidRPr="009925EE">
        <w:rPr>
          <w:rFonts w:ascii="Arial" w:hAnsi="Arial" w:cs="Arial"/>
          <w:sz w:val="21"/>
          <w:szCs w:val="21"/>
          <w:lang w:val="es-PE"/>
        </w:rPr>
        <w:t xml:space="preserve">sistema único y coordinado de identificación, prevención, supervisión, control y corrección anticipada de los impactos ambientales negativos derivados de las acciones humanas expresadas por medio del proyecto de inversión. Asimismo, dicha Ley establece un proceso uniforme que comprende los requerimientos, etapas y alcances de la evaluación del impacto ambiental; </w:t>
      </w:r>
    </w:p>
    <w:p w14:paraId="6D850117" w14:textId="77777777" w:rsidR="005F3CC0" w:rsidRPr="009925EE" w:rsidRDefault="005F3CC0" w:rsidP="00E2083C">
      <w:pPr>
        <w:pStyle w:val="Textoindependiente"/>
        <w:spacing w:before="0" w:after="0"/>
        <w:ind w:firstLine="720"/>
        <w:jc w:val="both"/>
        <w:rPr>
          <w:rFonts w:ascii="Arial" w:hAnsi="Arial" w:cs="Arial"/>
          <w:sz w:val="21"/>
          <w:szCs w:val="21"/>
          <w:lang w:val="es-PE"/>
        </w:rPr>
      </w:pPr>
    </w:p>
    <w:p w14:paraId="2287B689" w14:textId="4209DEC2" w:rsidR="00FE6C17" w:rsidRPr="009925EE" w:rsidRDefault="00FE6C17"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 xml:space="preserve">Que, mediante Decreto Supremo N° 019-2009-MINAM, se aprobó el Reglamento de la Ley N° 27446, Ley del </w:t>
      </w:r>
      <w:r w:rsidR="00357911">
        <w:rPr>
          <w:rFonts w:ascii="Arial" w:hAnsi="Arial" w:cs="Arial"/>
          <w:sz w:val="21"/>
          <w:szCs w:val="21"/>
          <w:lang w:val="es-PE"/>
        </w:rPr>
        <w:t>SEIA</w:t>
      </w:r>
      <w:r w:rsidRPr="009925EE">
        <w:rPr>
          <w:rFonts w:ascii="Arial" w:hAnsi="Arial" w:cs="Arial"/>
          <w:sz w:val="21"/>
          <w:szCs w:val="21"/>
          <w:lang w:val="es-PE"/>
        </w:rPr>
        <w:t>, el cual ordena la adecuación de la normativa sectorial vinculada al proceso de evaluación de impacto ambiental, a lo dispuesto en dicho Reglamento y sus normas complementarias y conexas;</w:t>
      </w:r>
    </w:p>
    <w:p w14:paraId="4B725DE4" w14:textId="77777777" w:rsidR="005F3CC0" w:rsidRPr="009925EE" w:rsidRDefault="005F3CC0" w:rsidP="00E2083C">
      <w:pPr>
        <w:pStyle w:val="Textoindependiente"/>
        <w:spacing w:before="0" w:after="0"/>
        <w:ind w:firstLine="720"/>
        <w:jc w:val="both"/>
        <w:rPr>
          <w:rFonts w:ascii="Arial" w:hAnsi="Arial" w:cs="Arial"/>
          <w:sz w:val="21"/>
          <w:szCs w:val="21"/>
          <w:lang w:val="es-PE"/>
        </w:rPr>
      </w:pPr>
    </w:p>
    <w:p w14:paraId="7D88CF89" w14:textId="15AEC3D0" w:rsidR="001818FF" w:rsidRPr="009925EE" w:rsidRDefault="001818FF"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 xml:space="preserve">Que, de acuerdo al artículo </w:t>
      </w:r>
      <w:r w:rsidR="00AD2FE2" w:rsidRPr="009925EE">
        <w:rPr>
          <w:rFonts w:ascii="Arial" w:hAnsi="Arial" w:cs="Arial"/>
          <w:sz w:val="21"/>
          <w:szCs w:val="21"/>
          <w:lang w:val="es-PE"/>
        </w:rPr>
        <w:t xml:space="preserve">4 de la Ley del SEIA, modificado por el Decreto Legislativo N° 1394, en concordancia con el artículo </w:t>
      </w:r>
      <w:r w:rsidRPr="009925EE">
        <w:rPr>
          <w:rFonts w:ascii="Arial" w:hAnsi="Arial" w:cs="Arial"/>
          <w:sz w:val="21"/>
          <w:szCs w:val="21"/>
          <w:lang w:val="es-PE"/>
        </w:rPr>
        <w:t>11 del referido Reglamento, los instrumentos de gestión ambiental o estudios ambientales de aplicación del Sistema Nacional de Evaluación de Impacto Ambiental -SEIA</w:t>
      </w:r>
      <w:r w:rsidR="00AD2FE2" w:rsidRPr="009925EE">
        <w:rPr>
          <w:rFonts w:ascii="Arial" w:hAnsi="Arial" w:cs="Arial"/>
          <w:sz w:val="21"/>
          <w:szCs w:val="21"/>
          <w:lang w:val="es-PE"/>
        </w:rPr>
        <w:t xml:space="preserve"> para proyectos de inversión</w:t>
      </w:r>
      <w:r w:rsidRPr="009925EE">
        <w:rPr>
          <w:rFonts w:ascii="Arial" w:hAnsi="Arial" w:cs="Arial"/>
          <w:sz w:val="21"/>
          <w:szCs w:val="21"/>
          <w:lang w:val="es-PE"/>
        </w:rPr>
        <w:t xml:space="preserve"> son: a) La Declaración de Impacto Ambiental - DIA (Categoría I); b) el Estudio de Impacto Ambiental </w:t>
      </w:r>
      <w:proofErr w:type="spellStart"/>
      <w:r w:rsidRPr="009925EE">
        <w:rPr>
          <w:rFonts w:ascii="Arial" w:hAnsi="Arial" w:cs="Arial"/>
          <w:sz w:val="21"/>
          <w:szCs w:val="21"/>
          <w:lang w:val="es-PE"/>
        </w:rPr>
        <w:t>Semidetallado</w:t>
      </w:r>
      <w:proofErr w:type="spellEnd"/>
      <w:r w:rsidRPr="009925EE">
        <w:rPr>
          <w:rFonts w:ascii="Arial" w:hAnsi="Arial" w:cs="Arial"/>
          <w:sz w:val="21"/>
          <w:szCs w:val="21"/>
          <w:lang w:val="es-PE"/>
        </w:rPr>
        <w:t xml:space="preserve"> - EIA-</w:t>
      </w:r>
      <w:proofErr w:type="spellStart"/>
      <w:r w:rsidRPr="009925EE">
        <w:rPr>
          <w:rFonts w:ascii="Arial" w:hAnsi="Arial" w:cs="Arial"/>
          <w:sz w:val="21"/>
          <w:szCs w:val="21"/>
          <w:lang w:val="es-PE"/>
        </w:rPr>
        <w:t>sd</w:t>
      </w:r>
      <w:proofErr w:type="spellEnd"/>
      <w:r w:rsidRPr="009925EE">
        <w:rPr>
          <w:rFonts w:ascii="Arial" w:hAnsi="Arial" w:cs="Arial"/>
          <w:sz w:val="21"/>
          <w:szCs w:val="21"/>
          <w:lang w:val="es-PE"/>
        </w:rPr>
        <w:t xml:space="preserve"> (Categoría II)</w:t>
      </w:r>
      <w:r w:rsidR="00AD2FE2" w:rsidRPr="009925EE">
        <w:rPr>
          <w:rFonts w:ascii="Arial" w:hAnsi="Arial" w:cs="Arial"/>
          <w:sz w:val="21"/>
          <w:szCs w:val="21"/>
          <w:lang w:val="es-PE"/>
        </w:rPr>
        <w:t xml:space="preserve"> y</w:t>
      </w:r>
      <w:r w:rsidRPr="009925EE">
        <w:rPr>
          <w:rFonts w:ascii="Arial" w:hAnsi="Arial" w:cs="Arial"/>
          <w:sz w:val="21"/>
          <w:szCs w:val="21"/>
          <w:lang w:val="es-PE"/>
        </w:rPr>
        <w:t xml:space="preserve"> c) el Estudio de Impacto Ambiental Detallado - EIA-d (Categoría III); </w:t>
      </w:r>
    </w:p>
    <w:p w14:paraId="048EC790" w14:textId="77777777" w:rsidR="005F3CC0" w:rsidRPr="009925EE" w:rsidRDefault="005F3CC0" w:rsidP="00E2083C">
      <w:pPr>
        <w:pStyle w:val="Textoindependiente"/>
        <w:spacing w:before="0" w:after="0"/>
        <w:ind w:firstLine="720"/>
        <w:jc w:val="both"/>
        <w:rPr>
          <w:rFonts w:ascii="Arial" w:hAnsi="Arial" w:cs="Arial"/>
          <w:sz w:val="21"/>
          <w:szCs w:val="21"/>
          <w:lang w:val="es-PE"/>
        </w:rPr>
      </w:pPr>
    </w:p>
    <w:p w14:paraId="748A9E79" w14:textId="763D87E4" w:rsidR="001818FF" w:rsidRPr="009925EE" w:rsidRDefault="001818FF"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 xml:space="preserve">Que, el artículo 13 del Reglamento en mención </w:t>
      </w:r>
      <w:r w:rsidR="00357911">
        <w:rPr>
          <w:rFonts w:ascii="Arial" w:hAnsi="Arial" w:cs="Arial"/>
          <w:sz w:val="21"/>
          <w:szCs w:val="21"/>
          <w:lang w:val="es-PE"/>
        </w:rPr>
        <w:t>establece</w:t>
      </w:r>
      <w:r w:rsidR="00357911" w:rsidRPr="009925EE">
        <w:rPr>
          <w:rFonts w:ascii="Arial" w:hAnsi="Arial" w:cs="Arial"/>
          <w:sz w:val="21"/>
          <w:szCs w:val="21"/>
          <w:lang w:val="es-PE"/>
        </w:rPr>
        <w:t xml:space="preserve"> </w:t>
      </w:r>
      <w:r w:rsidRPr="009925EE">
        <w:rPr>
          <w:rFonts w:ascii="Arial" w:hAnsi="Arial" w:cs="Arial"/>
          <w:sz w:val="21"/>
          <w:szCs w:val="21"/>
          <w:lang w:val="es-PE"/>
        </w:rPr>
        <w:t xml:space="preserve">que los instrumentos de gestión ambiental no comprendidos en el SEIA son considerados instrumentos complementarios al mismo. Asimismo </w:t>
      </w:r>
      <w:r w:rsidR="00357911">
        <w:rPr>
          <w:rFonts w:ascii="Arial" w:hAnsi="Arial" w:cs="Arial"/>
          <w:sz w:val="21"/>
          <w:szCs w:val="21"/>
          <w:lang w:val="es-PE"/>
        </w:rPr>
        <w:t>dispone</w:t>
      </w:r>
      <w:r w:rsidR="00357911" w:rsidRPr="009925EE">
        <w:rPr>
          <w:rFonts w:ascii="Arial" w:hAnsi="Arial" w:cs="Arial"/>
          <w:sz w:val="21"/>
          <w:szCs w:val="21"/>
          <w:lang w:val="es-PE"/>
        </w:rPr>
        <w:t xml:space="preserve"> </w:t>
      </w:r>
      <w:r w:rsidRPr="009925EE">
        <w:rPr>
          <w:rFonts w:ascii="Arial" w:hAnsi="Arial" w:cs="Arial"/>
          <w:sz w:val="21"/>
          <w:szCs w:val="21"/>
          <w:lang w:val="es-PE"/>
        </w:rPr>
        <w:t xml:space="preserve">que las obligaciones que se establezcan en dichos instrumentos complementarios deben ser determinadas de forma concordante con los objetivos, principios y criterios que se señalan en la Ley y el reglamento en cuestión, bajo un enfoque de integralidad y complementariedad de tal forma que se adopten medidas eficaces para proteger y mejorar la salud de las personas, la calidad ambiental, conservar la diversidad biológica y propiciar el desarrollo sostenible, en sus múltiples dimensiones; </w:t>
      </w:r>
    </w:p>
    <w:p w14:paraId="04EE8CE2" w14:textId="77777777" w:rsidR="005F3CC0" w:rsidRPr="009925EE" w:rsidRDefault="005F3CC0" w:rsidP="00E2083C">
      <w:pPr>
        <w:pStyle w:val="Textoindependiente"/>
        <w:spacing w:before="0" w:after="0"/>
        <w:ind w:firstLine="720"/>
        <w:jc w:val="both"/>
        <w:rPr>
          <w:rFonts w:ascii="Arial" w:hAnsi="Arial" w:cs="Arial"/>
          <w:sz w:val="21"/>
          <w:szCs w:val="21"/>
          <w:lang w:val="es-PE"/>
        </w:rPr>
      </w:pPr>
    </w:p>
    <w:p w14:paraId="4E9F7691" w14:textId="77777777" w:rsidR="00887729" w:rsidRPr="009925EE" w:rsidRDefault="00FE6C17"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 xml:space="preserve">Que, asimismo, mediante </w:t>
      </w:r>
      <w:r w:rsidR="006336D5" w:rsidRPr="009925EE">
        <w:rPr>
          <w:rFonts w:ascii="Arial" w:hAnsi="Arial" w:cs="Arial"/>
          <w:sz w:val="21"/>
          <w:szCs w:val="21"/>
          <w:lang w:val="es-PE"/>
        </w:rPr>
        <w:t xml:space="preserve">Decreto Supremo N° 039-2014-EM se </w:t>
      </w:r>
      <w:r w:rsidR="00887729" w:rsidRPr="009925EE">
        <w:rPr>
          <w:rFonts w:ascii="Arial" w:hAnsi="Arial" w:cs="Arial"/>
          <w:sz w:val="21"/>
          <w:szCs w:val="21"/>
          <w:lang w:val="es-PE"/>
        </w:rPr>
        <w:t>aprobó el Reglamento para la Protección Ambiental en las Actividades de Hidrocarburos, que tiene por objeto normar la protección y gestión ambiental en las Actividades de Hidrocar</w:t>
      </w:r>
      <w:r w:rsidR="00F514FD" w:rsidRPr="009925EE">
        <w:rPr>
          <w:rFonts w:ascii="Arial" w:hAnsi="Arial" w:cs="Arial"/>
          <w:sz w:val="21"/>
          <w:szCs w:val="21"/>
          <w:lang w:val="es-PE"/>
        </w:rPr>
        <w:t xml:space="preserve">buros, con el fin primordial de </w:t>
      </w:r>
      <w:r w:rsidR="00887729" w:rsidRPr="009925EE">
        <w:rPr>
          <w:rFonts w:ascii="Arial" w:hAnsi="Arial" w:cs="Arial"/>
          <w:sz w:val="21"/>
          <w:szCs w:val="21"/>
          <w:lang w:val="es-PE"/>
        </w:rPr>
        <w:t>prevenir, minimizar, rehabilitar, remediar y compensar los impactos ambientales negativos derivados de tales actividades, para propender al desarrollo sostenible;</w:t>
      </w:r>
    </w:p>
    <w:p w14:paraId="569488EB" w14:textId="77777777" w:rsidR="005F3CC0" w:rsidRPr="009925EE" w:rsidRDefault="005F3CC0" w:rsidP="00E2083C">
      <w:pPr>
        <w:pStyle w:val="Textoindependiente"/>
        <w:spacing w:before="0" w:after="0"/>
        <w:ind w:firstLine="720"/>
        <w:jc w:val="both"/>
        <w:rPr>
          <w:rFonts w:ascii="Arial" w:hAnsi="Arial" w:cs="Arial"/>
          <w:sz w:val="21"/>
          <w:szCs w:val="21"/>
          <w:lang w:val="es-PE"/>
        </w:rPr>
      </w:pPr>
    </w:p>
    <w:p w14:paraId="1B557CF6" w14:textId="77777777" w:rsidR="007D4069" w:rsidRPr="009925EE" w:rsidRDefault="007D4069"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lastRenderedPageBreak/>
        <w:t xml:space="preserve">Que, el artículo 19 del </w:t>
      </w:r>
      <w:r w:rsidR="00AE5BF0" w:rsidRPr="009925EE">
        <w:rPr>
          <w:rFonts w:ascii="Arial" w:hAnsi="Arial" w:cs="Arial"/>
          <w:sz w:val="21"/>
          <w:szCs w:val="21"/>
          <w:lang w:val="es-PE"/>
        </w:rPr>
        <w:t>Reglamento para la Protección Ambiental en las Actividades de Hidrocarburos establece un listado de requisitos mínimos que el/la Titular de las Actividades de Hidrocarburos debe presentar ante la Autoridad Ambiental Competente para la presentación de los Estudios Ambientales</w:t>
      </w:r>
      <w:r w:rsidR="001818FF" w:rsidRPr="009925EE">
        <w:rPr>
          <w:rFonts w:ascii="Arial" w:hAnsi="Arial" w:cs="Arial"/>
          <w:sz w:val="21"/>
          <w:szCs w:val="21"/>
          <w:lang w:val="es-PE"/>
        </w:rPr>
        <w:t xml:space="preserve">, los cuales son aplicables también a </w:t>
      </w:r>
      <w:r w:rsidR="00F514FD" w:rsidRPr="009925EE">
        <w:rPr>
          <w:rFonts w:ascii="Arial" w:hAnsi="Arial" w:cs="Arial"/>
          <w:sz w:val="21"/>
          <w:szCs w:val="21"/>
          <w:lang w:val="es-PE"/>
        </w:rPr>
        <w:t>sus</w:t>
      </w:r>
      <w:r w:rsidR="001818FF" w:rsidRPr="009925EE">
        <w:rPr>
          <w:rFonts w:ascii="Arial" w:hAnsi="Arial" w:cs="Arial"/>
          <w:sz w:val="21"/>
          <w:szCs w:val="21"/>
          <w:lang w:val="es-PE"/>
        </w:rPr>
        <w:t xml:space="preserve"> modificaci</w:t>
      </w:r>
      <w:r w:rsidR="00F514FD" w:rsidRPr="009925EE">
        <w:rPr>
          <w:rFonts w:ascii="Arial" w:hAnsi="Arial" w:cs="Arial"/>
          <w:sz w:val="21"/>
          <w:szCs w:val="21"/>
          <w:lang w:val="es-PE"/>
        </w:rPr>
        <w:t xml:space="preserve">ones y ampliaciones, según lo dispuesto por el artículo 42 del citado Reglamento; </w:t>
      </w:r>
    </w:p>
    <w:p w14:paraId="39A797D3" w14:textId="77777777" w:rsidR="005F3CC0" w:rsidRPr="009925EE" w:rsidRDefault="005F3CC0" w:rsidP="00E2083C">
      <w:pPr>
        <w:pStyle w:val="Textoindependiente"/>
        <w:spacing w:before="0" w:after="0"/>
        <w:ind w:firstLine="720"/>
        <w:jc w:val="both"/>
        <w:rPr>
          <w:rFonts w:ascii="Arial" w:hAnsi="Arial" w:cs="Arial"/>
          <w:sz w:val="21"/>
          <w:szCs w:val="21"/>
          <w:lang w:val="es-PE"/>
        </w:rPr>
      </w:pPr>
    </w:p>
    <w:p w14:paraId="6D7844CE" w14:textId="77777777" w:rsidR="00971655" w:rsidRPr="009925EE" w:rsidRDefault="003610B1" w:rsidP="00971655">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 xml:space="preserve">Que, sin embargo, </w:t>
      </w:r>
      <w:r w:rsidR="00971655" w:rsidRPr="009925EE">
        <w:rPr>
          <w:rFonts w:ascii="Arial" w:hAnsi="Arial" w:cs="Arial"/>
          <w:sz w:val="21"/>
          <w:szCs w:val="21"/>
          <w:lang w:val="es-PE"/>
        </w:rPr>
        <w:t>la normativa ambiental del subsector hidrocarburos no ha previsto un listado de los requisitos exigibles a la presentación de instrumentos de gestión ambiental complementarios ni de los otros procedimientos administrativos que, encontrándose vinculados a tales instrumentos de gestión ambiental complementarios (como es el caso del Informe de Identificación de Sitios Contaminados), son sometidos a la evaluación de la Autoridad Ambiental Competente;</w:t>
      </w:r>
    </w:p>
    <w:p w14:paraId="39F473CB" w14:textId="77777777" w:rsidR="00971655" w:rsidRPr="009925EE" w:rsidRDefault="00971655" w:rsidP="00E2083C">
      <w:pPr>
        <w:pStyle w:val="Textoindependiente"/>
        <w:spacing w:before="0" w:after="0"/>
        <w:ind w:firstLine="720"/>
        <w:jc w:val="both"/>
        <w:rPr>
          <w:rFonts w:ascii="Arial" w:hAnsi="Arial" w:cs="Arial"/>
          <w:sz w:val="21"/>
          <w:szCs w:val="21"/>
          <w:lang w:val="es-PE"/>
        </w:rPr>
      </w:pPr>
    </w:p>
    <w:p w14:paraId="720B0E61" w14:textId="6C9AB98F" w:rsidR="001A37D1" w:rsidRPr="009925EE" w:rsidRDefault="001A37D1"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Que, el artículo 40 del T</w:t>
      </w:r>
      <w:r w:rsidR="00AD2FE2" w:rsidRPr="009925EE">
        <w:rPr>
          <w:rFonts w:ascii="Arial" w:hAnsi="Arial" w:cs="Arial"/>
          <w:sz w:val="21"/>
          <w:szCs w:val="21"/>
          <w:lang w:val="es-PE"/>
        </w:rPr>
        <w:t xml:space="preserve">exto Único </w:t>
      </w:r>
      <w:r w:rsidRPr="009925EE">
        <w:rPr>
          <w:rFonts w:ascii="Arial" w:hAnsi="Arial" w:cs="Arial"/>
          <w:sz w:val="21"/>
          <w:szCs w:val="21"/>
          <w:lang w:val="es-PE"/>
        </w:rPr>
        <w:t>O</w:t>
      </w:r>
      <w:r w:rsidR="00AD2FE2" w:rsidRPr="009925EE">
        <w:rPr>
          <w:rFonts w:ascii="Arial" w:hAnsi="Arial" w:cs="Arial"/>
          <w:sz w:val="21"/>
          <w:szCs w:val="21"/>
          <w:lang w:val="es-PE"/>
        </w:rPr>
        <w:t>rdenado</w:t>
      </w:r>
      <w:r w:rsidRPr="009925EE">
        <w:rPr>
          <w:rFonts w:ascii="Arial" w:hAnsi="Arial" w:cs="Arial"/>
          <w:sz w:val="21"/>
          <w:szCs w:val="21"/>
          <w:lang w:val="es-PE"/>
        </w:rPr>
        <w:t xml:space="preserve"> de la Ley del Procedimiento Administrativo General, Ley N° 27444</w:t>
      </w:r>
      <w:r w:rsidR="00AD2FE2" w:rsidRPr="009925EE">
        <w:rPr>
          <w:rFonts w:ascii="Arial" w:hAnsi="Arial" w:cs="Arial"/>
          <w:sz w:val="21"/>
          <w:szCs w:val="21"/>
          <w:lang w:val="es-PE"/>
        </w:rPr>
        <w:t>, aprobado mediante Decreto Supremo N° 004-2019-JUS,</w:t>
      </w:r>
      <w:r w:rsidRPr="009925EE">
        <w:rPr>
          <w:rFonts w:ascii="Arial" w:hAnsi="Arial" w:cs="Arial"/>
          <w:sz w:val="21"/>
          <w:szCs w:val="21"/>
          <w:lang w:val="es-PE"/>
        </w:rPr>
        <w:t xml:space="preserve"> establece que los procedimientos administrativos y requisitos deben establecerse en una disposición sustantiva aprobada mediante decreto supremo o norma de mayor jerarquía, por Ordenanza Regional, por Ordenanza Municipal, por Resolución del titular de los organismos constitucionalmente autónomos;</w:t>
      </w:r>
    </w:p>
    <w:p w14:paraId="2D33A510" w14:textId="77777777" w:rsidR="005F3CC0" w:rsidRPr="009925EE" w:rsidRDefault="005F3CC0" w:rsidP="00E2083C">
      <w:pPr>
        <w:pStyle w:val="Textoindependiente"/>
        <w:spacing w:before="0" w:after="0"/>
        <w:ind w:firstLine="720"/>
        <w:jc w:val="both"/>
        <w:rPr>
          <w:rFonts w:ascii="Arial" w:hAnsi="Arial" w:cs="Arial"/>
          <w:sz w:val="21"/>
          <w:szCs w:val="21"/>
          <w:lang w:val="es-PE"/>
        </w:rPr>
      </w:pPr>
    </w:p>
    <w:p w14:paraId="31501A2D" w14:textId="629773F1" w:rsidR="00A60F18" w:rsidRPr="009925EE" w:rsidRDefault="00F514FD" w:rsidP="00E2083C">
      <w:pPr>
        <w:pStyle w:val="Textoindependiente"/>
        <w:spacing w:before="0" w:after="0"/>
        <w:ind w:firstLine="720"/>
        <w:jc w:val="both"/>
        <w:rPr>
          <w:rFonts w:ascii="Arial" w:hAnsi="Arial" w:cs="Arial"/>
          <w:sz w:val="22"/>
          <w:szCs w:val="22"/>
          <w:lang w:val="es-PE"/>
        </w:rPr>
      </w:pPr>
      <w:r w:rsidRPr="009925EE">
        <w:rPr>
          <w:rFonts w:ascii="Arial" w:hAnsi="Arial" w:cs="Arial"/>
          <w:sz w:val="21"/>
          <w:szCs w:val="21"/>
          <w:lang w:val="es-PE"/>
        </w:rPr>
        <w:t>Que, mediante Decreto Supremo N°</w:t>
      </w:r>
      <w:r w:rsidR="00D728C5">
        <w:rPr>
          <w:rFonts w:ascii="Arial" w:hAnsi="Arial" w:cs="Arial"/>
          <w:sz w:val="21"/>
          <w:szCs w:val="21"/>
          <w:lang w:val="es-PE"/>
        </w:rPr>
        <w:t>117</w:t>
      </w:r>
      <w:r w:rsidRPr="009925EE">
        <w:rPr>
          <w:rFonts w:ascii="Arial" w:hAnsi="Arial" w:cs="Arial"/>
          <w:sz w:val="21"/>
          <w:szCs w:val="21"/>
          <w:lang w:val="es-PE"/>
        </w:rPr>
        <w:t>-2019-PCM</w:t>
      </w:r>
      <w:r w:rsidR="00AD2FE2" w:rsidRPr="009925EE">
        <w:rPr>
          <w:rFonts w:ascii="Arial" w:hAnsi="Arial" w:cs="Arial"/>
          <w:sz w:val="21"/>
          <w:szCs w:val="21"/>
          <w:lang w:val="es-PE"/>
        </w:rPr>
        <w:t>, la Presidencia del Consejo de Ministros</w:t>
      </w:r>
      <w:r w:rsidR="00AF2555" w:rsidRPr="009925EE">
        <w:rPr>
          <w:rFonts w:ascii="Arial" w:hAnsi="Arial" w:cs="Arial"/>
          <w:sz w:val="21"/>
          <w:szCs w:val="21"/>
          <w:lang w:val="es-PE"/>
        </w:rPr>
        <w:t xml:space="preserve"> ha ratificado 119 procedimientos administrativos del Ministerio de Energía y Minas en el marco </w:t>
      </w:r>
      <w:r w:rsidR="00A60F18" w:rsidRPr="009925EE">
        <w:rPr>
          <w:rFonts w:ascii="Arial" w:hAnsi="Arial" w:cs="Arial"/>
          <w:sz w:val="21"/>
          <w:szCs w:val="21"/>
          <w:lang w:val="es-PE"/>
        </w:rPr>
        <w:t xml:space="preserve">del </w:t>
      </w:r>
      <w:r w:rsidR="00A60F18" w:rsidRPr="009925EE">
        <w:rPr>
          <w:rFonts w:ascii="Arial" w:hAnsi="Arial" w:cs="Arial"/>
          <w:sz w:val="22"/>
          <w:szCs w:val="22"/>
          <w:lang w:val="es-PE"/>
        </w:rPr>
        <w:t xml:space="preserve">Análisis de Calidad Regulatoria a que se refiere el Decreto Legislativo N° 1310; </w:t>
      </w:r>
    </w:p>
    <w:p w14:paraId="6908EF23" w14:textId="77777777" w:rsidR="005F3CC0" w:rsidRPr="009925EE" w:rsidRDefault="005F3CC0" w:rsidP="00E2083C">
      <w:pPr>
        <w:pStyle w:val="Textoindependiente"/>
        <w:spacing w:before="0" w:after="0"/>
        <w:ind w:firstLine="720"/>
        <w:jc w:val="both"/>
        <w:rPr>
          <w:rFonts w:ascii="Arial" w:hAnsi="Arial" w:cs="Arial"/>
          <w:sz w:val="22"/>
          <w:szCs w:val="22"/>
          <w:lang w:val="es-PE"/>
        </w:rPr>
      </w:pPr>
    </w:p>
    <w:p w14:paraId="16CAF3CC" w14:textId="16164DAA" w:rsidR="00A60F18" w:rsidRPr="009925EE" w:rsidRDefault="000E036B"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2"/>
          <w:szCs w:val="22"/>
          <w:lang w:val="es-PE"/>
        </w:rPr>
        <w:t xml:space="preserve">Que, </w:t>
      </w:r>
      <w:r w:rsidR="00A60F18" w:rsidRPr="009925EE">
        <w:rPr>
          <w:rFonts w:ascii="Arial" w:hAnsi="Arial" w:cs="Arial"/>
          <w:sz w:val="21"/>
          <w:szCs w:val="21"/>
          <w:lang w:val="es-PE"/>
        </w:rPr>
        <w:t xml:space="preserve">de acuerdo a la </w:t>
      </w:r>
      <w:r w:rsidR="00AD2FE2" w:rsidRPr="009925EE">
        <w:rPr>
          <w:rFonts w:ascii="Arial" w:hAnsi="Arial" w:cs="Arial"/>
          <w:sz w:val="21"/>
          <w:szCs w:val="21"/>
          <w:lang w:val="es-PE"/>
        </w:rPr>
        <w:t xml:space="preserve">Única </w:t>
      </w:r>
      <w:r w:rsidR="00A60F18" w:rsidRPr="009925EE">
        <w:rPr>
          <w:rFonts w:ascii="Arial" w:hAnsi="Arial" w:cs="Arial"/>
          <w:sz w:val="21"/>
          <w:szCs w:val="21"/>
          <w:lang w:val="es-PE"/>
        </w:rPr>
        <w:t>Disposición Complementaria Transitoria de dicho Decreto Supremo, el Ministerio de Energía y Minas d</w:t>
      </w:r>
      <w:bookmarkStart w:id="0" w:name="_GoBack"/>
      <w:bookmarkEnd w:id="0"/>
      <w:r w:rsidR="00A60F18" w:rsidRPr="009925EE">
        <w:rPr>
          <w:rFonts w:ascii="Arial" w:hAnsi="Arial" w:cs="Arial"/>
          <w:sz w:val="21"/>
          <w:szCs w:val="21"/>
          <w:lang w:val="es-PE"/>
        </w:rPr>
        <w:t>ebe emitir disposiciones normativas resultantes del proceso de mejora, de acuerdo con lo establecido en el numeral 2.4 del artículo 2 del Decreto Legislativo Nº 1310, Decreto Legislativo que aprueba medidas adicionales de simplificación administrativa modificado por Decreto Legislativo Nº 1448 concordante con el numeral 7.2 del artículo 7 de su Reglamento aprobado por Decreto Supremo Nº 061-2019-PCM;</w:t>
      </w:r>
    </w:p>
    <w:p w14:paraId="02F7AA09" w14:textId="77777777" w:rsidR="005F3CC0" w:rsidRPr="009925EE" w:rsidRDefault="005F3CC0" w:rsidP="00E2083C">
      <w:pPr>
        <w:pStyle w:val="Textoindependiente"/>
        <w:spacing w:before="0" w:after="0"/>
        <w:ind w:firstLine="720"/>
        <w:jc w:val="both"/>
        <w:rPr>
          <w:rFonts w:ascii="Arial" w:hAnsi="Arial" w:cs="Arial"/>
          <w:sz w:val="21"/>
          <w:szCs w:val="21"/>
          <w:lang w:val="es-PE"/>
        </w:rPr>
      </w:pPr>
    </w:p>
    <w:p w14:paraId="7242D556" w14:textId="77777777" w:rsidR="00796637" w:rsidRPr="009925EE" w:rsidRDefault="000E036B"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Que, en el mismo sentido, el Informe N° 005-2019-CCR-ST</w:t>
      </w:r>
      <w:r w:rsidR="000760B2" w:rsidRPr="009925EE">
        <w:rPr>
          <w:rFonts w:ascii="Arial" w:hAnsi="Arial" w:cs="Arial"/>
          <w:sz w:val="21"/>
          <w:szCs w:val="21"/>
          <w:lang w:val="es-PE"/>
        </w:rPr>
        <w:t xml:space="preserve"> que sustentó el citado Decreto Supremo concluyó que existen procedimientos administrativos con respecto a los cuales se requiere presentar proyectos de disposición normativa, a efectos de cumplir con los principios previstos en el Reglamento para la aplicación del Análisis de Calidad Regulatoria. Dichos procedimientos incluyen la aprobación del Plan de descontaminación de suelos, Informe de identificación de sitios contaminados, Plan de Rehabilitación, Plan de abandono de pasivos ambientales del subsector hidrocarburos, Plan de abandono parcial para las </w:t>
      </w:r>
      <w:proofErr w:type="gramStart"/>
      <w:r w:rsidR="000760B2" w:rsidRPr="009925EE">
        <w:rPr>
          <w:rFonts w:ascii="Arial" w:hAnsi="Arial" w:cs="Arial"/>
          <w:sz w:val="21"/>
          <w:szCs w:val="21"/>
          <w:lang w:val="es-PE"/>
        </w:rPr>
        <w:t>actividades</w:t>
      </w:r>
      <w:proofErr w:type="gramEnd"/>
      <w:r w:rsidR="000760B2" w:rsidRPr="009925EE">
        <w:rPr>
          <w:rFonts w:ascii="Arial" w:hAnsi="Arial" w:cs="Arial"/>
          <w:sz w:val="21"/>
          <w:szCs w:val="21"/>
          <w:lang w:val="es-PE"/>
        </w:rPr>
        <w:t xml:space="preserve"> de hidrocarburos, siendo éstos instrumentos de gestión ambiental complementarios al SEIA o procedimientos administrativos vinculados a los mismos; </w:t>
      </w:r>
    </w:p>
    <w:p w14:paraId="08FF3BAF" w14:textId="77777777" w:rsidR="005F3CC0" w:rsidRPr="009925EE" w:rsidRDefault="005F3CC0" w:rsidP="00E2083C">
      <w:pPr>
        <w:pStyle w:val="Textoindependiente"/>
        <w:spacing w:before="0" w:after="0"/>
        <w:ind w:firstLine="720"/>
        <w:jc w:val="both"/>
        <w:rPr>
          <w:rFonts w:ascii="Arial" w:hAnsi="Arial" w:cs="Arial"/>
          <w:sz w:val="21"/>
          <w:szCs w:val="21"/>
          <w:lang w:val="es-PE"/>
        </w:rPr>
      </w:pPr>
    </w:p>
    <w:p w14:paraId="42A1614C" w14:textId="0B4057FA" w:rsidR="00257D4F" w:rsidRPr="009925EE" w:rsidRDefault="00257D4F"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Que, el marco legal aplicable a las actividades de hidrocarburos debe ser predecible y claro en mater</w:t>
      </w:r>
      <w:r w:rsidR="00A557B1">
        <w:rPr>
          <w:rFonts w:ascii="Arial" w:hAnsi="Arial" w:cs="Arial"/>
          <w:sz w:val="21"/>
          <w:szCs w:val="21"/>
          <w:lang w:val="es-PE"/>
        </w:rPr>
        <w:t>ia ambiental, lo cual permitirá</w:t>
      </w:r>
      <w:r w:rsidRPr="009925EE">
        <w:rPr>
          <w:rFonts w:ascii="Arial" w:hAnsi="Arial" w:cs="Arial"/>
          <w:sz w:val="21"/>
          <w:szCs w:val="21"/>
          <w:lang w:val="es-PE"/>
        </w:rPr>
        <w:t xml:space="preserve"> reducir incertidumbre en las inversiones garantizando la seguridad jurídica; reducir costos innecesarios y promover las inversiones privadas en el subsector y facilitar el cumplimiento de la normativa ambiental y la tramitación de los procedimientos de evaluación de impacto ambiental, mediante una comunicación fluida y eficiente entre la Autoridad Ambiental Competente y el</w:t>
      </w:r>
      <w:r w:rsidR="00F254A1" w:rsidRPr="009925EE">
        <w:rPr>
          <w:rFonts w:ascii="Arial" w:hAnsi="Arial" w:cs="Arial"/>
          <w:sz w:val="21"/>
          <w:szCs w:val="21"/>
          <w:lang w:val="es-PE"/>
        </w:rPr>
        <w:t xml:space="preserve">/la </w:t>
      </w:r>
      <w:r w:rsidRPr="009925EE">
        <w:rPr>
          <w:rFonts w:ascii="Arial" w:hAnsi="Arial" w:cs="Arial"/>
          <w:sz w:val="21"/>
          <w:szCs w:val="21"/>
          <w:lang w:val="es-PE"/>
        </w:rPr>
        <w:t>Titular de las Actividades de Hidrocarburos;</w:t>
      </w:r>
    </w:p>
    <w:p w14:paraId="441E6757" w14:textId="77777777" w:rsidR="005F3CC0" w:rsidRPr="009925EE" w:rsidRDefault="005F3CC0" w:rsidP="00E2083C">
      <w:pPr>
        <w:pStyle w:val="Textoindependiente"/>
        <w:spacing w:before="0" w:after="0"/>
        <w:ind w:firstLine="720"/>
        <w:jc w:val="both"/>
        <w:rPr>
          <w:rFonts w:ascii="Arial" w:hAnsi="Arial" w:cs="Arial"/>
          <w:sz w:val="21"/>
          <w:szCs w:val="21"/>
          <w:lang w:val="es-PE"/>
        </w:rPr>
      </w:pPr>
    </w:p>
    <w:p w14:paraId="5D6F606D" w14:textId="77777777" w:rsidR="00AE5BF0" w:rsidRPr="009925EE" w:rsidRDefault="00AE5BF0" w:rsidP="00971655">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Que, resulta necesario regular el listado de requisitos mínimos exigible a</w:t>
      </w:r>
      <w:r w:rsidR="00257D4F" w:rsidRPr="009925EE">
        <w:rPr>
          <w:rFonts w:ascii="Arial" w:hAnsi="Arial" w:cs="Arial"/>
          <w:sz w:val="21"/>
          <w:szCs w:val="21"/>
          <w:lang w:val="es-PE"/>
        </w:rPr>
        <w:t xml:space="preserve"> la presentación de</w:t>
      </w:r>
      <w:r w:rsidRPr="009925EE">
        <w:rPr>
          <w:rFonts w:ascii="Arial" w:hAnsi="Arial" w:cs="Arial"/>
          <w:sz w:val="21"/>
          <w:szCs w:val="21"/>
          <w:lang w:val="es-PE"/>
        </w:rPr>
        <w:t xml:space="preserve"> los </w:t>
      </w:r>
      <w:r w:rsidR="00971655" w:rsidRPr="009925EE">
        <w:rPr>
          <w:rFonts w:ascii="Arial" w:hAnsi="Arial" w:cs="Arial"/>
          <w:sz w:val="21"/>
          <w:szCs w:val="21"/>
          <w:lang w:val="es-PE"/>
        </w:rPr>
        <w:t xml:space="preserve">Instrumentos </w:t>
      </w:r>
      <w:r w:rsidRPr="009925EE">
        <w:rPr>
          <w:rFonts w:ascii="Arial" w:hAnsi="Arial" w:cs="Arial"/>
          <w:sz w:val="21"/>
          <w:szCs w:val="21"/>
          <w:lang w:val="es-PE"/>
        </w:rPr>
        <w:t xml:space="preserve">de </w:t>
      </w:r>
      <w:r w:rsidR="00971655" w:rsidRPr="009925EE">
        <w:rPr>
          <w:rFonts w:ascii="Arial" w:hAnsi="Arial" w:cs="Arial"/>
          <w:sz w:val="21"/>
          <w:szCs w:val="21"/>
          <w:lang w:val="es-PE"/>
        </w:rPr>
        <w:t xml:space="preserve">Gestión Ambiental Complementarios al SEIA y de los </w:t>
      </w:r>
      <w:r w:rsidR="00971655" w:rsidRPr="009925EE">
        <w:rPr>
          <w:rFonts w:ascii="Arial" w:hAnsi="Arial" w:cs="Arial"/>
          <w:sz w:val="21"/>
          <w:szCs w:val="21"/>
          <w:lang w:val="es-PE"/>
        </w:rPr>
        <w:lastRenderedPageBreak/>
        <w:t>Informes de Identificación de Sitios Contaminados</w:t>
      </w:r>
      <w:r w:rsidR="00257D4F" w:rsidRPr="009925EE">
        <w:rPr>
          <w:rFonts w:ascii="Arial" w:hAnsi="Arial" w:cs="Arial"/>
          <w:sz w:val="21"/>
          <w:szCs w:val="21"/>
          <w:lang w:val="es-PE"/>
        </w:rPr>
        <w:t>, a fin de otorgar</w:t>
      </w:r>
      <w:r w:rsidR="00C163BC" w:rsidRPr="009925EE">
        <w:rPr>
          <w:rFonts w:ascii="Arial" w:hAnsi="Arial" w:cs="Arial"/>
          <w:sz w:val="21"/>
          <w:szCs w:val="21"/>
          <w:lang w:val="es-PE"/>
        </w:rPr>
        <w:t xml:space="preserve"> </w:t>
      </w:r>
      <w:r w:rsidR="00257D4F" w:rsidRPr="009925EE">
        <w:rPr>
          <w:rFonts w:ascii="Arial" w:hAnsi="Arial" w:cs="Arial"/>
          <w:sz w:val="21"/>
          <w:szCs w:val="21"/>
          <w:lang w:val="es-PE"/>
        </w:rPr>
        <w:t>un suficiente grado de predictibilidad y certeza</w:t>
      </w:r>
      <w:r w:rsidR="00C163BC" w:rsidRPr="009925EE">
        <w:rPr>
          <w:rFonts w:ascii="Arial" w:hAnsi="Arial" w:cs="Arial"/>
          <w:sz w:val="21"/>
          <w:szCs w:val="21"/>
          <w:lang w:val="es-PE"/>
        </w:rPr>
        <w:t>, teniendo en cuenta</w:t>
      </w:r>
      <w:r w:rsidR="0085253A" w:rsidRPr="009925EE">
        <w:rPr>
          <w:rFonts w:ascii="Arial" w:hAnsi="Arial" w:cs="Arial"/>
          <w:sz w:val="21"/>
          <w:szCs w:val="21"/>
          <w:lang w:val="es-PE"/>
        </w:rPr>
        <w:t xml:space="preserve">, a su vez, </w:t>
      </w:r>
      <w:r w:rsidR="00C163BC" w:rsidRPr="009925EE">
        <w:rPr>
          <w:rFonts w:ascii="Arial" w:hAnsi="Arial" w:cs="Arial"/>
          <w:sz w:val="21"/>
          <w:szCs w:val="21"/>
          <w:lang w:val="es-PE"/>
        </w:rPr>
        <w:t xml:space="preserve">que de conformidad con el </w:t>
      </w:r>
      <w:r w:rsidR="0085253A" w:rsidRPr="009925EE">
        <w:rPr>
          <w:rFonts w:ascii="Arial" w:hAnsi="Arial" w:cs="Arial"/>
          <w:sz w:val="21"/>
          <w:szCs w:val="21"/>
          <w:lang w:val="es-PE"/>
        </w:rPr>
        <w:t xml:space="preserve">Principio de Complementariedad previsto en el artículo 3 del Reglamento de la Ley del Sistema Nacional de Evaluación de Impacto Ambiental, </w:t>
      </w:r>
      <w:r w:rsidR="00C163BC" w:rsidRPr="009925EE">
        <w:rPr>
          <w:rFonts w:ascii="Arial" w:hAnsi="Arial" w:cs="Arial"/>
          <w:sz w:val="21"/>
          <w:szCs w:val="21"/>
          <w:lang w:val="es-PE"/>
        </w:rPr>
        <w:t xml:space="preserve">el Estado debe asegurar la coherencia y complementariedad en el ejercicio de las funciones públicas relacionadas con el SEIA, así como en el diseño y aplicación de los instrumentos de gestión ambiental y otras obligaciones de nivel nacional, regional y local; </w:t>
      </w:r>
    </w:p>
    <w:p w14:paraId="14D31E0D" w14:textId="77777777" w:rsidR="005F3CC0" w:rsidRPr="009925EE" w:rsidRDefault="005F3CC0" w:rsidP="00E2083C">
      <w:pPr>
        <w:pStyle w:val="Textoindependiente"/>
        <w:spacing w:before="0" w:after="0"/>
        <w:ind w:firstLine="720"/>
        <w:jc w:val="both"/>
        <w:rPr>
          <w:rFonts w:ascii="Arial" w:hAnsi="Arial" w:cs="Arial"/>
          <w:sz w:val="21"/>
          <w:szCs w:val="21"/>
          <w:lang w:val="es-PE"/>
        </w:rPr>
      </w:pPr>
    </w:p>
    <w:p w14:paraId="02349425" w14:textId="77777777" w:rsidR="00AD2FE2" w:rsidRPr="009925EE" w:rsidRDefault="00AD2FE2"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Que, el literal c) del artículo 17 de la Ley del SEIA señala que corresponde al Ministerio del Ambiente emitir opinión previa favorable y coordinar con las autoridades competentes, el o los proyectos de reglamentos relacionados a los procesos de evaluación de impacto ambiental y sus modificaciones;</w:t>
      </w:r>
    </w:p>
    <w:p w14:paraId="3624047E" w14:textId="77777777" w:rsidR="00AD2FE2" w:rsidRPr="009925EE" w:rsidRDefault="00AD2FE2" w:rsidP="00E2083C">
      <w:pPr>
        <w:pStyle w:val="Textoindependiente"/>
        <w:spacing w:before="0" w:after="0"/>
        <w:ind w:firstLine="720"/>
        <w:jc w:val="both"/>
        <w:rPr>
          <w:rFonts w:ascii="Arial" w:hAnsi="Arial" w:cs="Arial"/>
          <w:sz w:val="21"/>
          <w:szCs w:val="21"/>
          <w:lang w:val="es-PE"/>
        </w:rPr>
      </w:pPr>
    </w:p>
    <w:p w14:paraId="1ECD2055" w14:textId="77777777" w:rsidR="00AD2FE2" w:rsidRPr="009925EE" w:rsidRDefault="00AD2FE2"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Que, mediante Informe N°       -2019-MINAM/VMGA/DGPIGA del XX de XXX de 2019, el Ministerio del Ambiente a través de la Dirección General de Políticas e Instrumentos de Gestión Ambiental otorgó opinión previa favo</w:t>
      </w:r>
      <w:r w:rsidR="009925EE">
        <w:rPr>
          <w:rFonts w:ascii="Arial" w:hAnsi="Arial" w:cs="Arial"/>
          <w:sz w:val="21"/>
          <w:szCs w:val="21"/>
          <w:lang w:val="es-PE"/>
        </w:rPr>
        <w:t>r</w:t>
      </w:r>
      <w:r w:rsidRPr="009925EE">
        <w:rPr>
          <w:rFonts w:ascii="Arial" w:hAnsi="Arial" w:cs="Arial"/>
          <w:sz w:val="21"/>
          <w:szCs w:val="21"/>
          <w:lang w:val="es-PE"/>
        </w:rPr>
        <w:t>able al proyecto de Decreto Supremo que modifica el Reglamento para la Protección Ambientales en las Actividades de Hidrocarburos;</w:t>
      </w:r>
    </w:p>
    <w:p w14:paraId="3E5E1D18" w14:textId="77777777" w:rsidR="00AD2FE2" w:rsidRPr="009925EE" w:rsidRDefault="00AD2FE2" w:rsidP="00E2083C">
      <w:pPr>
        <w:pStyle w:val="Textoindependiente"/>
        <w:spacing w:before="0" w:after="0"/>
        <w:ind w:firstLine="720"/>
        <w:jc w:val="both"/>
        <w:rPr>
          <w:rFonts w:ascii="Arial" w:hAnsi="Arial" w:cs="Arial"/>
          <w:sz w:val="21"/>
          <w:szCs w:val="21"/>
          <w:lang w:val="es-PE"/>
        </w:rPr>
      </w:pPr>
    </w:p>
    <w:p w14:paraId="3B8EEEBF" w14:textId="77777777" w:rsidR="00971655" w:rsidRPr="009925EE" w:rsidRDefault="00FE6C17"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 xml:space="preserve">Que, </w:t>
      </w:r>
      <w:r w:rsidR="00F254A1" w:rsidRPr="009925EE">
        <w:rPr>
          <w:rFonts w:ascii="Arial" w:hAnsi="Arial" w:cs="Arial"/>
          <w:sz w:val="21"/>
          <w:szCs w:val="21"/>
          <w:lang w:val="es-PE"/>
        </w:rPr>
        <w:t xml:space="preserve">por lo expuesto, </w:t>
      </w:r>
      <w:r w:rsidRPr="009925EE">
        <w:rPr>
          <w:rFonts w:ascii="Arial" w:hAnsi="Arial" w:cs="Arial"/>
          <w:sz w:val="21"/>
          <w:szCs w:val="21"/>
          <w:lang w:val="es-PE"/>
        </w:rPr>
        <w:t>se considera necesario</w:t>
      </w:r>
      <w:r w:rsidR="00257E0A" w:rsidRPr="009925EE">
        <w:rPr>
          <w:rFonts w:ascii="Arial" w:hAnsi="Arial" w:cs="Arial"/>
          <w:sz w:val="21"/>
          <w:szCs w:val="21"/>
          <w:lang w:val="es-PE"/>
        </w:rPr>
        <w:t xml:space="preserve"> incorporar un artículo al Reglamento para la Protección Ambiental en las Actividades de Hidrocarburos,</w:t>
      </w:r>
      <w:r w:rsidR="00482DC7" w:rsidRPr="009925EE">
        <w:rPr>
          <w:rFonts w:ascii="Arial" w:hAnsi="Arial" w:cs="Arial"/>
          <w:sz w:val="21"/>
          <w:szCs w:val="21"/>
          <w:lang w:val="es-PE"/>
        </w:rPr>
        <w:t xml:space="preserve"> aprobado por Decreto Supremo Nº 039-2014-EM,</w:t>
      </w:r>
      <w:r w:rsidR="00257E0A" w:rsidRPr="009925EE">
        <w:rPr>
          <w:rFonts w:ascii="Arial" w:hAnsi="Arial" w:cs="Arial"/>
          <w:sz w:val="21"/>
          <w:szCs w:val="21"/>
          <w:lang w:val="es-PE"/>
        </w:rPr>
        <w:t xml:space="preserve"> a efectos de establecer los requisitos exigibles a </w:t>
      </w:r>
      <w:r w:rsidR="00971655" w:rsidRPr="009925EE">
        <w:rPr>
          <w:rFonts w:ascii="Arial" w:hAnsi="Arial" w:cs="Arial"/>
          <w:sz w:val="21"/>
          <w:szCs w:val="21"/>
          <w:lang w:val="es-PE"/>
        </w:rPr>
        <w:t xml:space="preserve">la presentación de </w:t>
      </w:r>
      <w:r w:rsidR="00257E0A" w:rsidRPr="009925EE">
        <w:rPr>
          <w:rFonts w:ascii="Arial" w:hAnsi="Arial" w:cs="Arial"/>
          <w:sz w:val="21"/>
          <w:szCs w:val="21"/>
          <w:lang w:val="es-PE"/>
        </w:rPr>
        <w:t>los Instrumentos de Gestión Ambiental Complementarios y</w:t>
      </w:r>
      <w:r w:rsidR="00971655" w:rsidRPr="009925EE">
        <w:rPr>
          <w:rFonts w:ascii="Arial" w:hAnsi="Arial" w:cs="Arial"/>
          <w:sz w:val="21"/>
          <w:szCs w:val="21"/>
          <w:lang w:val="es-PE"/>
        </w:rPr>
        <w:t xml:space="preserve"> asimismo precisar los requisitos de admisibilidad para los Planes Ambientales Detallados y los Informes de Identificación de Sitios Contaminados; </w:t>
      </w:r>
    </w:p>
    <w:p w14:paraId="7569E4BC" w14:textId="77777777" w:rsidR="008D01FB" w:rsidRPr="009925EE" w:rsidRDefault="008D01FB" w:rsidP="008D01FB">
      <w:pPr>
        <w:tabs>
          <w:tab w:val="left" w:pos="709"/>
        </w:tabs>
        <w:spacing w:before="100" w:beforeAutospacing="1" w:after="100" w:afterAutospacing="1"/>
        <w:ind w:firstLine="709"/>
        <w:jc w:val="both"/>
        <w:rPr>
          <w:rFonts w:ascii="Arial" w:hAnsi="Arial" w:cs="Arial"/>
          <w:sz w:val="21"/>
          <w:szCs w:val="21"/>
          <w:lang w:val="es-PE"/>
        </w:rPr>
      </w:pPr>
      <w:r w:rsidRPr="009925EE">
        <w:rPr>
          <w:rFonts w:ascii="Arial" w:hAnsi="Arial" w:cs="Arial"/>
          <w:sz w:val="21"/>
          <w:szCs w:val="21"/>
          <w:lang w:val="es-PE"/>
        </w:rPr>
        <w:t xml:space="preserve">Que, conforme a lo señalado en </w:t>
      </w:r>
      <w:r w:rsidR="00BA22A9" w:rsidRPr="009925EE">
        <w:rPr>
          <w:rFonts w:ascii="Arial" w:hAnsi="Arial" w:cs="Arial"/>
          <w:sz w:val="21"/>
          <w:szCs w:val="21"/>
          <w:lang w:val="es-PE"/>
        </w:rPr>
        <w:t xml:space="preserve">los artículos 87-C y 87-D </w:t>
      </w:r>
      <w:r w:rsidR="00A60CA2" w:rsidRPr="009925EE">
        <w:rPr>
          <w:rFonts w:ascii="Arial" w:hAnsi="Arial" w:cs="Arial"/>
          <w:sz w:val="21"/>
          <w:szCs w:val="21"/>
          <w:lang w:val="es-PE"/>
        </w:rPr>
        <w:t>de</w:t>
      </w:r>
      <w:r w:rsidRPr="009925EE">
        <w:rPr>
          <w:rFonts w:ascii="Arial" w:hAnsi="Arial" w:cs="Arial"/>
          <w:sz w:val="21"/>
          <w:szCs w:val="21"/>
          <w:lang w:val="es-PE"/>
        </w:rPr>
        <w:t xml:space="preserve">l Reglamento de Organización y Funciones del Ministerio de Energía y Minas, aprobado por Decreto Supremo Nº 031-2007-EM, modificado por el Decreto Supremo N° 021-2018-EM, la Dirección General de Asuntos Ambientales de Hidrocarburos del Ministerio de Energía y Minas tiene por función formular, proponer y aprobar, cuando corresponda, programas, proyectos, estrategias, normas, guías y lineamientos relacionados con la protección del ambiente y evaluación de instrumentos de gestión ambiental en el subsector hidrocarburos; </w:t>
      </w:r>
    </w:p>
    <w:p w14:paraId="7A78E7D8" w14:textId="77777777" w:rsidR="00FE6C17" w:rsidRPr="009925EE" w:rsidRDefault="00FE6C17" w:rsidP="00E2083C">
      <w:pPr>
        <w:pStyle w:val="Textoindependiente"/>
        <w:spacing w:before="0" w:after="0"/>
        <w:ind w:firstLine="720"/>
        <w:jc w:val="both"/>
        <w:rPr>
          <w:rFonts w:ascii="Arial" w:hAnsi="Arial" w:cs="Arial"/>
          <w:sz w:val="21"/>
          <w:szCs w:val="21"/>
          <w:lang w:val="es-PE"/>
        </w:rPr>
      </w:pPr>
      <w:r w:rsidRPr="009925EE">
        <w:rPr>
          <w:rFonts w:ascii="Arial" w:hAnsi="Arial" w:cs="Arial"/>
          <w:sz w:val="21"/>
          <w:szCs w:val="21"/>
          <w:lang w:val="es-PE"/>
        </w:rPr>
        <w:t>De co</w:t>
      </w:r>
      <w:r w:rsidR="007A3D57" w:rsidRPr="009925EE">
        <w:rPr>
          <w:rFonts w:ascii="Arial" w:hAnsi="Arial" w:cs="Arial"/>
          <w:sz w:val="21"/>
          <w:szCs w:val="21"/>
          <w:lang w:val="es-PE"/>
        </w:rPr>
        <w:t>nformidad con lo dispuesto en los artículos 87-C y 87-D del</w:t>
      </w:r>
      <w:r w:rsidRPr="009925EE">
        <w:rPr>
          <w:rFonts w:ascii="Arial" w:hAnsi="Arial" w:cs="Arial"/>
          <w:sz w:val="21"/>
          <w:szCs w:val="21"/>
          <w:lang w:val="es-PE"/>
        </w:rPr>
        <w:t xml:space="preserve"> Reglamento de Organización y Funciones del Ministerio de Energía y Minas, aprobado por Decreto Supremo N</w:t>
      </w:r>
      <w:r w:rsidR="00A60CA2" w:rsidRPr="009925EE">
        <w:rPr>
          <w:rFonts w:ascii="Arial" w:hAnsi="Arial" w:cs="Arial"/>
          <w:sz w:val="21"/>
          <w:szCs w:val="21"/>
          <w:lang w:val="es-PE"/>
        </w:rPr>
        <w:t>° 031-2007-EM</w:t>
      </w:r>
      <w:r w:rsidRPr="009925EE">
        <w:rPr>
          <w:rFonts w:ascii="Arial" w:hAnsi="Arial" w:cs="Arial"/>
          <w:sz w:val="21"/>
          <w:szCs w:val="21"/>
          <w:lang w:val="es-PE"/>
        </w:rPr>
        <w:t xml:space="preserve"> y, las atribuciones previstas en los numerales 8 y 24 del artículo 118 de la Constitución Política del Perú;</w:t>
      </w:r>
    </w:p>
    <w:p w14:paraId="0B634AE0" w14:textId="77777777" w:rsidR="00E2083C" w:rsidRPr="009925EE" w:rsidRDefault="00E2083C" w:rsidP="00E2083C">
      <w:pPr>
        <w:pStyle w:val="Textoindependiente"/>
        <w:spacing w:before="0" w:after="0"/>
        <w:ind w:firstLine="720"/>
        <w:jc w:val="both"/>
        <w:rPr>
          <w:rFonts w:ascii="Arial" w:hAnsi="Arial" w:cs="Arial"/>
          <w:sz w:val="21"/>
          <w:szCs w:val="21"/>
          <w:lang w:val="es-PE"/>
        </w:rPr>
      </w:pPr>
    </w:p>
    <w:p w14:paraId="7B3C1B29" w14:textId="77777777" w:rsidR="00FE6C17" w:rsidRPr="009925EE" w:rsidRDefault="00FE6C17" w:rsidP="00E2083C">
      <w:pPr>
        <w:pStyle w:val="Textoindependiente"/>
        <w:spacing w:before="0" w:after="0"/>
        <w:jc w:val="both"/>
        <w:rPr>
          <w:rFonts w:ascii="Arial" w:hAnsi="Arial" w:cs="Arial"/>
          <w:b/>
          <w:sz w:val="21"/>
          <w:szCs w:val="21"/>
          <w:lang w:val="es-PE"/>
        </w:rPr>
      </w:pPr>
      <w:r w:rsidRPr="009925EE">
        <w:rPr>
          <w:rFonts w:ascii="Arial" w:hAnsi="Arial" w:cs="Arial"/>
          <w:b/>
          <w:sz w:val="21"/>
          <w:szCs w:val="21"/>
          <w:lang w:val="es-PE"/>
        </w:rPr>
        <w:t>DECRETA:</w:t>
      </w:r>
    </w:p>
    <w:p w14:paraId="4BEADF0B" w14:textId="77777777" w:rsidR="00E2083C" w:rsidRPr="009925EE" w:rsidRDefault="00E2083C" w:rsidP="00E2083C">
      <w:pPr>
        <w:pStyle w:val="Textoindependiente"/>
        <w:spacing w:before="0" w:after="0"/>
        <w:jc w:val="both"/>
        <w:rPr>
          <w:rFonts w:ascii="Arial" w:hAnsi="Arial" w:cs="Arial"/>
          <w:b/>
          <w:sz w:val="21"/>
          <w:szCs w:val="21"/>
          <w:lang w:val="es-PE"/>
        </w:rPr>
      </w:pPr>
    </w:p>
    <w:p w14:paraId="0C7B793F" w14:textId="77777777" w:rsidR="00482DC7" w:rsidRPr="009925EE" w:rsidRDefault="00482DC7" w:rsidP="00E2083C">
      <w:pPr>
        <w:pStyle w:val="Prrafodelista"/>
        <w:numPr>
          <w:ilvl w:val="0"/>
          <w:numId w:val="7"/>
        </w:numPr>
        <w:tabs>
          <w:tab w:val="left" w:pos="851"/>
          <w:tab w:val="left" w:pos="1418"/>
        </w:tabs>
        <w:spacing w:after="0" w:line="240" w:lineRule="auto"/>
        <w:ind w:left="0" w:firstLine="0"/>
        <w:jc w:val="both"/>
        <w:rPr>
          <w:rFonts w:ascii="Arial" w:eastAsia="Times New Roman" w:hAnsi="Arial" w:cs="Arial"/>
          <w:b/>
          <w:bCs/>
          <w:color w:val="000000"/>
          <w:sz w:val="21"/>
          <w:szCs w:val="21"/>
          <w:lang w:eastAsia="es-PE"/>
        </w:rPr>
      </w:pPr>
      <w:r w:rsidRPr="009925EE">
        <w:rPr>
          <w:rFonts w:ascii="Arial" w:eastAsia="Times New Roman" w:hAnsi="Arial" w:cs="Arial"/>
          <w:b/>
          <w:bCs/>
          <w:color w:val="000000"/>
          <w:sz w:val="21"/>
          <w:szCs w:val="21"/>
          <w:lang w:eastAsia="es-PE"/>
        </w:rPr>
        <w:t> Incorporación del artículo 19 – A al Reglamento aprobado por Decreto Supremo Nº 039-2014-EM</w:t>
      </w:r>
    </w:p>
    <w:p w14:paraId="77E72DF7" w14:textId="77777777" w:rsidR="00482DC7" w:rsidRPr="009925EE" w:rsidRDefault="00482DC7" w:rsidP="00482DC7">
      <w:pPr>
        <w:pStyle w:val="Prrafodelista"/>
        <w:tabs>
          <w:tab w:val="left" w:pos="851"/>
          <w:tab w:val="left" w:pos="1418"/>
        </w:tabs>
        <w:spacing w:after="0" w:line="240" w:lineRule="auto"/>
        <w:ind w:left="0"/>
        <w:jc w:val="both"/>
        <w:rPr>
          <w:rFonts w:ascii="Arial" w:hAnsi="Arial" w:cs="Arial"/>
          <w:sz w:val="21"/>
          <w:szCs w:val="21"/>
        </w:rPr>
      </w:pPr>
    </w:p>
    <w:p w14:paraId="7ADB52E4" w14:textId="77777777" w:rsidR="00482DC7" w:rsidRPr="009925EE" w:rsidRDefault="00482DC7" w:rsidP="00200D45">
      <w:pPr>
        <w:pStyle w:val="Prrafodelista"/>
        <w:numPr>
          <w:ilvl w:val="0"/>
          <w:numId w:val="16"/>
        </w:numPr>
        <w:spacing w:after="0" w:line="240" w:lineRule="auto"/>
        <w:ind w:left="426" w:hanging="426"/>
        <w:jc w:val="both"/>
        <w:rPr>
          <w:rFonts w:ascii="Arial" w:hAnsi="Arial" w:cs="Arial"/>
          <w:sz w:val="21"/>
          <w:szCs w:val="21"/>
        </w:rPr>
      </w:pPr>
      <w:r w:rsidRPr="009925EE">
        <w:rPr>
          <w:rFonts w:ascii="Arial" w:hAnsi="Arial" w:cs="Arial"/>
          <w:sz w:val="21"/>
          <w:szCs w:val="21"/>
        </w:rPr>
        <w:t>Incorpórese el artículo 19 – A al Reglamento para la Protección Ambiental en las Actividades de Hidrocarburos, aprobado por Decreto Supremo Nº 039-2014-EM, de acuerdo al siguiente texto:</w:t>
      </w:r>
    </w:p>
    <w:p w14:paraId="4B07DFE6" w14:textId="77777777" w:rsidR="00482DC7" w:rsidRPr="009925EE" w:rsidRDefault="00482DC7" w:rsidP="00482DC7">
      <w:pPr>
        <w:pStyle w:val="Prrafodelista"/>
        <w:tabs>
          <w:tab w:val="left" w:pos="851"/>
          <w:tab w:val="left" w:pos="1418"/>
        </w:tabs>
        <w:spacing w:after="0" w:line="240" w:lineRule="auto"/>
        <w:ind w:left="0"/>
        <w:jc w:val="both"/>
        <w:rPr>
          <w:rFonts w:ascii="Arial" w:hAnsi="Arial" w:cs="Arial"/>
          <w:sz w:val="21"/>
          <w:szCs w:val="21"/>
        </w:rPr>
      </w:pPr>
    </w:p>
    <w:p w14:paraId="08256A20" w14:textId="77777777" w:rsidR="00AC1B5F" w:rsidRPr="009925EE" w:rsidRDefault="00AC1B5F" w:rsidP="007C2BE1">
      <w:pPr>
        <w:pStyle w:val="Prrafodelista"/>
        <w:tabs>
          <w:tab w:val="left" w:pos="851"/>
          <w:tab w:val="left" w:pos="1418"/>
        </w:tabs>
        <w:spacing w:after="0" w:line="240" w:lineRule="auto"/>
        <w:ind w:left="567"/>
        <w:jc w:val="both"/>
        <w:rPr>
          <w:rFonts w:ascii="Arial" w:hAnsi="Arial" w:cs="Arial"/>
          <w:b/>
          <w:bCs/>
          <w:color w:val="000000"/>
          <w:shd w:val="clear" w:color="auto" w:fill="FFFFFF"/>
        </w:rPr>
      </w:pPr>
      <w:r w:rsidRPr="009925EE">
        <w:rPr>
          <w:rFonts w:ascii="Arial" w:hAnsi="Arial" w:cs="Arial"/>
          <w:b/>
          <w:bCs/>
          <w:color w:val="000000"/>
          <w:shd w:val="clear" w:color="auto" w:fill="FFFFFF"/>
        </w:rPr>
        <w:t>Artículo 19</w:t>
      </w:r>
      <w:r w:rsidR="00482DC7" w:rsidRPr="009925EE">
        <w:rPr>
          <w:rFonts w:ascii="Arial" w:hAnsi="Arial" w:cs="Arial"/>
          <w:b/>
          <w:bCs/>
          <w:color w:val="000000"/>
          <w:shd w:val="clear" w:color="auto" w:fill="FFFFFF"/>
        </w:rPr>
        <w:t>-A.- De la</w:t>
      </w:r>
      <w:r w:rsidRPr="009925EE">
        <w:rPr>
          <w:rFonts w:ascii="Arial" w:hAnsi="Arial" w:cs="Arial"/>
          <w:b/>
          <w:bCs/>
          <w:color w:val="000000"/>
          <w:shd w:val="clear" w:color="auto" w:fill="FFFFFF"/>
        </w:rPr>
        <w:t xml:space="preserve"> presentación de los instrumentos de gestión ambiental complementarios </w:t>
      </w:r>
    </w:p>
    <w:p w14:paraId="1E6512DC" w14:textId="77777777" w:rsidR="00AC1B5F" w:rsidRPr="009925EE" w:rsidRDefault="00AC1B5F" w:rsidP="007C2BE1">
      <w:pPr>
        <w:pStyle w:val="Prrafodelista"/>
        <w:tabs>
          <w:tab w:val="left" w:pos="851"/>
          <w:tab w:val="left" w:pos="1418"/>
        </w:tabs>
        <w:spacing w:after="0" w:line="240" w:lineRule="auto"/>
        <w:ind w:left="567"/>
        <w:jc w:val="both"/>
        <w:rPr>
          <w:rFonts w:ascii="Arial" w:hAnsi="Arial" w:cs="Arial"/>
          <w:b/>
          <w:bCs/>
          <w:color w:val="000000"/>
          <w:shd w:val="clear" w:color="auto" w:fill="FFFFFF"/>
        </w:rPr>
      </w:pPr>
    </w:p>
    <w:p w14:paraId="26915578" w14:textId="4823078E" w:rsidR="00AC1B5F" w:rsidRPr="009925EE" w:rsidRDefault="00AC1B5F" w:rsidP="007C2BE1">
      <w:pPr>
        <w:pStyle w:val="Textoindependiente"/>
        <w:spacing w:before="0" w:after="0"/>
        <w:ind w:left="1134" w:hanging="567"/>
        <w:jc w:val="both"/>
        <w:rPr>
          <w:rFonts w:ascii="Arial" w:hAnsi="Arial" w:cs="Arial"/>
          <w:sz w:val="21"/>
          <w:szCs w:val="21"/>
          <w:lang w:val="es-PE"/>
        </w:rPr>
      </w:pPr>
      <w:r w:rsidRPr="009925EE">
        <w:rPr>
          <w:rFonts w:ascii="Arial" w:hAnsi="Arial" w:cs="Arial"/>
          <w:sz w:val="21"/>
          <w:szCs w:val="21"/>
          <w:lang w:val="es-PE"/>
        </w:rPr>
        <w:t xml:space="preserve">19.1 </w:t>
      </w:r>
      <w:r w:rsidR="00DC0B18">
        <w:rPr>
          <w:rFonts w:ascii="Arial" w:hAnsi="Arial" w:cs="Arial"/>
          <w:sz w:val="21"/>
          <w:szCs w:val="21"/>
          <w:lang w:val="es-PE"/>
        </w:rPr>
        <w:t xml:space="preserve"> </w:t>
      </w:r>
      <w:r w:rsidRPr="009925EE">
        <w:rPr>
          <w:rFonts w:ascii="Arial" w:hAnsi="Arial" w:cs="Arial"/>
          <w:sz w:val="21"/>
          <w:szCs w:val="21"/>
          <w:lang w:val="es-PE"/>
        </w:rPr>
        <w:t xml:space="preserve">Para la presentación de los </w:t>
      </w:r>
      <w:r w:rsidR="00F97C39" w:rsidRPr="009925EE">
        <w:rPr>
          <w:rFonts w:ascii="Arial" w:hAnsi="Arial" w:cs="Arial"/>
          <w:sz w:val="21"/>
          <w:szCs w:val="21"/>
          <w:lang w:val="es-PE"/>
        </w:rPr>
        <w:t xml:space="preserve">Instrumentos </w:t>
      </w:r>
      <w:r w:rsidRPr="009925EE">
        <w:rPr>
          <w:rFonts w:ascii="Arial" w:hAnsi="Arial" w:cs="Arial"/>
          <w:sz w:val="21"/>
          <w:szCs w:val="21"/>
          <w:lang w:val="es-PE"/>
        </w:rPr>
        <w:t xml:space="preserve">de </w:t>
      </w:r>
      <w:r w:rsidR="00F97C39" w:rsidRPr="009925EE">
        <w:rPr>
          <w:rFonts w:ascii="Arial" w:hAnsi="Arial" w:cs="Arial"/>
          <w:sz w:val="21"/>
          <w:szCs w:val="21"/>
          <w:lang w:val="es-PE"/>
        </w:rPr>
        <w:t>Gestión Ambiental Complementarios</w:t>
      </w:r>
      <w:r w:rsidRPr="009925EE">
        <w:rPr>
          <w:rFonts w:ascii="Arial" w:hAnsi="Arial" w:cs="Arial"/>
          <w:sz w:val="21"/>
          <w:szCs w:val="21"/>
          <w:lang w:val="es-PE"/>
        </w:rPr>
        <w:t xml:space="preserve">, el/la Titular de la Actividad de Hidrocarburos debe observar lo dispuesto en el Texto Único de Procedimientos Administrativos (TUPA) vigente de la Autoridad </w:t>
      </w:r>
      <w:r w:rsidRPr="009925EE">
        <w:rPr>
          <w:rFonts w:ascii="Arial" w:hAnsi="Arial" w:cs="Arial"/>
          <w:sz w:val="21"/>
          <w:szCs w:val="21"/>
          <w:lang w:val="es-PE"/>
        </w:rPr>
        <w:lastRenderedPageBreak/>
        <w:t>Ambiental Competente, en la Ley Nº 27444 y lo dispuesto en el presente Reglamento, siendo los requisitos mínimos:</w:t>
      </w:r>
    </w:p>
    <w:p w14:paraId="3088A460" w14:textId="77777777" w:rsidR="00AC1B5F" w:rsidRPr="009925EE" w:rsidRDefault="00AC1B5F" w:rsidP="007C2BE1">
      <w:pPr>
        <w:pStyle w:val="Textoindependiente"/>
        <w:spacing w:before="0" w:after="0"/>
        <w:ind w:left="1134" w:hanging="567"/>
        <w:jc w:val="both"/>
        <w:rPr>
          <w:rFonts w:ascii="Arial" w:hAnsi="Arial" w:cs="Arial"/>
          <w:sz w:val="21"/>
          <w:szCs w:val="21"/>
          <w:lang w:val="es-PE"/>
        </w:rPr>
      </w:pPr>
    </w:p>
    <w:p w14:paraId="0516D12B" w14:textId="77777777" w:rsidR="00AC1B5F" w:rsidRPr="009925EE" w:rsidRDefault="00AC1B5F" w:rsidP="007C2BE1">
      <w:pPr>
        <w:pStyle w:val="Textoindependiente"/>
        <w:numPr>
          <w:ilvl w:val="0"/>
          <w:numId w:val="11"/>
        </w:numPr>
        <w:spacing w:before="0" w:after="0"/>
        <w:ind w:left="1713"/>
        <w:jc w:val="both"/>
        <w:rPr>
          <w:rFonts w:ascii="Arial" w:hAnsi="Arial" w:cs="Arial"/>
          <w:sz w:val="21"/>
          <w:szCs w:val="21"/>
          <w:lang w:val="es-PE"/>
        </w:rPr>
      </w:pPr>
      <w:r w:rsidRPr="009925EE">
        <w:rPr>
          <w:rFonts w:ascii="Arial" w:hAnsi="Arial" w:cs="Arial"/>
          <w:sz w:val="21"/>
          <w:szCs w:val="21"/>
          <w:lang w:val="es-PE"/>
        </w:rPr>
        <w:t xml:space="preserve">Formato de solicitud, indicando el Titular del proyecto, su número de Registro Único de Contribuyente y representante legal. </w:t>
      </w:r>
    </w:p>
    <w:p w14:paraId="57630D60" w14:textId="77777777" w:rsidR="00AC1B5F" w:rsidRPr="009925EE" w:rsidRDefault="00AC1B5F" w:rsidP="007C2BE1">
      <w:pPr>
        <w:pStyle w:val="Textoindependiente"/>
        <w:numPr>
          <w:ilvl w:val="0"/>
          <w:numId w:val="11"/>
        </w:numPr>
        <w:spacing w:before="0" w:after="0"/>
        <w:ind w:left="1713"/>
        <w:jc w:val="both"/>
        <w:rPr>
          <w:rFonts w:ascii="Arial" w:hAnsi="Arial" w:cs="Arial"/>
          <w:sz w:val="21"/>
          <w:szCs w:val="21"/>
          <w:lang w:val="es-PE"/>
        </w:rPr>
      </w:pPr>
      <w:r w:rsidRPr="009925EE">
        <w:rPr>
          <w:rFonts w:ascii="Arial" w:hAnsi="Arial" w:cs="Arial"/>
          <w:sz w:val="21"/>
          <w:szCs w:val="21"/>
          <w:lang w:val="es-PE"/>
        </w:rPr>
        <w:t xml:space="preserve">Recibo de pago por derecho de trámite, de acuerdo al Texto Único de Procedimientos Administrativos (TUPA) de la Autoridad Ambiental Competente, según corresponda. </w:t>
      </w:r>
    </w:p>
    <w:p w14:paraId="0E0502E8" w14:textId="0A7D2D02" w:rsidR="00AC1B5F" w:rsidRPr="009925EE" w:rsidRDefault="00AC1B5F" w:rsidP="007C2BE1">
      <w:pPr>
        <w:pStyle w:val="Textoindependiente"/>
        <w:numPr>
          <w:ilvl w:val="0"/>
          <w:numId w:val="11"/>
        </w:numPr>
        <w:spacing w:before="0" w:after="0"/>
        <w:ind w:left="1713"/>
        <w:jc w:val="both"/>
        <w:rPr>
          <w:rFonts w:ascii="Arial" w:hAnsi="Arial" w:cs="Arial"/>
          <w:sz w:val="21"/>
          <w:szCs w:val="21"/>
          <w:lang w:val="es-PE"/>
        </w:rPr>
      </w:pPr>
      <w:r w:rsidRPr="009925EE">
        <w:rPr>
          <w:rFonts w:ascii="Arial" w:hAnsi="Arial" w:cs="Arial"/>
          <w:sz w:val="21"/>
          <w:szCs w:val="21"/>
          <w:lang w:val="es-PE"/>
        </w:rPr>
        <w:t>Un (1) ejemplar impreso y en medio electrónico del Instrumento</w:t>
      </w:r>
      <w:r w:rsidR="00AD2FE2" w:rsidRPr="009925EE">
        <w:rPr>
          <w:rFonts w:ascii="Arial" w:hAnsi="Arial" w:cs="Arial"/>
          <w:sz w:val="21"/>
          <w:szCs w:val="21"/>
          <w:lang w:val="es-PE"/>
        </w:rPr>
        <w:t xml:space="preserve"> de Gestión </w:t>
      </w:r>
      <w:r w:rsidRPr="009925EE">
        <w:rPr>
          <w:rFonts w:ascii="Arial" w:hAnsi="Arial" w:cs="Arial"/>
          <w:sz w:val="21"/>
          <w:szCs w:val="21"/>
          <w:lang w:val="es-PE"/>
        </w:rPr>
        <w:t xml:space="preserve"> Ambiental </w:t>
      </w:r>
      <w:r w:rsidR="001022B3" w:rsidRPr="009925EE">
        <w:rPr>
          <w:rFonts w:ascii="Arial" w:hAnsi="Arial" w:cs="Arial"/>
          <w:sz w:val="21"/>
          <w:szCs w:val="21"/>
          <w:lang w:val="es-PE"/>
        </w:rPr>
        <w:t xml:space="preserve">Complementario </w:t>
      </w:r>
      <w:r w:rsidRPr="009925EE">
        <w:rPr>
          <w:rFonts w:ascii="Arial" w:hAnsi="Arial" w:cs="Arial"/>
          <w:sz w:val="21"/>
          <w:szCs w:val="21"/>
          <w:lang w:val="es-PE"/>
        </w:rPr>
        <w:t xml:space="preserve">con el cual presenta o somete a evaluación el procedimiento administrativo. </w:t>
      </w:r>
    </w:p>
    <w:p w14:paraId="714D2863" w14:textId="77777777" w:rsidR="00AC1B5F" w:rsidRPr="009925EE" w:rsidRDefault="00AC1B5F" w:rsidP="007C2BE1">
      <w:pPr>
        <w:pStyle w:val="Textoindependiente"/>
        <w:spacing w:before="0" w:after="0"/>
        <w:ind w:left="1713"/>
        <w:jc w:val="both"/>
        <w:rPr>
          <w:rFonts w:ascii="Arial" w:hAnsi="Arial" w:cs="Arial"/>
          <w:sz w:val="21"/>
          <w:szCs w:val="21"/>
          <w:lang w:val="es-PE"/>
        </w:rPr>
      </w:pPr>
    </w:p>
    <w:p w14:paraId="38136151" w14:textId="77777777" w:rsidR="00AC1B5F" w:rsidRPr="009925EE" w:rsidRDefault="00AC1B5F" w:rsidP="007C2BE1">
      <w:pPr>
        <w:pStyle w:val="Prrafodelista"/>
        <w:tabs>
          <w:tab w:val="left" w:pos="851"/>
          <w:tab w:val="left" w:pos="1418"/>
        </w:tabs>
        <w:spacing w:after="0" w:line="240" w:lineRule="auto"/>
        <w:ind w:left="1134" w:hanging="567"/>
        <w:jc w:val="both"/>
        <w:rPr>
          <w:rFonts w:ascii="Arial" w:hAnsi="Arial" w:cs="Arial"/>
          <w:sz w:val="21"/>
          <w:szCs w:val="21"/>
        </w:rPr>
      </w:pPr>
      <w:r w:rsidRPr="009925EE">
        <w:rPr>
          <w:rFonts w:ascii="Arial" w:hAnsi="Arial" w:cs="Arial"/>
          <w:sz w:val="21"/>
          <w:szCs w:val="21"/>
        </w:rPr>
        <w:t xml:space="preserve">19.2  La evaluación de los requisitos de admisibilidad será realizada por la Unidad de Trámite Documentario y el órgano encargado de la evaluación de la Autoridad Ambiental Competente conforme al procedimiento establecido en el artículo 19 del presente Reglamento. </w:t>
      </w:r>
    </w:p>
    <w:p w14:paraId="5A8923EF" w14:textId="77777777" w:rsidR="00B62E9C" w:rsidRPr="009925EE" w:rsidRDefault="00B62E9C" w:rsidP="00AC1B5F">
      <w:pPr>
        <w:pStyle w:val="Prrafodelista"/>
        <w:tabs>
          <w:tab w:val="left" w:pos="851"/>
          <w:tab w:val="left" w:pos="1418"/>
        </w:tabs>
        <w:spacing w:after="0" w:line="240" w:lineRule="auto"/>
        <w:ind w:left="567" w:hanging="567"/>
        <w:jc w:val="both"/>
        <w:rPr>
          <w:rFonts w:ascii="Arial" w:hAnsi="Arial" w:cs="Arial"/>
          <w:sz w:val="21"/>
          <w:szCs w:val="21"/>
        </w:rPr>
      </w:pPr>
    </w:p>
    <w:p w14:paraId="5A347AEA" w14:textId="77777777" w:rsidR="00200D45" w:rsidRPr="009925EE" w:rsidRDefault="00200D45" w:rsidP="00200D45">
      <w:pPr>
        <w:pStyle w:val="Prrafodelista"/>
        <w:numPr>
          <w:ilvl w:val="0"/>
          <w:numId w:val="16"/>
        </w:numPr>
        <w:spacing w:after="0" w:line="240" w:lineRule="auto"/>
        <w:ind w:left="426" w:hanging="426"/>
        <w:jc w:val="both"/>
        <w:rPr>
          <w:rFonts w:ascii="Arial" w:hAnsi="Arial" w:cs="Arial"/>
          <w:sz w:val="21"/>
          <w:szCs w:val="21"/>
        </w:rPr>
      </w:pPr>
      <w:r w:rsidRPr="009925EE">
        <w:rPr>
          <w:rFonts w:ascii="Arial" w:eastAsia="Times New Roman" w:hAnsi="Arial" w:cs="Arial"/>
          <w:sz w:val="21"/>
          <w:szCs w:val="21"/>
          <w:lang w:eastAsia="es-PE"/>
        </w:rPr>
        <w:t xml:space="preserve">El/la Titular de la Actividad de Hidrocarburos, a efectos de acogerse al Plan Ambiental Detallado (PAD), además de cumplir con los requisitos del artículo 19-A del </w:t>
      </w:r>
      <w:r w:rsidRPr="009925EE">
        <w:rPr>
          <w:rFonts w:ascii="Arial" w:hAnsi="Arial" w:cs="Arial"/>
          <w:sz w:val="21"/>
          <w:szCs w:val="21"/>
        </w:rPr>
        <w:t xml:space="preserve">Reglamento para la Protección Ambiental en las Actividades de Hidrocarburos, aprobado por Decreto Supremo Nº 039-2014-EM, debe </w:t>
      </w:r>
      <w:r w:rsidR="000603E9" w:rsidRPr="009925EE">
        <w:rPr>
          <w:rFonts w:ascii="Arial" w:hAnsi="Arial" w:cs="Arial"/>
          <w:sz w:val="21"/>
          <w:szCs w:val="21"/>
        </w:rPr>
        <w:t>presentar</w:t>
      </w:r>
      <w:r w:rsidRPr="009925EE">
        <w:rPr>
          <w:rFonts w:ascii="Arial" w:hAnsi="Arial" w:cs="Arial"/>
          <w:sz w:val="21"/>
          <w:szCs w:val="21"/>
        </w:rPr>
        <w:t xml:space="preserve"> los siguientes: </w:t>
      </w:r>
    </w:p>
    <w:p w14:paraId="2A5C3CD9" w14:textId="77777777" w:rsidR="00F97C39" w:rsidRPr="009925EE" w:rsidRDefault="00F97C39" w:rsidP="00F97C39">
      <w:pPr>
        <w:pStyle w:val="Prrafodelista"/>
        <w:spacing w:after="0" w:line="240" w:lineRule="auto"/>
        <w:ind w:left="426"/>
        <w:jc w:val="both"/>
        <w:rPr>
          <w:rFonts w:ascii="Arial" w:hAnsi="Arial" w:cs="Arial"/>
          <w:sz w:val="21"/>
          <w:szCs w:val="21"/>
        </w:rPr>
      </w:pPr>
    </w:p>
    <w:p w14:paraId="2F972281" w14:textId="77777777" w:rsidR="000603E9" w:rsidRPr="00B063B8" w:rsidRDefault="000603E9" w:rsidP="000603E9">
      <w:pPr>
        <w:pStyle w:val="Textoindependiente"/>
        <w:numPr>
          <w:ilvl w:val="0"/>
          <w:numId w:val="15"/>
        </w:numPr>
        <w:spacing w:before="0" w:after="0"/>
        <w:ind w:left="851" w:hanging="142"/>
        <w:jc w:val="both"/>
        <w:rPr>
          <w:rFonts w:ascii="Arial" w:hAnsi="Arial" w:cs="Arial"/>
          <w:sz w:val="21"/>
          <w:szCs w:val="21"/>
          <w:lang w:val="es-PE"/>
        </w:rPr>
      </w:pPr>
      <w:r w:rsidRPr="009925EE">
        <w:rPr>
          <w:rFonts w:ascii="Arial" w:hAnsi="Arial" w:cs="Arial"/>
          <w:sz w:val="21"/>
          <w:szCs w:val="21"/>
          <w:lang w:val="es-PE"/>
        </w:rPr>
        <w:t xml:space="preserve">Declaración Jurada </w:t>
      </w:r>
      <w:r w:rsidRPr="009925EE">
        <w:rPr>
          <w:rFonts w:ascii="Arial" w:eastAsia="Times New Roman" w:hAnsi="Arial" w:cs="Arial"/>
          <w:sz w:val="21"/>
          <w:szCs w:val="21"/>
          <w:lang w:val="es-PE" w:eastAsia="es-PE"/>
        </w:rPr>
        <w:t xml:space="preserve">de no estar inscrito en el </w:t>
      </w:r>
      <w:r w:rsidR="00F97C39" w:rsidRPr="009925EE">
        <w:rPr>
          <w:rFonts w:ascii="Arial" w:eastAsia="Times New Roman" w:hAnsi="Arial" w:cs="Arial"/>
          <w:sz w:val="21"/>
          <w:szCs w:val="21"/>
          <w:lang w:val="es-PE" w:eastAsia="es-PE"/>
        </w:rPr>
        <w:t xml:space="preserve">Registro </w:t>
      </w:r>
      <w:r w:rsidRPr="009925EE">
        <w:rPr>
          <w:rFonts w:ascii="Arial" w:eastAsia="Times New Roman" w:hAnsi="Arial" w:cs="Arial"/>
          <w:sz w:val="21"/>
          <w:szCs w:val="21"/>
          <w:lang w:val="es-PE" w:eastAsia="es-PE"/>
        </w:rPr>
        <w:t xml:space="preserve">de </w:t>
      </w:r>
      <w:r w:rsidR="00F97C39" w:rsidRPr="009925EE">
        <w:rPr>
          <w:rFonts w:ascii="Arial" w:eastAsia="Times New Roman" w:hAnsi="Arial" w:cs="Arial"/>
          <w:sz w:val="21"/>
          <w:szCs w:val="21"/>
          <w:lang w:val="es-PE" w:eastAsia="es-PE"/>
        </w:rPr>
        <w:t xml:space="preserve">Infractores Ambientales </w:t>
      </w:r>
      <w:r w:rsidRPr="009925EE">
        <w:rPr>
          <w:rFonts w:ascii="Arial" w:eastAsia="Times New Roman" w:hAnsi="Arial" w:cs="Arial"/>
          <w:sz w:val="21"/>
          <w:szCs w:val="21"/>
          <w:lang w:val="es-PE" w:eastAsia="es-PE"/>
        </w:rPr>
        <w:t xml:space="preserve">del </w:t>
      </w:r>
      <w:r w:rsidRPr="00B063B8">
        <w:rPr>
          <w:rFonts w:ascii="Arial" w:eastAsia="Times New Roman" w:hAnsi="Arial" w:cs="Arial"/>
          <w:sz w:val="21"/>
          <w:szCs w:val="21"/>
          <w:lang w:val="es-PE" w:eastAsia="es-PE"/>
        </w:rPr>
        <w:t xml:space="preserve">Organismo de Evaluación y Fiscalización Ambiental – OEFA. </w:t>
      </w:r>
    </w:p>
    <w:p w14:paraId="54138840" w14:textId="77777777" w:rsidR="00A15089" w:rsidRPr="00B063B8" w:rsidRDefault="00A15089" w:rsidP="00A15089">
      <w:pPr>
        <w:pStyle w:val="Textoindependiente"/>
        <w:numPr>
          <w:ilvl w:val="0"/>
          <w:numId w:val="15"/>
        </w:numPr>
        <w:spacing w:before="0" w:after="0"/>
        <w:ind w:left="851" w:hanging="142"/>
        <w:jc w:val="both"/>
        <w:rPr>
          <w:rFonts w:ascii="Arial" w:hAnsi="Arial" w:cs="Arial"/>
          <w:sz w:val="21"/>
          <w:szCs w:val="21"/>
          <w:lang w:val="es-PE"/>
        </w:rPr>
      </w:pPr>
      <w:r w:rsidRPr="00B063B8">
        <w:rPr>
          <w:rFonts w:ascii="Arial" w:hAnsi="Arial" w:cs="Arial"/>
          <w:sz w:val="21"/>
          <w:szCs w:val="21"/>
          <w:lang w:val="es-PE"/>
        </w:rPr>
        <w:t xml:space="preserve">Declaración Jurada de haber presentado la comunicación prevista en el segundo párrafo de la </w:t>
      </w:r>
      <w:r w:rsidRPr="00B063B8">
        <w:rPr>
          <w:rFonts w:ascii="Arial" w:eastAsia="Times New Roman" w:hAnsi="Arial" w:cs="Arial"/>
          <w:sz w:val="21"/>
          <w:szCs w:val="21"/>
          <w:lang w:val="es-PE" w:eastAsia="es-PE"/>
        </w:rPr>
        <w:t xml:space="preserve">Primera Disposición Complementaria Transitoria del Decreto Supremo N° 023-2018-EM, indicando la fecha en que realizó tal comunicación. </w:t>
      </w:r>
    </w:p>
    <w:p w14:paraId="0C5EF3D8" w14:textId="296AA298" w:rsidR="00F3330C" w:rsidRPr="00B063B8" w:rsidRDefault="00F3330C" w:rsidP="00A15089">
      <w:pPr>
        <w:pStyle w:val="Textoindependiente"/>
        <w:numPr>
          <w:ilvl w:val="0"/>
          <w:numId w:val="15"/>
        </w:numPr>
        <w:spacing w:before="0" w:after="0"/>
        <w:ind w:left="851" w:hanging="142"/>
        <w:jc w:val="both"/>
        <w:rPr>
          <w:rFonts w:ascii="Arial" w:hAnsi="Arial" w:cs="Arial"/>
          <w:sz w:val="21"/>
          <w:szCs w:val="21"/>
          <w:lang w:val="es-PE"/>
        </w:rPr>
      </w:pPr>
      <w:r w:rsidRPr="00B063B8">
        <w:rPr>
          <w:rFonts w:ascii="Arial" w:hAnsi="Arial" w:cs="Arial"/>
          <w:sz w:val="21"/>
          <w:szCs w:val="21"/>
          <w:lang w:val="es-PE"/>
        </w:rPr>
        <w:t>Declaración Jurada de no tener aprobado el Plan de Adecuación Ambiental establecido en la Segunda y Tercera Disposición Complementaria Final del Reglamento para la Protección Ambiental en las Actividades de Hidrocarburos, aprobado por Decreto Supremo Nº 039-2014-EM</w:t>
      </w:r>
      <w:r w:rsidR="00B063B8" w:rsidRPr="00B063B8">
        <w:rPr>
          <w:rFonts w:ascii="Arial" w:hAnsi="Arial" w:cs="Arial"/>
          <w:sz w:val="21"/>
          <w:szCs w:val="21"/>
          <w:lang w:val="es-PE"/>
        </w:rPr>
        <w:t xml:space="preserve">, conforme a lo previsto en la </w:t>
      </w:r>
      <w:r w:rsidR="00B063B8" w:rsidRPr="00B063B8">
        <w:rPr>
          <w:rFonts w:ascii="Arial" w:eastAsia="Times New Roman" w:hAnsi="Arial" w:cs="Arial"/>
          <w:sz w:val="21"/>
          <w:szCs w:val="21"/>
          <w:lang w:val="es-PE" w:eastAsia="es-PE"/>
        </w:rPr>
        <w:t>Primera Disposición Complementaria Transitoria del Decreto Supremo N° 023-2018-EM</w:t>
      </w:r>
      <w:r w:rsidR="002F7F48">
        <w:rPr>
          <w:rFonts w:ascii="Arial" w:eastAsia="Times New Roman" w:hAnsi="Arial" w:cs="Arial"/>
          <w:sz w:val="21"/>
          <w:szCs w:val="21"/>
          <w:lang w:val="es-PE" w:eastAsia="es-PE"/>
        </w:rPr>
        <w:t>.</w:t>
      </w:r>
    </w:p>
    <w:p w14:paraId="31BD4ADC" w14:textId="77777777" w:rsidR="00200D45" w:rsidRPr="00B063B8" w:rsidRDefault="00200D45" w:rsidP="00200D45">
      <w:pPr>
        <w:pStyle w:val="Prrafodelista"/>
        <w:spacing w:after="0" w:line="240" w:lineRule="auto"/>
        <w:jc w:val="both"/>
        <w:rPr>
          <w:rFonts w:ascii="Arial" w:hAnsi="Arial" w:cs="Arial"/>
          <w:sz w:val="21"/>
          <w:szCs w:val="21"/>
        </w:rPr>
      </w:pPr>
    </w:p>
    <w:p w14:paraId="45EDA5E6" w14:textId="77777777" w:rsidR="00E24201" w:rsidRPr="00B063B8" w:rsidRDefault="008D01FB" w:rsidP="00E24201">
      <w:pPr>
        <w:pStyle w:val="Prrafodelista"/>
        <w:numPr>
          <w:ilvl w:val="0"/>
          <w:numId w:val="7"/>
        </w:numPr>
        <w:tabs>
          <w:tab w:val="left" w:pos="851"/>
          <w:tab w:val="left" w:pos="1418"/>
        </w:tabs>
        <w:spacing w:after="0" w:line="240" w:lineRule="auto"/>
        <w:ind w:left="0" w:firstLine="0"/>
        <w:jc w:val="both"/>
        <w:rPr>
          <w:rFonts w:ascii="Arial" w:eastAsia="Times New Roman" w:hAnsi="Arial" w:cs="Arial"/>
          <w:b/>
          <w:bCs/>
          <w:color w:val="000000"/>
          <w:sz w:val="21"/>
          <w:szCs w:val="21"/>
          <w:lang w:eastAsia="es-PE"/>
        </w:rPr>
      </w:pPr>
      <w:r w:rsidRPr="00B063B8">
        <w:rPr>
          <w:rFonts w:ascii="Arial" w:eastAsia="Times New Roman" w:hAnsi="Arial" w:cs="Arial"/>
          <w:b/>
          <w:bCs/>
          <w:color w:val="000000"/>
          <w:sz w:val="21"/>
          <w:szCs w:val="21"/>
          <w:lang w:eastAsia="es-PE"/>
        </w:rPr>
        <w:t>De los requisitos aplicables a los Informes de Identificación de Sitios Contaminados</w:t>
      </w:r>
      <w:r w:rsidR="00E24201" w:rsidRPr="00B063B8">
        <w:rPr>
          <w:rFonts w:ascii="Arial" w:eastAsia="Times New Roman" w:hAnsi="Arial" w:cs="Arial"/>
          <w:b/>
          <w:bCs/>
          <w:color w:val="000000"/>
          <w:sz w:val="21"/>
          <w:szCs w:val="21"/>
          <w:lang w:eastAsia="es-PE"/>
        </w:rPr>
        <w:t xml:space="preserve"> </w:t>
      </w:r>
    </w:p>
    <w:p w14:paraId="49024970" w14:textId="77777777" w:rsidR="00F97C39" w:rsidRPr="009925EE" w:rsidRDefault="00F97C39" w:rsidP="00F97C39">
      <w:pPr>
        <w:pStyle w:val="Prrafodelista"/>
        <w:tabs>
          <w:tab w:val="left" w:pos="851"/>
          <w:tab w:val="left" w:pos="1418"/>
        </w:tabs>
        <w:spacing w:after="0" w:line="240" w:lineRule="auto"/>
        <w:ind w:left="0"/>
        <w:jc w:val="both"/>
        <w:rPr>
          <w:rFonts w:ascii="Arial" w:eastAsia="Times New Roman" w:hAnsi="Arial" w:cs="Arial"/>
          <w:b/>
          <w:bCs/>
          <w:color w:val="000000"/>
          <w:sz w:val="21"/>
          <w:szCs w:val="21"/>
          <w:lang w:eastAsia="es-PE"/>
        </w:rPr>
      </w:pPr>
    </w:p>
    <w:p w14:paraId="77C82234" w14:textId="77777777" w:rsidR="00A60CA2" w:rsidRPr="009925EE" w:rsidRDefault="00A60CA2" w:rsidP="00A60CA2">
      <w:pPr>
        <w:pStyle w:val="Prrafodelista"/>
        <w:tabs>
          <w:tab w:val="left" w:pos="851"/>
          <w:tab w:val="left" w:pos="1418"/>
        </w:tabs>
        <w:spacing w:after="0" w:line="240" w:lineRule="auto"/>
        <w:ind w:left="0"/>
        <w:jc w:val="both"/>
        <w:rPr>
          <w:rFonts w:ascii="Arial" w:eastAsia="Times New Roman" w:hAnsi="Arial" w:cs="Arial"/>
          <w:sz w:val="21"/>
          <w:szCs w:val="21"/>
          <w:lang w:eastAsia="es-PE"/>
        </w:rPr>
      </w:pPr>
      <w:r w:rsidRPr="009925EE">
        <w:rPr>
          <w:rFonts w:ascii="Arial" w:eastAsia="Times New Roman" w:hAnsi="Arial" w:cs="Arial"/>
          <w:sz w:val="21"/>
          <w:szCs w:val="21"/>
          <w:lang w:eastAsia="es-PE"/>
        </w:rPr>
        <w:t>Para la presentación de los Informes de Identif</w:t>
      </w:r>
      <w:r w:rsidR="00991064" w:rsidRPr="009925EE">
        <w:rPr>
          <w:rFonts w:ascii="Arial" w:eastAsia="Times New Roman" w:hAnsi="Arial" w:cs="Arial"/>
          <w:sz w:val="21"/>
          <w:szCs w:val="21"/>
          <w:lang w:eastAsia="es-PE"/>
        </w:rPr>
        <w:t>icación de Sitios Contaminados</w:t>
      </w:r>
      <w:r w:rsidRPr="009925EE">
        <w:rPr>
          <w:rFonts w:ascii="Arial" w:eastAsia="Times New Roman" w:hAnsi="Arial" w:cs="Arial"/>
          <w:sz w:val="21"/>
          <w:szCs w:val="21"/>
          <w:lang w:eastAsia="es-PE"/>
        </w:rPr>
        <w:t xml:space="preserve">, el/la Titular de la Actividad de Hidrocarburos debe presentar los requisitos previstos en el artículo 19-A </w:t>
      </w:r>
      <w:r w:rsidR="00C03892" w:rsidRPr="009925EE">
        <w:rPr>
          <w:rFonts w:ascii="Arial" w:eastAsia="Times New Roman" w:hAnsi="Arial" w:cs="Arial"/>
          <w:sz w:val="21"/>
          <w:szCs w:val="21"/>
          <w:lang w:eastAsia="es-PE"/>
        </w:rPr>
        <w:t xml:space="preserve">del </w:t>
      </w:r>
      <w:r w:rsidRPr="009925EE">
        <w:rPr>
          <w:rFonts w:ascii="Arial" w:hAnsi="Arial" w:cs="Arial"/>
          <w:sz w:val="21"/>
          <w:szCs w:val="21"/>
        </w:rPr>
        <w:t xml:space="preserve">Reglamento para la Protección Ambiental en las Actividades de Hidrocarburos, aprobado por Decreto Supremo Nº 039-2014-EM, salvo que se emita norma especial que establezca requisitos </w:t>
      </w:r>
      <w:r w:rsidR="00D3161E" w:rsidRPr="009925EE">
        <w:rPr>
          <w:rFonts w:ascii="Arial" w:hAnsi="Arial" w:cs="Arial"/>
          <w:sz w:val="21"/>
          <w:szCs w:val="21"/>
        </w:rPr>
        <w:t xml:space="preserve">distintos o específicos para la evaluación de admisibilidad </w:t>
      </w:r>
      <w:r w:rsidRPr="009925EE">
        <w:rPr>
          <w:rFonts w:ascii="Arial" w:hAnsi="Arial" w:cs="Arial"/>
          <w:sz w:val="21"/>
          <w:szCs w:val="21"/>
        </w:rPr>
        <w:t>de</w:t>
      </w:r>
      <w:r w:rsidR="00991064" w:rsidRPr="009925EE">
        <w:rPr>
          <w:rFonts w:ascii="Arial" w:hAnsi="Arial" w:cs="Arial"/>
          <w:sz w:val="21"/>
          <w:szCs w:val="21"/>
        </w:rPr>
        <w:t xml:space="preserve"> dicho procedimiento administrativo</w:t>
      </w:r>
      <w:r w:rsidRPr="009925EE">
        <w:rPr>
          <w:rFonts w:ascii="Arial" w:hAnsi="Arial" w:cs="Arial"/>
          <w:sz w:val="21"/>
          <w:szCs w:val="21"/>
        </w:rPr>
        <w:t xml:space="preserve">. </w:t>
      </w:r>
    </w:p>
    <w:p w14:paraId="53D520E5" w14:textId="77777777" w:rsidR="00A60CA2" w:rsidRPr="009925EE" w:rsidRDefault="00A60CA2" w:rsidP="00A60CA2">
      <w:pPr>
        <w:pStyle w:val="Prrafodelista"/>
        <w:tabs>
          <w:tab w:val="left" w:pos="851"/>
          <w:tab w:val="left" w:pos="1418"/>
        </w:tabs>
        <w:spacing w:after="0" w:line="240" w:lineRule="auto"/>
        <w:ind w:left="0"/>
        <w:jc w:val="both"/>
        <w:rPr>
          <w:rFonts w:ascii="Arial" w:hAnsi="Arial" w:cs="Arial"/>
          <w:sz w:val="21"/>
          <w:szCs w:val="21"/>
        </w:rPr>
      </w:pPr>
    </w:p>
    <w:p w14:paraId="325BE2B5" w14:textId="214DA2D6" w:rsidR="00540621" w:rsidRPr="00540621" w:rsidRDefault="00540621" w:rsidP="00540621">
      <w:pPr>
        <w:pStyle w:val="Prrafodelista"/>
        <w:numPr>
          <w:ilvl w:val="0"/>
          <w:numId w:val="7"/>
        </w:numPr>
        <w:tabs>
          <w:tab w:val="left" w:pos="851"/>
          <w:tab w:val="left" w:pos="1418"/>
        </w:tabs>
        <w:spacing w:after="0" w:line="240" w:lineRule="auto"/>
        <w:ind w:left="0" w:firstLine="0"/>
        <w:jc w:val="both"/>
        <w:rPr>
          <w:rFonts w:ascii="Arial" w:hAnsi="Arial" w:cs="Arial"/>
          <w:b/>
          <w:sz w:val="21"/>
          <w:szCs w:val="21"/>
        </w:rPr>
      </w:pPr>
      <w:r w:rsidRPr="00540621">
        <w:rPr>
          <w:rFonts w:ascii="Arial" w:hAnsi="Arial" w:cs="Arial"/>
          <w:b/>
          <w:sz w:val="21"/>
          <w:szCs w:val="21"/>
        </w:rPr>
        <w:t>Financiamiento</w:t>
      </w:r>
    </w:p>
    <w:p w14:paraId="0A151AB7" w14:textId="77777777" w:rsidR="00540621" w:rsidRPr="00F5784B" w:rsidRDefault="00540621" w:rsidP="00540621">
      <w:pPr>
        <w:tabs>
          <w:tab w:val="left" w:pos="851"/>
          <w:tab w:val="left" w:pos="1418"/>
        </w:tabs>
        <w:spacing w:after="0"/>
        <w:jc w:val="both"/>
        <w:rPr>
          <w:rFonts w:ascii="Arial" w:hAnsi="Arial" w:cs="Arial"/>
          <w:sz w:val="21"/>
          <w:szCs w:val="21"/>
          <w:lang w:val="es-PE"/>
        </w:rPr>
      </w:pPr>
      <w:r w:rsidRPr="00F5784B">
        <w:rPr>
          <w:rFonts w:ascii="Arial" w:hAnsi="Arial" w:cs="Arial"/>
          <w:sz w:val="21"/>
          <w:szCs w:val="21"/>
          <w:lang w:val="es-PE"/>
        </w:rPr>
        <w:t>La aplicación del presente Decreto Supremo se financia con cargo al presupuesto institucional de los pliegos involucrados, sin demandar recursos adicionales al Tesoro Público.</w:t>
      </w:r>
    </w:p>
    <w:p w14:paraId="66AE939A" w14:textId="77777777" w:rsidR="00540621" w:rsidRPr="00F5784B" w:rsidRDefault="00540621" w:rsidP="00540621">
      <w:pPr>
        <w:tabs>
          <w:tab w:val="left" w:pos="851"/>
          <w:tab w:val="left" w:pos="1418"/>
        </w:tabs>
        <w:spacing w:after="0"/>
        <w:jc w:val="both"/>
        <w:rPr>
          <w:rFonts w:ascii="Arial" w:hAnsi="Arial" w:cs="Arial"/>
          <w:b/>
          <w:sz w:val="21"/>
          <w:szCs w:val="21"/>
          <w:lang w:val="es-PE"/>
        </w:rPr>
      </w:pPr>
    </w:p>
    <w:p w14:paraId="526172D4" w14:textId="77777777" w:rsidR="00036E40" w:rsidRPr="009925EE" w:rsidRDefault="00036E40" w:rsidP="00036E40">
      <w:pPr>
        <w:pStyle w:val="Prrafodelista"/>
        <w:numPr>
          <w:ilvl w:val="0"/>
          <w:numId w:val="7"/>
        </w:numPr>
        <w:tabs>
          <w:tab w:val="left" w:pos="851"/>
          <w:tab w:val="left" w:pos="1418"/>
        </w:tabs>
        <w:spacing w:after="0" w:line="240" w:lineRule="auto"/>
        <w:ind w:left="0" w:firstLine="0"/>
        <w:jc w:val="both"/>
        <w:rPr>
          <w:rFonts w:ascii="Arial" w:hAnsi="Arial" w:cs="Arial"/>
          <w:b/>
          <w:sz w:val="21"/>
          <w:szCs w:val="21"/>
        </w:rPr>
      </w:pPr>
      <w:r w:rsidRPr="009925EE">
        <w:rPr>
          <w:rFonts w:ascii="Arial" w:hAnsi="Arial" w:cs="Arial"/>
          <w:b/>
          <w:sz w:val="21"/>
          <w:szCs w:val="21"/>
        </w:rPr>
        <w:t>Vigencia y refrendo</w:t>
      </w:r>
    </w:p>
    <w:p w14:paraId="7F7F20D4" w14:textId="77777777" w:rsidR="00D3161E" w:rsidRPr="009925EE" w:rsidRDefault="00D3161E" w:rsidP="00614E56">
      <w:pPr>
        <w:pStyle w:val="Prrafodelista"/>
        <w:tabs>
          <w:tab w:val="left" w:pos="851"/>
          <w:tab w:val="left" w:pos="1418"/>
        </w:tabs>
        <w:spacing w:after="0" w:line="240" w:lineRule="auto"/>
        <w:ind w:left="0"/>
        <w:jc w:val="both"/>
        <w:rPr>
          <w:rFonts w:ascii="Arial" w:hAnsi="Arial" w:cs="Arial"/>
          <w:b/>
          <w:sz w:val="21"/>
          <w:szCs w:val="21"/>
        </w:rPr>
      </w:pPr>
    </w:p>
    <w:p w14:paraId="0A14B081" w14:textId="3A26274F" w:rsidR="00036E40" w:rsidRPr="001022B3" w:rsidRDefault="00036E40" w:rsidP="00B063B8">
      <w:pPr>
        <w:spacing w:after="0"/>
        <w:jc w:val="both"/>
        <w:rPr>
          <w:rFonts w:ascii="Arial" w:eastAsia="Times New Roman" w:hAnsi="Arial" w:cs="Arial"/>
          <w:sz w:val="21"/>
          <w:szCs w:val="21"/>
          <w:lang w:val="es-PE" w:eastAsia="es-PE"/>
        </w:rPr>
      </w:pPr>
      <w:r w:rsidRPr="009925EE">
        <w:rPr>
          <w:rFonts w:ascii="Arial" w:eastAsia="Times New Roman" w:hAnsi="Arial" w:cs="Arial"/>
          <w:color w:val="000000"/>
          <w:sz w:val="21"/>
          <w:szCs w:val="21"/>
          <w:lang w:val="es-PE" w:eastAsia="es-PE"/>
        </w:rPr>
        <w:t>El presente Decreto Supremo entrará en vigencia al día siguiente de su publicación en el Diario Oficial El Peruano y es refrendado por el Ministro de Energía y Minas y la Ministra del Ambiente.</w:t>
      </w:r>
    </w:p>
    <w:sectPr w:rsidR="00036E40" w:rsidRPr="001022B3">
      <w:pgSz w:w="12240" w:h="15840"/>
      <w:pgMar w:top="1417" w:right="1701" w:bottom="1417" w:left="1701"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2207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207DC" w16cid:durableId="20B332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7BD9B" w14:textId="77777777" w:rsidR="009656E2" w:rsidRDefault="009656E2">
      <w:pPr>
        <w:spacing w:after="0"/>
      </w:pPr>
      <w:r>
        <w:separator/>
      </w:r>
    </w:p>
  </w:endnote>
  <w:endnote w:type="continuationSeparator" w:id="0">
    <w:p w14:paraId="27D49439" w14:textId="77777777" w:rsidR="009656E2" w:rsidRDefault="00965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7B5C9" w14:textId="77777777" w:rsidR="009656E2" w:rsidRDefault="009656E2">
      <w:r>
        <w:separator/>
      </w:r>
    </w:p>
  </w:footnote>
  <w:footnote w:type="continuationSeparator" w:id="0">
    <w:p w14:paraId="22BC72E3" w14:textId="77777777" w:rsidR="009656E2" w:rsidRDefault="00965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F69BA"/>
    <w:multiLevelType w:val="multilevel"/>
    <w:tmpl w:val="601807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F7CF405"/>
    <w:multiLevelType w:val="multilevel"/>
    <w:tmpl w:val="1CB2603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1A379D0"/>
    <w:multiLevelType w:val="hybridMultilevel"/>
    <w:tmpl w:val="CAB044C0"/>
    <w:lvl w:ilvl="0" w:tplc="B398804C">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A65037F"/>
    <w:multiLevelType w:val="hybridMultilevel"/>
    <w:tmpl w:val="C148A3E0"/>
    <w:lvl w:ilvl="0" w:tplc="61766F82">
      <w:start w:val="1"/>
      <w:numFmt w:val="decimal"/>
      <w:lvlText w:val="Artículo %1.-"/>
      <w:lvlJc w:val="left"/>
      <w:pPr>
        <w:ind w:left="928" w:hanging="360"/>
      </w:pPr>
      <w:rPr>
        <w:rFonts w:ascii="Arial" w:hAnsi="Arial" w:hint="default"/>
        <w:b/>
        <w:i w:val="0"/>
        <w:sz w:val="21"/>
      </w:rPr>
    </w:lvl>
    <w:lvl w:ilvl="1" w:tplc="0C0A0019" w:tentative="1">
      <w:start w:val="1"/>
      <w:numFmt w:val="lowerLetter"/>
      <w:lvlText w:val="%2."/>
      <w:lvlJc w:val="left"/>
      <w:pPr>
        <w:ind w:left="-261" w:hanging="360"/>
      </w:pPr>
    </w:lvl>
    <w:lvl w:ilvl="2" w:tplc="0C0A001B" w:tentative="1">
      <w:start w:val="1"/>
      <w:numFmt w:val="lowerRoman"/>
      <w:lvlText w:val="%3."/>
      <w:lvlJc w:val="right"/>
      <w:pPr>
        <w:ind w:left="459" w:hanging="180"/>
      </w:pPr>
    </w:lvl>
    <w:lvl w:ilvl="3" w:tplc="0C0A000F" w:tentative="1">
      <w:start w:val="1"/>
      <w:numFmt w:val="decimal"/>
      <w:lvlText w:val="%4."/>
      <w:lvlJc w:val="left"/>
      <w:pPr>
        <w:ind w:left="1179" w:hanging="360"/>
      </w:pPr>
    </w:lvl>
    <w:lvl w:ilvl="4" w:tplc="0C0A0019" w:tentative="1">
      <w:start w:val="1"/>
      <w:numFmt w:val="lowerLetter"/>
      <w:lvlText w:val="%5."/>
      <w:lvlJc w:val="left"/>
      <w:pPr>
        <w:ind w:left="1899" w:hanging="360"/>
      </w:pPr>
    </w:lvl>
    <w:lvl w:ilvl="5" w:tplc="0C0A001B" w:tentative="1">
      <w:start w:val="1"/>
      <w:numFmt w:val="lowerRoman"/>
      <w:lvlText w:val="%6."/>
      <w:lvlJc w:val="right"/>
      <w:pPr>
        <w:ind w:left="2619" w:hanging="180"/>
      </w:pPr>
    </w:lvl>
    <w:lvl w:ilvl="6" w:tplc="0C0A000F" w:tentative="1">
      <w:start w:val="1"/>
      <w:numFmt w:val="decimal"/>
      <w:lvlText w:val="%7."/>
      <w:lvlJc w:val="left"/>
      <w:pPr>
        <w:ind w:left="3339" w:hanging="360"/>
      </w:pPr>
    </w:lvl>
    <w:lvl w:ilvl="7" w:tplc="0C0A0019" w:tentative="1">
      <w:start w:val="1"/>
      <w:numFmt w:val="lowerLetter"/>
      <w:lvlText w:val="%8."/>
      <w:lvlJc w:val="left"/>
      <w:pPr>
        <w:ind w:left="4059" w:hanging="360"/>
      </w:pPr>
    </w:lvl>
    <w:lvl w:ilvl="8" w:tplc="0C0A001B" w:tentative="1">
      <w:start w:val="1"/>
      <w:numFmt w:val="lowerRoman"/>
      <w:lvlText w:val="%9."/>
      <w:lvlJc w:val="right"/>
      <w:pPr>
        <w:ind w:left="4779" w:hanging="180"/>
      </w:pPr>
    </w:lvl>
  </w:abstractNum>
  <w:abstractNum w:abstractNumId="4">
    <w:nsid w:val="224DCD88"/>
    <w:multiLevelType w:val="multilevel"/>
    <w:tmpl w:val="A9FCD8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nsid w:val="245E54D9"/>
    <w:multiLevelType w:val="hybridMultilevel"/>
    <w:tmpl w:val="C2BEA67C"/>
    <w:lvl w:ilvl="0" w:tplc="280A001B">
      <w:start w:val="1"/>
      <w:numFmt w:val="lowerRoman"/>
      <w:lvlText w:val="%1."/>
      <w:lvlJc w:val="righ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nsid w:val="275E746B"/>
    <w:multiLevelType w:val="multilevel"/>
    <w:tmpl w:val="56209EF6"/>
    <w:lvl w:ilvl="0">
      <w:start w:val="1"/>
      <w:numFmt w:val="lowerLetter"/>
      <w:lvlText w:val="%1."/>
      <w:lvlJc w:val="left"/>
      <w:pPr>
        <w:tabs>
          <w:tab w:val="num" w:pos="502"/>
        </w:tabs>
        <w:ind w:left="502" w:hanging="360"/>
      </w:pPr>
      <w:rPr>
        <w:rFonts w:ascii="Arial" w:hAnsi="Arial" w:cs="Arial" w:hint="default"/>
        <w:b/>
        <w:sz w:val="21"/>
        <w:szCs w:val="21"/>
      </w:rPr>
    </w:lvl>
    <w:lvl w:ilvl="1">
      <w:start w:val="1"/>
      <w:numFmt w:val="decimal"/>
      <w:lvlText w:val="%2."/>
      <w:lvlJc w:val="left"/>
      <w:pPr>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7">
    <w:nsid w:val="30DB011A"/>
    <w:multiLevelType w:val="hybridMultilevel"/>
    <w:tmpl w:val="C2BEA67C"/>
    <w:lvl w:ilvl="0" w:tplc="280A001B">
      <w:start w:val="1"/>
      <w:numFmt w:val="lowerRoman"/>
      <w:lvlText w:val="%1."/>
      <w:lvlJc w:val="right"/>
      <w:pPr>
        <w:ind w:left="1430" w:hanging="360"/>
      </w:pPr>
    </w:lvl>
    <w:lvl w:ilvl="1" w:tplc="280A0019" w:tentative="1">
      <w:start w:val="1"/>
      <w:numFmt w:val="lowerLetter"/>
      <w:lvlText w:val="%2."/>
      <w:lvlJc w:val="left"/>
      <w:pPr>
        <w:ind w:left="2150" w:hanging="360"/>
      </w:pPr>
    </w:lvl>
    <w:lvl w:ilvl="2" w:tplc="280A001B" w:tentative="1">
      <w:start w:val="1"/>
      <w:numFmt w:val="lowerRoman"/>
      <w:lvlText w:val="%3."/>
      <w:lvlJc w:val="right"/>
      <w:pPr>
        <w:ind w:left="2870" w:hanging="180"/>
      </w:pPr>
    </w:lvl>
    <w:lvl w:ilvl="3" w:tplc="280A000F" w:tentative="1">
      <w:start w:val="1"/>
      <w:numFmt w:val="decimal"/>
      <w:lvlText w:val="%4."/>
      <w:lvlJc w:val="left"/>
      <w:pPr>
        <w:ind w:left="3590" w:hanging="360"/>
      </w:pPr>
    </w:lvl>
    <w:lvl w:ilvl="4" w:tplc="280A0019" w:tentative="1">
      <w:start w:val="1"/>
      <w:numFmt w:val="lowerLetter"/>
      <w:lvlText w:val="%5."/>
      <w:lvlJc w:val="left"/>
      <w:pPr>
        <w:ind w:left="4310" w:hanging="360"/>
      </w:pPr>
    </w:lvl>
    <w:lvl w:ilvl="5" w:tplc="280A001B" w:tentative="1">
      <w:start w:val="1"/>
      <w:numFmt w:val="lowerRoman"/>
      <w:lvlText w:val="%6."/>
      <w:lvlJc w:val="right"/>
      <w:pPr>
        <w:ind w:left="5030" w:hanging="180"/>
      </w:pPr>
    </w:lvl>
    <w:lvl w:ilvl="6" w:tplc="280A000F" w:tentative="1">
      <w:start w:val="1"/>
      <w:numFmt w:val="decimal"/>
      <w:lvlText w:val="%7."/>
      <w:lvlJc w:val="left"/>
      <w:pPr>
        <w:ind w:left="5750" w:hanging="360"/>
      </w:pPr>
    </w:lvl>
    <w:lvl w:ilvl="7" w:tplc="280A0019" w:tentative="1">
      <w:start w:val="1"/>
      <w:numFmt w:val="lowerLetter"/>
      <w:lvlText w:val="%8."/>
      <w:lvlJc w:val="left"/>
      <w:pPr>
        <w:ind w:left="6470" w:hanging="360"/>
      </w:pPr>
    </w:lvl>
    <w:lvl w:ilvl="8" w:tplc="280A001B" w:tentative="1">
      <w:start w:val="1"/>
      <w:numFmt w:val="lowerRoman"/>
      <w:lvlText w:val="%9."/>
      <w:lvlJc w:val="right"/>
      <w:pPr>
        <w:ind w:left="7190" w:hanging="180"/>
      </w:pPr>
    </w:lvl>
  </w:abstractNum>
  <w:abstractNum w:abstractNumId="8">
    <w:nsid w:val="353B5120"/>
    <w:multiLevelType w:val="hybridMultilevel"/>
    <w:tmpl w:val="0BC84A9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9">
    <w:nsid w:val="35BF28BB"/>
    <w:multiLevelType w:val="hybridMultilevel"/>
    <w:tmpl w:val="A4B43392"/>
    <w:lvl w:ilvl="0" w:tplc="57ACF49C">
      <w:start w:val="1"/>
      <w:numFmt w:val="decimal"/>
      <w:lvlText w:val="3.%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6CC179C"/>
    <w:multiLevelType w:val="hybridMultilevel"/>
    <w:tmpl w:val="25BAB12C"/>
    <w:lvl w:ilvl="0" w:tplc="9A3EE2C2">
      <w:start w:val="1"/>
      <w:numFmt w:val="decimal"/>
      <w:lvlText w:val="4.%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5BBE58A6"/>
    <w:multiLevelType w:val="hybridMultilevel"/>
    <w:tmpl w:val="640EFAD2"/>
    <w:lvl w:ilvl="0" w:tplc="280A0001">
      <w:start w:val="1"/>
      <w:numFmt w:val="bullet"/>
      <w:lvlText w:val=""/>
      <w:lvlJc w:val="left"/>
      <w:pPr>
        <w:ind w:left="778" w:hanging="360"/>
      </w:pPr>
      <w:rPr>
        <w:rFonts w:ascii="Symbol" w:hAnsi="Symbol" w:hint="default"/>
      </w:rPr>
    </w:lvl>
    <w:lvl w:ilvl="1" w:tplc="280A0003" w:tentative="1">
      <w:start w:val="1"/>
      <w:numFmt w:val="bullet"/>
      <w:lvlText w:val="o"/>
      <w:lvlJc w:val="left"/>
      <w:pPr>
        <w:ind w:left="1498" w:hanging="360"/>
      </w:pPr>
      <w:rPr>
        <w:rFonts w:ascii="Courier New" w:hAnsi="Courier New" w:cs="Courier New" w:hint="default"/>
      </w:rPr>
    </w:lvl>
    <w:lvl w:ilvl="2" w:tplc="280A0005" w:tentative="1">
      <w:start w:val="1"/>
      <w:numFmt w:val="bullet"/>
      <w:lvlText w:val=""/>
      <w:lvlJc w:val="left"/>
      <w:pPr>
        <w:ind w:left="2218" w:hanging="360"/>
      </w:pPr>
      <w:rPr>
        <w:rFonts w:ascii="Wingdings" w:hAnsi="Wingdings" w:hint="default"/>
      </w:rPr>
    </w:lvl>
    <w:lvl w:ilvl="3" w:tplc="280A0001" w:tentative="1">
      <w:start w:val="1"/>
      <w:numFmt w:val="bullet"/>
      <w:lvlText w:val=""/>
      <w:lvlJc w:val="left"/>
      <w:pPr>
        <w:ind w:left="2938" w:hanging="360"/>
      </w:pPr>
      <w:rPr>
        <w:rFonts w:ascii="Symbol" w:hAnsi="Symbol" w:hint="default"/>
      </w:rPr>
    </w:lvl>
    <w:lvl w:ilvl="4" w:tplc="280A0003" w:tentative="1">
      <w:start w:val="1"/>
      <w:numFmt w:val="bullet"/>
      <w:lvlText w:val="o"/>
      <w:lvlJc w:val="left"/>
      <w:pPr>
        <w:ind w:left="3658" w:hanging="360"/>
      </w:pPr>
      <w:rPr>
        <w:rFonts w:ascii="Courier New" w:hAnsi="Courier New" w:cs="Courier New" w:hint="default"/>
      </w:rPr>
    </w:lvl>
    <w:lvl w:ilvl="5" w:tplc="280A0005" w:tentative="1">
      <w:start w:val="1"/>
      <w:numFmt w:val="bullet"/>
      <w:lvlText w:val=""/>
      <w:lvlJc w:val="left"/>
      <w:pPr>
        <w:ind w:left="4378" w:hanging="360"/>
      </w:pPr>
      <w:rPr>
        <w:rFonts w:ascii="Wingdings" w:hAnsi="Wingdings" w:hint="default"/>
      </w:rPr>
    </w:lvl>
    <w:lvl w:ilvl="6" w:tplc="280A0001" w:tentative="1">
      <w:start w:val="1"/>
      <w:numFmt w:val="bullet"/>
      <w:lvlText w:val=""/>
      <w:lvlJc w:val="left"/>
      <w:pPr>
        <w:ind w:left="5098" w:hanging="360"/>
      </w:pPr>
      <w:rPr>
        <w:rFonts w:ascii="Symbol" w:hAnsi="Symbol" w:hint="default"/>
      </w:rPr>
    </w:lvl>
    <w:lvl w:ilvl="7" w:tplc="280A0003" w:tentative="1">
      <w:start w:val="1"/>
      <w:numFmt w:val="bullet"/>
      <w:lvlText w:val="o"/>
      <w:lvlJc w:val="left"/>
      <w:pPr>
        <w:ind w:left="5818" w:hanging="360"/>
      </w:pPr>
      <w:rPr>
        <w:rFonts w:ascii="Courier New" w:hAnsi="Courier New" w:cs="Courier New" w:hint="default"/>
      </w:rPr>
    </w:lvl>
    <w:lvl w:ilvl="8" w:tplc="280A0005" w:tentative="1">
      <w:start w:val="1"/>
      <w:numFmt w:val="bullet"/>
      <w:lvlText w:val=""/>
      <w:lvlJc w:val="left"/>
      <w:pPr>
        <w:ind w:left="6538" w:hanging="360"/>
      </w:pPr>
      <w:rPr>
        <w:rFonts w:ascii="Wingdings" w:hAnsi="Wingdings" w:hint="default"/>
      </w:rPr>
    </w:lvl>
  </w:abstractNum>
  <w:abstractNum w:abstractNumId="12">
    <w:nsid w:val="70AF3BB3"/>
    <w:multiLevelType w:val="hybridMultilevel"/>
    <w:tmpl w:val="7CB4A32E"/>
    <w:lvl w:ilvl="0" w:tplc="57ACF49C">
      <w:start w:val="1"/>
      <w:numFmt w:val="decimal"/>
      <w:lvlText w:val="3.%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E567C9E"/>
    <w:multiLevelType w:val="hybridMultilevel"/>
    <w:tmpl w:val="9E4078CC"/>
    <w:lvl w:ilvl="0" w:tplc="1540AD52">
      <w:start w:val="2"/>
      <w:numFmt w:val="bullet"/>
      <w:lvlText w:val="-"/>
      <w:lvlJc w:val="left"/>
      <w:pPr>
        <w:ind w:left="1138" w:hanging="360"/>
      </w:pPr>
      <w:rPr>
        <w:rFonts w:ascii="Arial" w:eastAsiaTheme="minorHAnsi" w:hAnsi="Arial" w:cs="Arial" w:hint="default"/>
      </w:rPr>
    </w:lvl>
    <w:lvl w:ilvl="1" w:tplc="280A0003" w:tentative="1">
      <w:start w:val="1"/>
      <w:numFmt w:val="bullet"/>
      <w:lvlText w:val="o"/>
      <w:lvlJc w:val="left"/>
      <w:pPr>
        <w:ind w:left="1858" w:hanging="360"/>
      </w:pPr>
      <w:rPr>
        <w:rFonts w:ascii="Courier New" w:hAnsi="Courier New" w:cs="Courier New" w:hint="default"/>
      </w:rPr>
    </w:lvl>
    <w:lvl w:ilvl="2" w:tplc="280A0005" w:tentative="1">
      <w:start w:val="1"/>
      <w:numFmt w:val="bullet"/>
      <w:lvlText w:val=""/>
      <w:lvlJc w:val="left"/>
      <w:pPr>
        <w:ind w:left="2578" w:hanging="360"/>
      </w:pPr>
      <w:rPr>
        <w:rFonts w:ascii="Wingdings" w:hAnsi="Wingdings" w:hint="default"/>
      </w:rPr>
    </w:lvl>
    <w:lvl w:ilvl="3" w:tplc="280A0001" w:tentative="1">
      <w:start w:val="1"/>
      <w:numFmt w:val="bullet"/>
      <w:lvlText w:val=""/>
      <w:lvlJc w:val="left"/>
      <w:pPr>
        <w:ind w:left="3298" w:hanging="360"/>
      </w:pPr>
      <w:rPr>
        <w:rFonts w:ascii="Symbol" w:hAnsi="Symbol" w:hint="default"/>
      </w:rPr>
    </w:lvl>
    <w:lvl w:ilvl="4" w:tplc="280A0003" w:tentative="1">
      <w:start w:val="1"/>
      <w:numFmt w:val="bullet"/>
      <w:lvlText w:val="o"/>
      <w:lvlJc w:val="left"/>
      <w:pPr>
        <w:ind w:left="4018" w:hanging="360"/>
      </w:pPr>
      <w:rPr>
        <w:rFonts w:ascii="Courier New" w:hAnsi="Courier New" w:cs="Courier New" w:hint="default"/>
      </w:rPr>
    </w:lvl>
    <w:lvl w:ilvl="5" w:tplc="280A0005" w:tentative="1">
      <w:start w:val="1"/>
      <w:numFmt w:val="bullet"/>
      <w:lvlText w:val=""/>
      <w:lvlJc w:val="left"/>
      <w:pPr>
        <w:ind w:left="4738" w:hanging="360"/>
      </w:pPr>
      <w:rPr>
        <w:rFonts w:ascii="Wingdings" w:hAnsi="Wingdings" w:hint="default"/>
      </w:rPr>
    </w:lvl>
    <w:lvl w:ilvl="6" w:tplc="280A0001" w:tentative="1">
      <w:start w:val="1"/>
      <w:numFmt w:val="bullet"/>
      <w:lvlText w:val=""/>
      <w:lvlJc w:val="left"/>
      <w:pPr>
        <w:ind w:left="5458" w:hanging="360"/>
      </w:pPr>
      <w:rPr>
        <w:rFonts w:ascii="Symbol" w:hAnsi="Symbol" w:hint="default"/>
      </w:rPr>
    </w:lvl>
    <w:lvl w:ilvl="7" w:tplc="280A0003" w:tentative="1">
      <w:start w:val="1"/>
      <w:numFmt w:val="bullet"/>
      <w:lvlText w:val="o"/>
      <w:lvlJc w:val="left"/>
      <w:pPr>
        <w:ind w:left="6178" w:hanging="360"/>
      </w:pPr>
      <w:rPr>
        <w:rFonts w:ascii="Courier New" w:hAnsi="Courier New" w:cs="Courier New" w:hint="default"/>
      </w:rPr>
    </w:lvl>
    <w:lvl w:ilvl="8" w:tplc="280A0005" w:tentative="1">
      <w:start w:val="1"/>
      <w:numFmt w:val="bullet"/>
      <w:lvlText w:val=""/>
      <w:lvlJc w:val="left"/>
      <w:pPr>
        <w:ind w:left="6898" w:hanging="360"/>
      </w:pPr>
      <w:rPr>
        <w:rFonts w:ascii="Wingdings" w:hAnsi="Wingdings" w:hint="default"/>
      </w:r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8"/>
  </w:num>
  <w:num w:numId="10">
    <w:abstractNumId w:val="12"/>
  </w:num>
  <w:num w:numId="11">
    <w:abstractNumId w:val="5"/>
  </w:num>
  <w:num w:numId="12">
    <w:abstractNumId w:val="10"/>
  </w:num>
  <w:num w:numId="13">
    <w:abstractNumId w:val="11"/>
  </w:num>
  <w:num w:numId="14">
    <w:abstractNumId w:val="13"/>
  </w:num>
  <w:num w:numId="15">
    <w:abstractNumId w:val="7"/>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rson w15:author="Rene Emanuel Bravo Cruz">
    <w15:presenceInfo w15:providerId="AD" w15:userId="S-1-5-21-1597307029-1899206718-924325458-14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02C7A"/>
    <w:rsid w:val="00011C8B"/>
    <w:rsid w:val="00035D75"/>
    <w:rsid w:val="00036E40"/>
    <w:rsid w:val="00053AAD"/>
    <w:rsid w:val="000603E9"/>
    <w:rsid w:val="00073C3E"/>
    <w:rsid w:val="000760B2"/>
    <w:rsid w:val="000910F9"/>
    <w:rsid w:val="00091DAC"/>
    <w:rsid w:val="000A3958"/>
    <w:rsid w:val="000B42D2"/>
    <w:rsid w:val="000C2FF0"/>
    <w:rsid w:val="000C6804"/>
    <w:rsid w:val="000E036B"/>
    <w:rsid w:val="000E66EA"/>
    <w:rsid w:val="000F16C7"/>
    <w:rsid w:val="001022B3"/>
    <w:rsid w:val="00115F7F"/>
    <w:rsid w:val="00120902"/>
    <w:rsid w:val="00153567"/>
    <w:rsid w:val="00156063"/>
    <w:rsid w:val="00177C0A"/>
    <w:rsid w:val="001818FF"/>
    <w:rsid w:val="00183A81"/>
    <w:rsid w:val="00196556"/>
    <w:rsid w:val="00196904"/>
    <w:rsid w:val="001A37D1"/>
    <w:rsid w:val="001A3FAB"/>
    <w:rsid w:val="001E6477"/>
    <w:rsid w:val="00200D45"/>
    <w:rsid w:val="00206098"/>
    <w:rsid w:val="0022457C"/>
    <w:rsid w:val="002369CC"/>
    <w:rsid w:val="00251329"/>
    <w:rsid w:val="00257D4F"/>
    <w:rsid w:val="00257E0A"/>
    <w:rsid w:val="002A149A"/>
    <w:rsid w:val="002B5285"/>
    <w:rsid w:val="002C07DC"/>
    <w:rsid w:val="002C274E"/>
    <w:rsid w:val="002D68C9"/>
    <w:rsid w:val="002E0045"/>
    <w:rsid w:val="002E5D32"/>
    <w:rsid w:val="002F3F70"/>
    <w:rsid w:val="002F5215"/>
    <w:rsid w:val="002F7F48"/>
    <w:rsid w:val="003155F6"/>
    <w:rsid w:val="003202C4"/>
    <w:rsid w:val="0032531D"/>
    <w:rsid w:val="0033035F"/>
    <w:rsid w:val="00340C12"/>
    <w:rsid w:val="003463F2"/>
    <w:rsid w:val="00357911"/>
    <w:rsid w:val="00357B9A"/>
    <w:rsid w:val="003610B1"/>
    <w:rsid w:val="0037598E"/>
    <w:rsid w:val="003776AF"/>
    <w:rsid w:val="003A591B"/>
    <w:rsid w:val="003E496F"/>
    <w:rsid w:val="004102BB"/>
    <w:rsid w:val="00414228"/>
    <w:rsid w:val="00420FCB"/>
    <w:rsid w:val="00422C5B"/>
    <w:rsid w:val="004246EB"/>
    <w:rsid w:val="0043416F"/>
    <w:rsid w:val="004512CA"/>
    <w:rsid w:val="00464FD7"/>
    <w:rsid w:val="00482DC7"/>
    <w:rsid w:val="0049664B"/>
    <w:rsid w:val="004A243F"/>
    <w:rsid w:val="004B0326"/>
    <w:rsid w:val="004C7D7F"/>
    <w:rsid w:val="004D63A7"/>
    <w:rsid w:val="004E29B3"/>
    <w:rsid w:val="004E34A7"/>
    <w:rsid w:val="004F43FD"/>
    <w:rsid w:val="00534DCA"/>
    <w:rsid w:val="00540621"/>
    <w:rsid w:val="00542D25"/>
    <w:rsid w:val="00590D07"/>
    <w:rsid w:val="00594059"/>
    <w:rsid w:val="00595B66"/>
    <w:rsid w:val="005A6EA4"/>
    <w:rsid w:val="005A6F7E"/>
    <w:rsid w:val="005F1D50"/>
    <w:rsid w:val="005F3CC0"/>
    <w:rsid w:val="006077ED"/>
    <w:rsid w:val="00614E56"/>
    <w:rsid w:val="006279BC"/>
    <w:rsid w:val="0063288C"/>
    <w:rsid w:val="006336D5"/>
    <w:rsid w:val="00636DE9"/>
    <w:rsid w:val="006437B9"/>
    <w:rsid w:val="006525C2"/>
    <w:rsid w:val="00666A7B"/>
    <w:rsid w:val="00680786"/>
    <w:rsid w:val="00681191"/>
    <w:rsid w:val="006A3F38"/>
    <w:rsid w:val="00702801"/>
    <w:rsid w:val="00751FB2"/>
    <w:rsid w:val="00784D58"/>
    <w:rsid w:val="00796637"/>
    <w:rsid w:val="007A3D57"/>
    <w:rsid w:val="007A543B"/>
    <w:rsid w:val="007C2BE1"/>
    <w:rsid w:val="007D4069"/>
    <w:rsid w:val="007D6E7C"/>
    <w:rsid w:val="007E7371"/>
    <w:rsid w:val="008345D3"/>
    <w:rsid w:val="0084580A"/>
    <w:rsid w:val="00845A5F"/>
    <w:rsid w:val="00846D86"/>
    <w:rsid w:val="0085253A"/>
    <w:rsid w:val="00887729"/>
    <w:rsid w:val="008A3252"/>
    <w:rsid w:val="008C345D"/>
    <w:rsid w:val="008D01FB"/>
    <w:rsid w:val="008D12B1"/>
    <w:rsid w:val="008D6863"/>
    <w:rsid w:val="00911248"/>
    <w:rsid w:val="00954CA9"/>
    <w:rsid w:val="009656E2"/>
    <w:rsid w:val="00970AE9"/>
    <w:rsid w:val="00971655"/>
    <w:rsid w:val="0098636D"/>
    <w:rsid w:val="00991064"/>
    <w:rsid w:val="009925EE"/>
    <w:rsid w:val="009B7F8E"/>
    <w:rsid w:val="009D690C"/>
    <w:rsid w:val="009F1695"/>
    <w:rsid w:val="009F33E9"/>
    <w:rsid w:val="009F50A8"/>
    <w:rsid w:val="00A12BBF"/>
    <w:rsid w:val="00A15089"/>
    <w:rsid w:val="00A22DB9"/>
    <w:rsid w:val="00A557B1"/>
    <w:rsid w:val="00A579CF"/>
    <w:rsid w:val="00A60CA2"/>
    <w:rsid w:val="00A60F18"/>
    <w:rsid w:val="00A76223"/>
    <w:rsid w:val="00A86DC8"/>
    <w:rsid w:val="00A9484C"/>
    <w:rsid w:val="00AA4AE4"/>
    <w:rsid w:val="00AC1B5F"/>
    <w:rsid w:val="00AD2FE2"/>
    <w:rsid w:val="00AE5BF0"/>
    <w:rsid w:val="00AF2555"/>
    <w:rsid w:val="00B005B7"/>
    <w:rsid w:val="00B063B8"/>
    <w:rsid w:val="00B352C2"/>
    <w:rsid w:val="00B42740"/>
    <w:rsid w:val="00B510BC"/>
    <w:rsid w:val="00B52387"/>
    <w:rsid w:val="00B54AAC"/>
    <w:rsid w:val="00B62E9C"/>
    <w:rsid w:val="00B81596"/>
    <w:rsid w:val="00B86B75"/>
    <w:rsid w:val="00BA22A9"/>
    <w:rsid w:val="00BC48D5"/>
    <w:rsid w:val="00BD5327"/>
    <w:rsid w:val="00BD699F"/>
    <w:rsid w:val="00BD76D4"/>
    <w:rsid w:val="00C01341"/>
    <w:rsid w:val="00C03892"/>
    <w:rsid w:val="00C049F1"/>
    <w:rsid w:val="00C05C39"/>
    <w:rsid w:val="00C12915"/>
    <w:rsid w:val="00C163BC"/>
    <w:rsid w:val="00C330DA"/>
    <w:rsid w:val="00C36279"/>
    <w:rsid w:val="00C42B0E"/>
    <w:rsid w:val="00C52FB3"/>
    <w:rsid w:val="00C76886"/>
    <w:rsid w:val="00C94684"/>
    <w:rsid w:val="00CB2582"/>
    <w:rsid w:val="00CC1244"/>
    <w:rsid w:val="00CC3CC4"/>
    <w:rsid w:val="00CC7BAD"/>
    <w:rsid w:val="00CF29FF"/>
    <w:rsid w:val="00CF6752"/>
    <w:rsid w:val="00D01487"/>
    <w:rsid w:val="00D067E0"/>
    <w:rsid w:val="00D169DA"/>
    <w:rsid w:val="00D3161E"/>
    <w:rsid w:val="00D46E82"/>
    <w:rsid w:val="00D728C5"/>
    <w:rsid w:val="00DA486F"/>
    <w:rsid w:val="00DC0B18"/>
    <w:rsid w:val="00DD030D"/>
    <w:rsid w:val="00DF10D0"/>
    <w:rsid w:val="00E1197A"/>
    <w:rsid w:val="00E20790"/>
    <w:rsid w:val="00E2083C"/>
    <w:rsid w:val="00E24201"/>
    <w:rsid w:val="00E315A3"/>
    <w:rsid w:val="00E64AD8"/>
    <w:rsid w:val="00E93AB6"/>
    <w:rsid w:val="00E95397"/>
    <w:rsid w:val="00EA4FA6"/>
    <w:rsid w:val="00EB37D9"/>
    <w:rsid w:val="00EC1D7C"/>
    <w:rsid w:val="00ED4737"/>
    <w:rsid w:val="00EF2844"/>
    <w:rsid w:val="00EF4B0A"/>
    <w:rsid w:val="00F07B3E"/>
    <w:rsid w:val="00F254A1"/>
    <w:rsid w:val="00F279DA"/>
    <w:rsid w:val="00F3330C"/>
    <w:rsid w:val="00F514FD"/>
    <w:rsid w:val="00F5784B"/>
    <w:rsid w:val="00F816BD"/>
    <w:rsid w:val="00F97C39"/>
    <w:rsid w:val="00FC2415"/>
    <w:rsid w:val="00FD7A9B"/>
    <w:rsid w:val="00FE6C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style>
  <w:style w:type="paragraph" w:styleId="Ttulo1">
    <w:name w:val="heading 1"/>
    <w:basedOn w:val="Normal"/>
    <w:next w:val="Textoindependien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Textoindependien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Textoindependien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Textoindependien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Textoindependien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Textoindependien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pPr>
      <w:spacing w:before="100" w:after="100"/>
    </w:pPr>
    <w:rPr>
      <w:rFonts w:asciiTheme="majorHAnsi" w:eastAsiaTheme="majorEastAsia" w:hAnsiTheme="majorHAnsi" w:cstheme="majorBidi"/>
      <w:bCs/>
      <w:sz w:val="20"/>
      <w:szCs w:val="20"/>
    </w:rPr>
  </w:style>
  <w:style w:type="paragraph" w:styleId="Textonotapi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Epgrafe">
    <w:name w:val="caption"/>
    <w:basedOn w:val="Normal"/>
    <w:link w:val="EpgrafeCar"/>
    <w:pPr>
      <w:spacing w:after="120"/>
    </w:pPr>
    <w:rPr>
      <w:i/>
    </w:rPr>
  </w:style>
  <w:style w:type="paragraph" w:customStyle="1" w:styleId="TableCaption">
    <w:name w:val="Table Caption"/>
    <w:basedOn w:val="Epgrafe"/>
    <w:pPr>
      <w:keepNext/>
    </w:pPr>
  </w:style>
  <w:style w:type="paragraph" w:customStyle="1" w:styleId="ImageCaption">
    <w:name w:val="Image Caption"/>
    <w:basedOn w:val="Epgraf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EpgrafeCar">
    <w:name w:val="Epígrafe Car"/>
    <w:basedOn w:val="Fuentedeprrafopredeter"/>
    <w:link w:val="Epgrafe"/>
  </w:style>
  <w:style w:type="character" w:customStyle="1" w:styleId="VerbatimChar">
    <w:name w:val="Verbatim Char"/>
    <w:basedOn w:val="EpgrafeCar"/>
    <w:link w:val="SourceCode"/>
    <w:rPr>
      <w:rFonts w:ascii="Consolas" w:hAnsi="Consolas"/>
      <w:sz w:val="22"/>
    </w:rPr>
  </w:style>
  <w:style w:type="character" w:styleId="Refdenotaalpie">
    <w:name w:val="footnote reference"/>
    <w:basedOn w:val="EpgrafeCar"/>
    <w:rPr>
      <w:vertAlign w:val="superscript"/>
    </w:rPr>
  </w:style>
  <w:style w:type="character" w:styleId="Hipervnculo">
    <w:name w:val="Hyperlink"/>
    <w:basedOn w:val="EpgrafeCar"/>
    <w:rPr>
      <w:color w:val="4F81BD" w:themeColor="accent1"/>
    </w:rPr>
  </w:style>
  <w:style w:type="paragraph" w:styleId="TtulodeTDC">
    <w:name w:val="TOC Heading"/>
    <w:basedOn w:val="Ttulo1"/>
    <w:next w:val="Textoindependien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unhideWhenUsed/>
    <w:rsid w:val="00D46E82"/>
    <w:pPr>
      <w:spacing w:before="100" w:beforeAutospacing="1" w:after="100" w:afterAutospacing="1"/>
    </w:pPr>
    <w:rPr>
      <w:rFonts w:ascii="Times New Roman" w:eastAsiaTheme="minorEastAsia" w:hAnsi="Times New Roman" w:cs="Times New Roman"/>
      <w:lang w:val="es-PE" w:eastAsia="es-PE"/>
    </w:rPr>
  </w:style>
  <w:style w:type="character" w:customStyle="1" w:styleId="decretossupremos">
    <w:name w:val="decretossupremos"/>
    <w:basedOn w:val="Fuentedeprrafopredeter"/>
    <w:rsid w:val="00D46E82"/>
  </w:style>
  <w:style w:type="paragraph" w:styleId="Textodeglobo">
    <w:name w:val="Balloon Text"/>
    <w:basedOn w:val="Normal"/>
    <w:link w:val="TextodegloboCar"/>
    <w:rsid w:val="002E5D32"/>
    <w:pPr>
      <w:spacing w:after="0"/>
    </w:pPr>
    <w:rPr>
      <w:rFonts w:ascii="Tahoma" w:hAnsi="Tahoma" w:cs="Tahoma"/>
      <w:sz w:val="16"/>
      <w:szCs w:val="16"/>
    </w:rPr>
  </w:style>
  <w:style w:type="character" w:customStyle="1" w:styleId="TextodegloboCar">
    <w:name w:val="Texto de globo Car"/>
    <w:basedOn w:val="Fuentedeprrafopredeter"/>
    <w:link w:val="Textodeglobo"/>
    <w:rsid w:val="002E5D32"/>
    <w:rPr>
      <w:rFonts w:ascii="Tahoma" w:hAnsi="Tahoma" w:cs="Tahoma"/>
      <w:sz w:val="16"/>
      <w:szCs w:val="16"/>
    </w:rPr>
  </w:style>
  <w:style w:type="paragraph" w:styleId="Prrafodelista">
    <w:name w:val="List Paragraph"/>
    <w:aliases w:val="Bolita,Párrafo de lista3,Párrafo de lista21,BOLA,Cuadro 2-1,Lista 123,Párrafo de lista2,List Paragraph,Párrafo de lista1,Párrafo de lista11,Lista Numerada 1,Gráfico 1.,FIGURA 5,Título Tablas y Figuras,Viñeta A Alquim,Viñeta A,FOTOGRAFIA"/>
    <w:basedOn w:val="Normal"/>
    <w:link w:val="PrrafodelistaCar"/>
    <w:uiPriority w:val="34"/>
    <w:qFormat/>
    <w:rsid w:val="004B0326"/>
    <w:pPr>
      <w:spacing w:line="276" w:lineRule="auto"/>
      <w:ind w:left="720"/>
      <w:contextualSpacing/>
    </w:pPr>
    <w:rPr>
      <w:sz w:val="22"/>
      <w:szCs w:val="22"/>
      <w:lang w:val="es-PE"/>
    </w:rPr>
  </w:style>
  <w:style w:type="character" w:customStyle="1" w:styleId="PrrafodelistaCar">
    <w:name w:val="Párrafo de lista Car"/>
    <w:aliases w:val="Bolita Car,Párrafo de lista3 Car,Párrafo de lista21 Car,BOLA Car,Cuadro 2-1 Car,Lista 123 Car,Párrafo de lista2 Car,List Paragraph Car,Párrafo de lista1 Car,Párrafo de lista11 Car,Lista Numerada 1 Car,Gráfico 1. Car,FIGURA 5 Car"/>
    <w:link w:val="Prrafodelista"/>
    <w:uiPriority w:val="34"/>
    <w:qFormat/>
    <w:locked/>
    <w:rsid w:val="004B0326"/>
    <w:rPr>
      <w:sz w:val="22"/>
      <w:szCs w:val="22"/>
      <w:lang w:val="es-PE"/>
    </w:rPr>
  </w:style>
  <w:style w:type="character" w:customStyle="1" w:styleId="TextoindependienteCar">
    <w:name w:val="Texto independiente Car"/>
    <w:basedOn w:val="Fuentedeprrafopredeter"/>
    <w:link w:val="Textoindependiente"/>
    <w:rsid w:val="000E66EA"/>
  </w:style>
  <w:style w:type="character" w:styleId="nfasis">
    <w:name w:val="Emphasis"/>
    <w:basedOn w:val="Fuentedeprrafopredeter"/>
    <w:uiPriority w:val="20"/>
    <w:qFormat/>
    <w:rsid w:val="00F514FD"/>
    <w:rPr>
      <w:i/>
      <w:iCs/>
    </w:rPr>
  </w:style>
  <w:style w:type="paragraph" w:customStyle="1" w:styleId="Textoindependiente22">
    <w:name w:val="Texto independiente 22"/>
    <w:basedOn w:val="Normal"/>
    <w:rsid w:val="00971655"/>
    <w:pPr>
      <w:spacing w:after="0"/>
    </w:pPr>
    <w:rPr>
      <w:rFonts w:ascii="Arial" w:eastAsia="Times New Roman" w:hAnsi="Arial" w:cs="Times New Roman"/>
      <w:szCs w:val="20"/>
      <w:lang w:val="es-ES" w:eastAsia="es-ES"/>
    </w:rPr>
  </w:style>
  <w:style w:type="character" w:styleId="Refdecomentario">
    <w:name w:val="annotation reference"/>
    <w:basedOn w:val="Fuentedeprrafopredeter"/>
    <w:semiHidden/>
    <w:unhideWhenUsed/>
    <w:rsid w:val="00540621"/>
    <w:rPr>
      <w:sz w:val="16"/>
      <w:szCs w:val="16"/>
    </w:rPr>
  </w:style>
  <w:style w:type="paragraph" w:styleId="Textocomentario">
    <w:name w:val="annotation text"/>
    <w:basedOn w:val="Normal"/>
    <w:link w:val="TextocomentarioCar"/>
    <w:semiHidden/>
    <w:unhideWhenUsed/>
    <w:rsid w:val="00540621"/>
    <w:rPr>
      <w:sz w:val="20"/>
      <w:szCs w:val="20"/>
    </w:rPr>
  </w:style>
  <w:style w:type="character" w:customStyle="1" w:styleId="TextocomentarioCar">
    <w:name w:val="Texto comentario Car"/>
    <w:basedOn w:val="Fuentedeprrafopredeter"/>
    <w:link w:val="Textocomentario"/>
    <w:semiHidden/>
    <w:rsid w:val="00540621"/>
    <w:rPr>
      <w:sz w:val="20"/>
      <w:szCs w:val="20"/>
    </w:rPr>
  </w:style>
  <w:style w:type="paragraph" w:styleId="Asuntodelcomentario">
    <w:name w:val="annotation subject"/>
    <w:basedOn w:val="Textocomentario"/>
    <w:next w:val="Textocomentario"/>
    <w:link w:val="AsuntodelcomentarioCar"/>
    <w:semiHidden/>
    <w:unhideWhenUsed/>
    <w:rsid w:val="00540621"/>
    <w:rPr>
      <w:b/>
      <w:bCs/>
    </w:rPr>
  </w:style>
  <w:style w:type="character" w:customStyle="1" w:styleId="AsuntodelcomentarioCar">
    <w:name w:val="Asunto del comentario Car"/>
    <w:basedOn w:val="TextocomentarioCar"/>
    <w:link w:val="Asuntodelcomentario"/>
    <w:semiHidden/>
    <w:rsid w:val="005406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style>
  <w:style w:type="paragraph" w:styleId="Ttulo1">
    <w:name w:val="heading 1"/>
    <w:basedOn w:val="Normal"/>
    <w:next w:val="Textoindependien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Textoindependien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Textoindependien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Textoindependien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Textoindependien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Textoindependien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pPr>
      <w:spacing w:before="100" w:after="100"/>
    </w:pPr>
    <w:rPr>
      <w:rFonts w:asciiTheme="majorHAnsi" w:eastAsiaTheme="majorEastAsia" w:hAnsiTheme="majorHAnsi" w:cstheme="majorBidi"/>
      <w:bCs/>
      <w:sz w:val="20"/>
      <w:szCs w:val="20"/>
    </w:rPr>
  </w:style>
  <w:style w:type="paragraph" w:styleId="Textonotapi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Epgrafe">
    <w:name w:val="caption"/>
    <w:basedOn w:val="Normal"/>
    <w:link w:val="EpgrafeCar"/>
    <w:pPr>
      <w:spacing w:after="120"/>
    </w:pPr>
    <w:rPr>
      <w:i/>
    </w:rPr>
  </w:style>
  <w:style w:type="paragraph" w:customStyle="1" w:styleId="TableCaption">
    <w:name w:val="Table Caption"/>
    <w:basedOn w:val="Epgrafe"/>
    <w:pPr>
      <w:keepNext/>
    </w:pPr>
  </w:style>
  <w:style w:type="paragraph" w:customStyle="1" w:styleId="ImageCaption">
    <w:name w:val="Image Caption"/>
    <w:basedOn w:val="Epgraf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EpgrafeCar">
    <w:name w:val="Epígrafe Car"/>
    <w:basedOn w:val="Fuentedeprrafopredeter"/>
    <w:link w:val="Epgrafe"/>
  </w:style>
  <w:style w:type="character" w:customStyle="1" w:styleId="VerbatimChar">
    <w:name w:val="Verbatim Char"/>
    <w:basedOn w:val="EpgrafeCar"/>
    <w:link w:val="SourceCode"/>
    <w:rPr>
      <w:rFonts w:ascii="Consolas" w:hAnsi="Consolas"/>
      <w:sz w:val="22"/>
    </w:rPr>
  </w:style>
  <w:style w:type="character" w:styleId="Refdenotaalpie">
    <w:name w:val="footnote reference"/>
    <w:basedOn w:val="EpgrafeCar"/>
    <w:rPr>
      <w:vertAlign w:val="superscript"/>
    </w:rPr>
  </w:style>
  <w:style w:type="character" w:styleId="Hipervnculo">
    <w:name w:val="Hyperlink"/>
    <w:basedOn w:val="EpgrafeCar"/>
    <w:rPr>
      <w:color w:val="4F81BD" w:themeColor="accent1"/>
    </w:rPr>
  </w:style>
  <w:style w:type="paragraph" w:styleId="TtulodeTDC">
    <w:name w:val="TOC Heading"/>
    <w:basedOn w:val="Ttulo1"/>
    <w:next w:val="Textoindependien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unhideWhenUsed/>
    <w:rsid w:val="00D46E82"/>
    <w:pPr>
      <w:spacing w:before="100" w:beforeAutospacing="1" w:after="100" w:afterAutospacing="1"/>
    </w:pPr>
    <w:rPr>
      <w:rFonts w:ascii="Times New Roman" w:eastAsiaTheme="minorEastAsia" w:hAnsi="Times New Roman" w:cs="Times New Roman"/>
      <w:lang w:val="es-PE" w:eastAsia="es-PE"/>
    </w:rPr>
  </w:style>
  <w:style w:type="character" w:customStyle="1" w:styleId="decretossupremos">
    <w:name w:val="decretossupremos"/>
    <w:basedOn w:val="Fuentedeprrafopredeter"/>
    <w:rsid w:val="00D46E82"/>
  </w:style>
  <w:style w:type="paragraph" w:styleId="Textodeglobo">
    <w:name w:val="Balloon Text"/>
    <w:basedOn w:val="Normal"/>
    <w:link w:val="TextodegloboCar"/>
    <w:rsid w:val="002E5D32"/>
    <w:pPr>
      <w:spacing w:after="0"/>
    </w:pPr>
    <w:rPr>
      <w:rFonts w:ascii="Tahoma" w:hAnsi="Tahoma" w:cs="Tahoma"/>
      <w:sz w:val="16"/>
      <w:szCs w:val="16"/>
    </w:rPr>
  </w:style>
  <w:style w:type="character" w:customStyle="1" w:styleId="TextodegloboCar">
    <w:name w:val="Texto de globo Car"/>
    <w:basedOn w:val="Fuentedeprrafopredeter"/>
    <w:link w:val="Textodeglobo"/>
    <w:rsid w:val="002E5D32"/>
    <w:rPr>
      <w:rFonts w:ascii="Tahoma" w:hAnsi="Tahoma" w:cs="Tahoma"/>
      <w:sz w:val="16"/>
      <w:szCs w:val="16"/>
    </w:rPr>
  </w:style>
  <w:style w:type="paragraph" w:styleId="Prrafodelista">
    <w:name w:val="List Paragraph"/>
    <w:aliases w:val="Bolita,Párrafo de lista3,Párrafo de lista21,BOLA,Cuadro 2-1,Lista 123,Párrafo de lista2,List Paragraph,Párrafo de lista1,Párrafo de lista11,Lista Numerada 1,Gráfico 1.,FIGURA 5,Título Tablas y Figuras,Viñeta A Alquim,Viñeta A,FOTOGRAFIA"/>
    <w:basedOn w:val="Normal"/>
    <w:link w:val="PrrafodelistaCar"/>
    <w:uiPriority w:val="34"/>
    <w:qFormat/>
    <w:rsid w:val="004B0326"/>
    <w:pPr>
      <w:spacing w:line="276" w:lineRule="auto"/>
      <w:ind w:left="720"/>
      <w:contextualSpacing/>
    </w:pPr>
    <w:rPr>
      <w:sz w:val="22"/>
      <w:szCs w:val="22"/>
      <w:lang w:val="es-PE"/>
    </w:rPr>
  </w:style>
  <w:style w:type="character" w:customStyle="1" w:styleId="PrrafodelistaCar">
    <w:name w:val="Párrafo de lista Car"/>
    <w:aliases w:val="Bolita Car,Párrafo de lista3 Car,Párrafo de lista21 Car,BOLA Car,Cuadro 2-1 Car,Lista 123 Car,Párrafo de lista2 Car,List Paragraph Car,Párrafo de lista1 Car,Párrafo de lista11 Car,Lista Numerada 1 Car,Gráfico 1. Car,FIGURA 5 Car"/>
    <w:link w:val="Prrafodelista"/>
    <w:uiPriority w:val="34"/>
    <w:qFormat/>
    <w:locked/>
    <w:rsid w:val="004B0326"/>
    <w:rPr>
      <w:sz w:val="22"/>
      <w:szCs w:val="22"/>
      <w:lang w:val="es-PE"/>
    </w:rPr>
  </w:style>
  <w:style w:type="character" w:customStyle="1" w:styleId="TextoindependienteCar">
    <w:name w:val="Texto independiente Car"/>
    <w:basedOn w:val="Fuentedeprrafopredeter"/>
    <w:link w:val="Textoindependiente"/>
    <w:rsid w:val="000E66EA"/>
  </w:style>
  <w:style w:type="character" w:styleId="nfasis">
    <w:name w:val="Emphasis"/>
    <w:basedOn w:val="Fuentedeprrafopredeter"/>
    <w:uiPriority w:val="20"/>
    <w:qFormat/>
    <w:rsid w:val="00F514FD"/>
    <w:rPr>
      <w:i/>
      <w:iCs/>
    </w:rPr>
  </w:style>
  <w:style w:type="paragraph" w:customStyle="1" w:styleId="Textoindependiente22">
    <w:name w:val="Texto independiente 22"/>
    <w:basedOn w:val="Normal"/>
    <w:rsid w:val="00971655"/>
    <w:pPr>
      <w:spacing w:after="0"/>
    </w:pPr>
    <w:rPr>
      <w:rFonts w:ascii="Arial" w:eastAsia="Times New Roman" w:hAnsi="Arial" w:cs="Times New Roman"/>
      <w:szCs w:val="20"/>
      <w:lang w:val="es-ES" w:eastAsia="es-ES"/>
    </w:rPr>
  </w:style>
  <w:style w:type="character" w:styleId="Refdecomentario">
    <w:name w:val="annotation reference"/>
    <w:basedOn w:val="Fuentedeprrafopredeter"/>
    <w:semiHidden/>
    <w:unhideWhenUsed/>
    <w:rsid w:val="00540621"/>
    <w:rPr>
      <w:sz w:val="16"/>
      <w:szCs w:val="16"/>
    </w:rPr>
  </w:style>
  <w:style w:type="paragraph" w:styleId="Textocomentario">
    <w:name w:val="annotation text"/>
    <w:basedOn w:val="Normal"/>
    <w:link w:val="TextocomentarioCar"/>
    <w:semiHidden/>
    <w:unhideWhenUsed/>
    <w:rsid w:val="00540621"/>
    <w:rPr>
      <w:sz w:val="20"/>
      <w:szCs w:val="20"/>
    </w:rPr>
  </w:style>
  <w:style w:type="character" w:customStyle="1" w:styleId="TextocomentarioCar">
    <w:name w:val="Texto comentario Car"/>
    <w:basedOn w:val="Fuentedeprrafopredeter"/>
    <w:link w:val="Textocomentario"/>
    <w:semiHidden/>
    <w:rsid w:val="00540621"/>
    <w:rPr>
      <w:sz w:val="20"/>
      <w:szCs w:val="20"/>
    </w:rPr>
  </w:style>
  <w:style w:type="paragraph" w:styleId="Asuntodelcomentario">
    <w:name w:val="annotation subject"/>
    <w:basedOn w:val="Textocomentario"/>
    <w:next w:val="Textocomentario"/>
    <w:link w:val="AsuntodelcomentarioCar"/>
    <w:semiHidden/>
    <w:unhideWhenUsed/>
    <w:rsid w:val="00540621"/>
    <w:rPr>
      <w:b/>
      <w:bCs/>
    </w:rPr>
  </w:style>
  <w:style w:type="character" w:customStyle="1" w:styleId="AsuntodelcomentarioCar">
    <w:name w:val="Asunto del comentario Car"/>
    <w:basedOn w:val="TextocomentarioCar"/>
    <w:link w:val="Asuntodelcomentario"/>
    <w:semiHidden/>
    <w:rsid w:val="005406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27858">
      <w:bodyDiv w:val="1"/>
      <w:marLeft w:val="0"/>
      <w:marRight w:val="0"/>
      <w:marTop w:val="0"/>
      <w:marBottom w:val="0"/>
      <w:divBdr>
        <w:top w:val="none" w:sz="0" w:space="0" w:color="auto"/>
        <w:left w:val="none" w:sz="0" w:space="0" w:color="auto"/>
        <w:bottom w:val="none" w:sz="0" w:space="0" w:color="auto"/>
        <w:right w:val="none" w:sz="0" w:space="0" w:color="auto"/>
      </w:divBdr>
    </w:div>
    <w:div w:id="537279054">
      <w:bodyDiv w:val="1"/>
      <w:marLeft w:val="0"/>
      <w:marRight w:val="0"/>
      <w:marTop w:val="0"/>
      <w:marBottom w:val="0"/>
      <w:divBdr>
        <w:top w:val="none" w:sz="0" w:space="0" w:color="auto"/>
        <w:left w:val="none" w:sz="0" w:space="0" w:color="auto"/>
        <w:bottom w:val="none" w:sz="0" w:space="0" w:color="auto"/>
        <w:right w:val="none" w:sz="0" w:space="0" w:color="auto"/>
      </w:divBdr>
    </w:div>
    <w:div w:id="1104960613">
      <w:bodyDiv w:val="1"/>
      <w:marLeft w:val="0"/>
      <w:marRight w:val="0"/>
      <w:marTop w:val="0"/>
      <w:marBottom w:val="0"/>
      <w:divBdr>
        <w:top w:val="none" w:sz="0" w:space="0" w:color="auto"/>
        <w:left w:val="none" w:sz="0" w:space="0" w:color="auto"/>
        <w:bottom w:val="none" w:sz="0" w:space="0" w:color="auto"/>
        <w:right w:val="none" w:sz="0" w:space="0" w:color="auto"/>
      </w:divBdr>
    </w:div>
    <w:div w:id="1248925644">
      <w:bodyDiv w:val="1"/>
      <w:marLeft w:val="0"/>
      <w:marRight w:val="0"/>
      <w:marTop w:val="0"/>
      <w:marBottom w:val="0"/>
      <w:divBdr>
        <w:top w:val="none" w:sz="0" w:space="0" w:color="auto"/>
        <w:left w:val="none" w:sz="0" w:space="0" w:color="auto"/>
        <w:bottom w:val="none" w:sz="0" w:space="0" w:color="auto"/>
        <w:right w:val="none" w:sz="0" w:space="0" w:color="auto"/>
      </w:divBdr>
    </w:div>
    <w:div w:id="1734691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706CA-F1D1-418A-8977-E264D327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1959</Words>
  <Characters>10775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Huaman Perez Rocio del Pilar</dc:creator>
  <cp:lastModifiedBy>Huaman Perez Rocio del Pilar</cp:lastModifiedBy>
  <cp:revision>2</cp:revision>
  <cp:lastPrinted>2019-06-18T19:17:00Z</cp:lastPrinted>
  <dcterms:created xsi:type="dcterms:W3CDTF">2019-06-20T15:39:00Z</dcterms:created>
  <dcterms:modified xsi:type="dcterms:W3CDTF">2019-06-20T15:39:00Z</dcterms:modified>
</cp:coreProperties>
</file>