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8C" w:rsidRPr="003B7F8C" w:rsidRDefault="003B7F8C" w:rsidP="003B7F8C">
      <w:pPr>
        <w:pStyle w:val="Prrafodelista"/>
        <w:widowControl w:val="0"/>
        <w:numPr>
          <w:ilvl w:val="0"/>
          <w:numId w:val="12"/>
        </w:numPr>
        <w:tabs>
          <w:tab w:val="left" w:pos="90"/>
        </w:tabs>
        <w:autoSpaceDE w:val="0"/>
        <w:autoSpaceDN w:val="0"/>
        <w:adjustRightInd w:val="0"/>
        <w:spacing w:before="60" w:after="0"/>
        <w:ind w:left="426" w:hanging="426"/>
        <w:jc w:val="left"/>
        <w:rPr>
          <w:rFonts w:ascii="Arial" w:hAnsi="Arial" w:cs="Arial"/>
          <w:b/>
          <w:sz w:val="20"/>
          <w:szCs w:val="20"/>
        </w:rPr>
      </w:pPr>
      <w:bookmarkStart w:id="0" w:name="_GoBack"/>
      <w:bookmarkEnd w:id="0"/>
      <w:r w:rsidRPr="003B7F8C">
        <w:rPr>
          <w:rFonts w:ascii="Arial" w:hAnsi="Arial" w:cs="Arial"/>
          <w:b/>
          <w:sz w:val="20"/>
          <w:szCs w:val="20"/>
        </w:rPr>
        <w:t xml:space="preserve">ESTADO SITUACIONAL DE EXPEDIENTES INGRESADOS A LA OFICINA DE EJECUCIÓN COACTIVA </w:t>
      </w:r>
    </w:p>
    <w:p w:rsidR="003B7F8C" w:rsidRDefault="003B7F8C"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3B7F8C" w:rsidRDefault="00135493"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r w:rsidRPr="003B7F8C">
        <w:rPr>
          <w:rFonts w:ascii="Arial" w:hAnsi="Arial" w:cs="Arial"/>
          <w:b/>
          <w:sz w:val="20"/>
          <w:szCs w:val="20"/>
        </w:rPr>
        <w:t xml:space="preserve">EXPEDIENTES INGRESADOS A LA OFICINA DE EJECUCION COACTIVA </w:t>
      </w:r>
    </w:p>
    <w:p w:rsidR="00135493" w:rsidRPr="003B7F8C" w:rsidRDefault="00AE1406"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r w:rsidRPr="003B7F8C">
        <w:rPr>
          <w:rFonts w:ascii="Arial" w:hAnsi="Arial" w:cs="Arial"/>
          <w:b/>
          <w:sz w:val="20"/>
          <w:szCs w:val="20"/>
        </w:rPr>
        <w:t xml:space="preserve">DURANTE LOS AÑOS 2010 </w:t>
      </w:r>
      <w:r w:rsidR="00135493" w:rsidRPr="003B7F8C">
        <w:rPr>
          <w:rFonts w:ascii="Arial" w:hAnsi="Arial" w:cs="Arial"/>
          <w:b/>
          <w:sz w:val="20"/>
          <w:szCs w:val="20"/>
        </w:rPr>
        <w:t xml:space="preserve"> 2011</w:t>
      </w:r>
      <w:r w:rsidRPr="003B7F8C">
        <w:rPr>
          <w:rFonts w:ascii="Arial" w:hAnsi="Arial" w:cs="Arial"/>
          <w:b/>
          <w:sz w:val="20"/>
          <w:szCs w:val="20"/>
        </w:rPr>
        <w:t>, Y 2012</w:t>
      </w:r>
    </w:p>
    <w:p w:rsidR="00135493" w:rsidRPr="008201E8" w:rsidRDefault="00AE1406"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r>
        <w:rPr>
          <w:noProof/>
        </w:rPr>
        <w:drawing>
          <wp:inline distT="0" distB="0" distL="0" distR="0" wp14:anchorId="685CFE99" wp14:editId="52A031E9">
            <wp:extent cx="4352924" cy="33718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A0C" w:rsidRDefault="00593A0C" w:rsidP="00593A0C">
      <w:pPr>
        <w:jc w:val="center"/>
        <w:rPr>
          <w:rFonts w:ascii="Arial" w:hAnsi="Arial" w:cs="Arial"/>
          <w:noProof/>
          <w:sz w:val="20"/>
          <w:szCs w:val="20"/>
        </w:rPr>
      </w:pPr>
    </w:p>
    <w:p w:rsidR="00AE702F" w:rsidRPr="00475334" w:rsidRDefault="0002402D" w:rsidP="006B5017">
      <w:pPr>
        <w:pStyle w:val="Prrafodelista"/>
        <w:ind w:left="0"/>
        <w:rPr>
          <w:rFonts w:ascii="Arial" w:hAnsi="Arial" w:cs="Arial"/>
        </w:rPr>
      </w:pPr>
      <w:r w:rsidRPr="00475334">
        <w:rPr>
          <w:rFonts w:ascii="Arial" w:hAnsi="Arial" w:cs="Arial"/>
        </w:rPr>
        <w:t xml:space="preserve">Es necesario acotar que la Oficina de Ejecución Coactiva fue creada en el año 2010 es por ello que en </w:t>
      </w:r>
      <w:r w:rsidR="00D07C6C" w:rsidRPr="00475334">
        <w:rPr>
          <w:rFonts w:ascii="Arial" w:hAnsi="Arial" w:cs="Arial"/>
        </w:rPr>
        <w:t>dicho</w:t>
      </w:r>
      <w:r w:rsidRPr="00475334">
        <w:rPr>
          <w:rFonts w:ascii="Arial" w:hAnsi="Arial" w:cs="Arial"/>
        </w:rPr>
        <w:t xml:space="preserve"> año se tiene el mayor ingreso de expedientes para ejecución coactiva pues corresponde a la acumulación de expedientes </w:t>
      </w:r>
      <w:r w:rsidR="00D07C6C" w:rsidRPr="00475334">
        <w:rPr>
          <w:rFonts w:ascii="Arial" w:hAnsi="Arial" w:cs="Arial"/>
        </w:rPr>
        <w:t xml:space="preserve">en las Gerencias Sectoriales Regionales </w:t>
      </w:r>
      <w:r w:rsidRPr="00475334">
        <w:rPr>
          <w:rFonts w:ascii="Arial" w:hAnsi="Arial" w:cs="Arial"/>
        </w:rPr>
        <w:t xml:space="preserve">de años anteriores; en </w:t>
      </w:r>
      <w:r w:rsidR="00376DBD">
        <w:rPr>
          <w:rFonts w:ascii="Arial" w:hAnsi="Arial" w:cs="Arial"/>
        </w:rPr>
        <w:t xml:space="preserve">el gráfico podemos apreciar que el </w:t>
      </w:r>
      <w:r w:rsidR="00E70EB3" w:rsidRPr="00475334">
        <w:rPr>
          <w:rFonts w:ascii="Arial" w:hAnsi="Arial" w:cs="Arial"/>
        </w:rPr>
        <w:t xml:space="preserve">año </w:t>
      </w:r>
      <w:r w:rsidR="00376DBD">
        <w:rPr>
          <w:rFonts w:ascii="Arial" w:hAnsi="Arial" w:cs="Arial"/>
        </w:rPr>
        <w:t xml:space="preserve">2012 </w:t>
      </w:r>
      <w:r w:rsidRPr="00475334">
        <w:rPr>
          <w:rFonts w:ascii="Arial" w:hAnsi="Arial" w:cs="Arial"/>
        </w:rPr>
        <w:t>con respecto al año 2011 se ha registrado un incremento de más del 100%</w:t>
      </w:r>
      <w:r w:rsidR="00D07C6C" w:rsidRPr="00475334">
        <w:rPr>
          <w:rFonts w:ascii="Arial" w:hAnsi="Arial" w:cs="Arial"/>
        </w:rPr>
        <w:t xml:space="preserve"> en el ingreso de expedientes para ejecución coactiva.</w:t>
      </w:r>
    </w:p>
    <w:p w:rsidR="00AE702F" w:rsidRDefault="00AE702F" w:rsidP="006B5017">
      <w:pPr>
        <w:pStyle w:val="Prrafodelista"/>
        <w:ind w:left="0"/>
        <w:rPr>
          <w:rFonts w:ascii="Arial" w:hAnsi="Arial" w:cs="Arial"/>
          <w:sz w:val="20"/>
          <w:szCs w:val="20"/>
        </w:rPr>
      </w:pPr>
    </w:p>
    <w:p w:rsidR="008201E8" w:rsidRDefault="008201E8" w:rsidP="006B5017">
      <w:pPr>
        <w:pStyle w:val="Prrafodelista"/>
        <w:ind w:left="0"/>
        <w:rPr>
          <w:rFonts w:ascii="Arial" w:hAnsi="Arial" w:cs="Arial"/>
          <w:sz w:val="20"/>
          <w:szCs w:val="20"/>
        </w:rPr>
      </w:pPr>
    </w:p>
    <w:p w:rsidR="00E70EB3" w:rsidRDefault="00E70EB3" w:rsidP="006B5017">
      <w:pPr>
        <w:pStyle w:val="Prrafodelista"/>
        <w:ind w:left="0"/>
        <w:rPr>
          <w:rFonts w:ascii="Arial" w:hAnsi="Arial" w:cs="Arial"/>
          <w:sz w:val="20"/>
          <w:szCs w:val="20"/>
        </w:rPr>
      </w:pPr>
    </w:p>
    <w:p w:rsidR="00E70EB3" w:rsidRDefault="00E70EB3" w:rsidP="006B5017">
      <w:pPr>
        <w:pStyle w:val="Prrafodelista"/>
        <w:ind w:left="0"/>
        <w:rPr>
          <w:rFonts w:ascii="Arial" w:hAnsi="Arial" w:cs="Arial"/>
          <w:sz w:val="20"/>
          <w:szCs w:val="20"/>
        </w:rPr>
      </w:pPr>
    </w:p>
    <w:p w:rsidR="00593A0C" w:rsidRPr="00C50710" w:rsidRDefault="006B5017" w:rsidP="006B5017">
      <w:pPr>
        <w:pStyle w:val="Prrafodelista"/>
        <w:ind w:left="0"/>
        <w:rPr>
          <w:rFonts w:ascii="Arial" w:hAnsi="Arial" w:cs="Arial"/>
        </w:rPr>
      </w:pPr>
      <w:r w:rsidRPr="00C50710">
        <w:rPr>
          <w:rFonts w:ascii="Arial" w:hAnsi="Arial" w:cs="Arial"/>
        </w:rPr>
        <w:t>El estado de los expedientes ingresados a la Oficina de Ejecución Coactiva en la actualidad es el siguiente:</w:t>
      </w:r>
    </w:p>
    <w:p w:rsidR="00593A0C" w:rsidRPr="008201E8" w:rsidRDefault="00E70EB3" w:rsidP="006B5017">
      <w:pPr>
        <w:jc w:val="center"/>
        <w:rPr>
          <w:rFonts w:ascii="Arial" w:hAnsi="Arial" w:cs="Arial"/>
          <w:sz w:val="20"/>
          <w:szCs w:val="20"/>
        </w:rPr>
      </w:pPr>
      <w:r>
        <w:rPr>
          <w:noProof/>
        </w:rPr>
        <w:lastRenderedPageBreak/>
        <w:drawing>
          <wp:inline distT="0" distB="0" distL="0" distR="0" wp14:anchorId="66A79AEC" wp14:editId="46EF436C">
            <wp:extent cx="5695950" cy="5686425"/>
            <wp:effectExtent l="0" t="0" r="1905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52B8" w:rsidRDefault="000F52B8"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042B49" w:rsidRDefault="00042B49"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042B49" w:rsidRDefault="00042B49"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B4076B" w:rsidRDefault="00B4076B"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tbl>
      <w:tblPr>
        <w:tblW w:w="5244" w:type="dxa"/>
        <w:tblInd w:w="1771" w:type="dxa"/>
        <w:tblCellMar>
          <w:left w:w="70" w:type="dxa"/>
          <w:right w:w="70" w:type="dxa"/>
        </w:tblCellMar>
        <w:tblLook w:val="04A0" w:firstRow="1" w:lastRow="0" w:firstColumn="1" w:lastColumn="0" w:noHBand="0" w:noVBand="1"/>
      </w:tblPr>
      <w:tblGrid>
        <w:gridCol w:w="3261"/>
        <w:gridCol w:w="1541"/>
        <w:gridCol w:w="1440"/>
      </w:tblGrid>
      <w:tr w:rsidR="00B426FB" w:rsidRPr="00B426FB" w:rsidTr="00B426FB">
        <w:trPr>
          <w:trHeight w:val="66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lastRenderedPageBreak/>
              <w:t>ESTADO</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t>N° DE EXPEDIENTES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t>Monto por recuperar</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EN ANALISIS</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458</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925,645.29</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DEVUELTO PARA REGULARIZACIÓN</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955</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2,964,798.54</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DEVUELTO POR DUPLICIDAD</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177</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DEVUELTO POR DEUDA  CANCELADA U OTROS</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34</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AC1183">
        <w:trPr>
          <w:trHeight w:val="3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EN PROCEDIMIENTO</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332</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932,240.92</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PARA VARIAR MEDIDA CAUTELAR</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284</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1,271,928.85</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EXPEDIENTES REGULARIZADOS</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5</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19,224.00</w:t>
            </w:r>
          </w:p>
        </w:tc>
      </w:tr>
      <w:tr w:rsidR="00B426FB" w:rsidRPr="00B426FB" w:rsidTr="00AC1183">
        <w:trPr>
          <w:trHeight w:val="299"/>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ARCHIVADOS</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344</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DEVUELTO PARA RECONSTRUCCION DE EXPEDIENTE</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21</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101,188.00</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EJECUTOR EN RESERVA</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150</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614,244.88</w:t>
            </w:r>
          </w:p>
        </w:tc>
      </w:tr>
      <w:tr w:rsidR="00B426FB" w:rsidRPr="00B426FB" w:rsidTr="00AC1183">
        <w:trPr>
          <w:trHeight w:val="3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SUSPENDIDO</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35</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272,162.00</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ADMINISTRATIVO SANCIONADOR EN RESERVA</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38</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51,136.43</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 xml:space="preserve">EXPEDIENTES TRAMITADOS CON ACUMULACION DE DEUDA </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22</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SUSPENDIDO PARA RECONOCIMIENTO DE CREDITO ANTE INDECOPI</w:t>
            </w:r>
          </w:p>
        </w:tc>
        <w:tc>
          <w:tcPr>
            <w:tcW w:w="543" w:type="dxa"/>
            <w:tcBorders>
              <w:top w:val="nil"/>
              <w:left w:val="nil"/>
              <w:bottom w:val="single" w:sz="4" w:space="0" w:color="auto"/>
              <w:right w:val="single" w:sz="4" w:space="0" w:color="auto"/>
            </w:tcBorders>
            <w:shd w:val="clear" w:color="000000" w:fill="FFFFFF"/>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18</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right"/>
              <w:rPr>
                <w:rFonts w:ascii="Arial" w:eastAsia="Times New Roman" w:hAnsi="Arial" w:cs="Arial"/>
                <w:color w:val="000000"/>
                <w:sz w:val="20"/>
                <w:szCs w:val="20"/>
              </w:rPr>
            </w:pPr>
            <w:r w:rsidRPr="00B426FB">
              <w:rPr>
                <w:rFonts w:ascii="Arial" w:eastAsia="Times New Roman" w:hAnsi="Arial" w:cs="Arial"/>
                <w:color w:val="000000"/>
                <w:sz w:val="20"/>
                <w:szCs w:val="20"/>
              </w:rPr>
              <w:t>97,507.50</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EXPEDIENTES TRAMITADOS POR EXHORTO</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DEVUELTO A LA GERENCIA PARA TRAMITE QUE CORRESPONDA</w:t>
            </w:r>
          </w:p>
        </w:tc>
        <w:tc>
          <w:tcPr>
            <w:tcW w:w="543" w:type="dxa"/>
            <w:tcBorders>
              <w:top w:val="nil"/>
              <w:left w:val="nil"/>
              <w:bottom w:val="single" w:sz="4" w:space="0" w:color="auto"/>
              <w:right w:val="single" w:sz="4" w:space="0" w:color="auto"/>
            </w:tcBorders>
            <w:shd w:val="clear" w:color="000000" w:fill="FFFFFF"/>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6</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426FB" w:rsidRPr="00B426FB" w:rsidRDefault="00B426FB" w:rsidP="00B426FB">
            <w:pPr>
              <w:spacing w:after="0" w:line="240" w:lineRule="auto"/>
              <w:jc w:val="both"/>
              <w:rPr>
                <w:rFonts w:ascii="Arial" w:eastAsia="Times New Roman" w:hAnsi="Arial" w:cs="Arial"/>
                <w:color w:val="000000"/>
                <w:sz w:val="20"/>
                <w:szCs w:val="20"/>
              </w:rPr>
            </w:pPr>
            <w:r w:rsidRPr="00B426FB">
              <w:rPr>
                <w:rFonts w:ascii="Arial" w:eastAsia="Times New Roman" w:hAnsi="Arial" w:cs="Arial"/>
                <w:color w:val="000000"/>
                <w:sz w:val="20"/>
                <w:szCs w:val="20"/>
              </w:rPr>
              <w:t>EXPEDIENTE DEVUELTO POR TENER RECONOCIMIENTO DE CREDITO</w:t>
            </w:r>
          </w:p>
        </w:tc>
        <w:tc>
          <w:tcPr>
            <w:tcW w:w="543" w:type="dxa"/>
            <w:tcBorders>
              <w:top w:val="nil"/>
              <w:left w:val="nil"/>
              <w:bottom w:val="single" w:sz="4" w:space="0" w:color="auto"/>
              <w:right w:val="single" w:sz="4" w:space="0" w:color="auto"/>
            </w:tcBorders>
            <w:shd w:val="clear" w:color="000000" w:fill="FFFFFF"/>
            <w:noWrap/>
            <w:vAlign w:val="bottom"/>
            <w:hideMark/>
          </w:tcPr>
          <w:p w:rsidR="00B426FB" w:rsidRPr="00B426FB" w:rsidRDefault="00B426FB" w:rsidP="00C50710">
            <w:pPr>
              <w:spacing w:after="0" w:line="240" w:lineRule="auto"/>
              <w:jc w:val="center"/>
              <w:rPr>
                <w:rFonts w:ascii="Arial" w:eastAsia="Times New Roman" w:hAnsi="Arial" w:cs="Arial"/>
                <w:color w:val="000000"/>
                <w:sz w:val="20"/>
                <w:szCs w:val="20"/>
              </w:rPr>
            </w:pPr>
            <w:r w:rsidRPr="00B426FB">
              <w:rPr>
                <w:rFonts w:ascii="Arial" w:eastAsia="Times New Roman" w:hAnsi="Arial" w:cs="Arial"/>
                <w:color w:val="000000"/>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rPr>
                <w:rFonts w:ascii="Arial" w:eastAsia="Times New Roman" w:hAnsi="Arial" w:cs="Arial"/>
                <w:color w:val="000000"/>
                <w:sz w:val="20"/>
                <w:szCs w:val="20"/>
              </w:rPr>
            </w:pPr>
            <w:r w:rsidRPr="00B426FB">
              <w:rPr>
                <w:rFonts w:ascii="Arial" w:eastAsia="Times New Roman" w:hAnsi="Arial" w:cs="Arial"/>
                <w:color w:val="000000"/>
                <w:sz w:val="20"/>
                <w:szCs w:val="20"/>
              </w:rPr>
              <w:t> </w:t>
            </w:r>
          </w:p>
        </w:tc>
      </w:tr>
      <w:tr w:rsidR="00B426FB" w:rsidRPr="00B426FB" w:rsidTr="00B426FB">
        <w:trPr>
          <w:trHeight w:val="4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t>TOTAL</w:t>
            </w:r>
          </w:p>
        </w:tc>
        <w:tc>
          <w:tcPr>
            <w:tcW w:w="543"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t>2881</w:t>
            </w:r>
          </w:p>
        </w:tc>
        <w:tc>
          <w:tcPr>
            <w:tcW w:w="1440" w:type="dxa"/>
            <w:tcBorders>
              <w:top w:val="nil"/>
              <w:left w:val="nil"/>
              <w:bottom w:val="single" w:sz="4" w:space="0" w:color="auto"/>
              <w:right w:val="single" w:sz="4" w:space="0" w:color="auto"/>
            </w:tcBorders>
            <w:shd w:val="clear" w:color="auto" w:fill="auto"/>
            <w:noWrap/>
            <w:vAlign w:val="bottom"/>
            <w:hideMark/>
          </w:tcPr>
          <w:p w:rsidR="00B426FB" w:rsidRPr="00B426FB" w:rsidRDefault="00B426FB" w:rsidP="00B426FB">
            <w:pPr>
              <w:spacing w:after="0" w:line="240" w:lineRule="auto"/>
              <w:jc w:val="center"/>
              <w:rPr>
                <w:rFonts w:ascii="Arial" w:eastAsia="Times New Roman" w:hAnsi="Arial" w:cs="Arial"/>
                <w:b/>
                <w:bCs/>
                <w:color w:val="000000"/>
                <w:sz w:val="20"/>
                <w:szCs w:val="20"/>
              </w:rPr>
            </w:pPr>
            <w:r w:rsidRPr="00B426FB">
              <w:rPr>
                <w:rFonts w:ascii="Arial" w:eastAsia="Times New Roman" w:hAnsi="Arial" w:cs="Arial"/>
                <w:b/>
                <w:bCs/>
                <w:color w:val="000000"/>
                <w:sz w:val="20"/>
                <w:szCs w:val="20"/>
              </w:rPr>
              <w:t>7,250,076.41</w:t>
            </w:r>
          </w:p>
        </w:tc>
      </w:tr>
    </w:tbl>
    <w:p w:rsidR="00B4076B" w:rsidRPr="00C50710" w:rsidRDefault="00B4076B" w:rsidP="001E79BD">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484F25" w:rsidRPr="00C50710" w:rsidRDefault="00484F25" w:rsidP="00DB3334">
      <w:pPr>
        <w:widowControl w:val="0"/>
        <w:tabs>
          <w:tab w:val="left" w:pos="90"/>
        </w:tabs>
        <w:autoSpaceDE w:val="0"/>
        <w:autoSpaceDN w:val="0"/>
        <w:adjustRightInd w:val="0"/>
        <w:spacing w:before="60" w:after="0" w:line="240" w:lineRule="auto"/>
        <w:jc w:val="both"/>
        <w:rPr>
          <w:rFonts w:ascii="Arial" w:hAnsi="Arial" w:cs="Arial"/>
          <w:b/>
          <w:sz w:val="20"/>
          <w:szCs w:val="20"/>
        </w:rPr>
      </w:pPr>
    </w:p>
    <w:p w:rsidR="00484F25" w:rsidRDefault="00484F25" w:rsidP="00DB3334">
      <w:pPr>
        <w:widowControl w:val="0"/>
        <w:tabs>
          <w:tab w:val="left" w:pos="90"/>
        </w:tabs>
        <w:autoSpaceDE w:val="0"/>
        <w:autoSpaceDN w:val="0"/>
        <w:adjustRightInd w:val="0"/>
        <w:spacing w:before="60" w:after="0" w:line="240" w:lineRule="auto"/>
        <w:jc w:val="both"/>
        <w:rPr>
          <w:rFonts w:ascii="Arial" w:hAnsi="Arial" w:cs="Arial"/>
          <w:b/>
          <w:sz w:val="20"/>
          <w:szCs w:val="20"/>
        </w:rPr>
      </w:pPr>
    </w:p>
    <w:p w:rsidR="00D44402" w:rsidRPr="00255454" w:rsidRDefault="00D44402" w:rsidP="005412C1">
      <w:pPr>
        <w:widowControl w:val="0"/>
        <w:tabs>
          <w:tab w:val="left" w:pos="90"/>
        </w:tabs>
        <w:autoSpaceDE w:val="0"/>
        <w:autoSpaceDN w:val="0"/>
        <w:adjustRightInd w:val="0"/>
        <w:spacing w:before="60" w:after="0" w:line="240" w:lineRule="auto"/>
        <w:jc w:val="center"/>
        <w:rPr>
          <w:rFonts w:ascii="Arial" w:hAnsi="Arial" w:cs="Arial"/>
          <w:b/>
        </w:rPr>
      </w:pPr>
    </w:p>
    <w:p w:rsidR="00D44402" w:rsidRPr="00255454" w:rsidRDefault="00D44402" w:rsidP="005412C1">
      <w:pPr>
        <w:widowControl w:val="0"/>
        <w:tabs>
          <w:tab w:val="left" w:pos="90"/>
        </w:tabs>
        <w:autoSpaceDE w:val="0"/>
        <w:autoSpaceDN w:val="0"/>
        <w:adjustRightInd w:val="0"/>
        <w:spacing w:before="60" w:after="0" w:line="240" w:lineRule="auto"/>
        <w:jc w:val="center"/>
        <w:rPr>
          <w:rFonts w:ascii="Arial" w:hAnsi="Arial" w:cs="Arial"/>
          <w:b/>
        </w:rPr>
      </w:pPr>
    </w:p>
    <w:p w:rsidR="00D44402" w:rsidRPr="00255454" w:rsidRDefault="00D44402" w:rsidP="005412C1">
      <w:pPr>
        <w:widowControl w:val="0"/>
        <w:tabs>
          <w:tab w:val="left" w:pos="90"/>
        </w:tabs>
        <w:autoSpaceDE w:val="0"/>
        <w:autoSpaceDN w:val="0"/>
        <w:adjustRightInd w:val="0"/>
        <w:spacing w:before="60" w:after="0" w:line="240" w:lineRule="auto"/>
        <w:jc w:val="center"/>
        <w:rPr>
          <w:rFonts w:ascii="Arial" w:hAnsi="Arial" w:cs="Arial"/>
          <w:b/>
        </w:rPr>
      </w:pPr>
    </w:p>
    <w:p w:rsidR="00D44402" w:rsidRPr="00255454" w:rsidRDefault="00D44402" w:rsidP="005412C1">
      <w:pPr>
        <w:widowControl w:val="0"/>
        <w:tabs>
          <w:tab w:val="left" w:pos="90"/>
        </w:tabs>
        <w:autoSpaceDE w:val="0"/>
        <w:autoSpaceDN w:val="0"/>
        <w:adjustRightInd w:val="0"/>
        <w:spacing w:before="60" w:after="0" w:line="240" w:lineRule="auto"/>
        <w:jc w:val="center"/>
        <w:rPr>
          <w:rFonts w:ascii="Arial" w:hAnsi="Arial" w:cs="Arial"/>
          <w:b/>
        </w:rPr>
        <w:sectPr w:rsidR="00D44402" w:rsidRPr="00255454" w:rsidSect="00CF54A5">
          <w:headerReference w:type="default" r:id="rId11"/>
          <w:footerReference w:type="default" r:id="rId12"/>
          <w:pgSz w:w="11906" w:h="16838" w:code="9"/>
          <w:pgMar w:top="1080" w:right="1416" w:bottom="1080" w:left="993" w:header="720" w:footer="720" w:gutter="0"/>
          <w:cols w:space="720"/>
          <w:noEndnote/>
        </w:sectPr>
      </w:pPr>
    </w:p>
    <w:p w:rsidR="00D27375" w:rsidRPr="00791F3F" w:rsidRDefault="00D27375" w:rsidP="00791F3F">
      <w:pPr>
        <w:pStyle w:val="Prrafodelista"/>
        <w:widowControl w:val="0"/>
        <w:numPr>
          <w:ilvl w:val="0"/>
          <w:numId w:val="12"/>
        </w:numPr>
        <w:tabs>
          <w:tab w:val="left" w:pos="90"/>
        </w:tabs>
        <w:autoSpaceDE w:val="0"/>
        <w:autoSpaceDN w:val="0"/>
        <w:adjustRightInd w:val="0"/>
        <w:spacing w:before="60" w:after="0"/>
        <w:ind w:left="284" w:hanging="284"/>
        <w:jc w:val="left"/>
        <w:rPr>
          <w:rFonts w:ascii="Arial" w:hAnsi="Arial" w:cs="Arial"/>
          <w:b/>
        </w:rPr>
      </w:pPr>
      <w:r w:rsidRPr="00791F3F">
        <w:rPr>
          <w:rFonts w:ascii="Arial" w:hAnsi="Arial" w:cs="Arial"/>
          <w:b/>
          <w:lang w:val="es-ES_tradnl"/>
        </w:rPr>
        <w:lastRenderedPageBreak/>
        <w:t>LOGROS OBTENIDOS POR LA OFICINA DE EJECUCIÓN COACTIVA EN EL AÑO 2012</w:t>
      </w:r>
    </w:p>
    <w:p w:rsidR="00D27375" w:rsidRDefault="00D27375" w:rsidP="005412C1">
      <w:pPr>
        <w:widowControl w:val="0"/>
        <w:tabs>
          <w:tab w:val="left" w:pos="90"/>
        </w:tabs>
        <w:autoSpaceDE w:val="0"/>
        <w:autoSpaceDN w:val="0"/>
        <w:adjustRightInd w:val="0"/>
        <w:spacing w:before="60" w:after="0" w:line="240" w:lineRule="auto"/>
        <w:jc w:val="center"/>
        <w:rPr>
          <w:rFonts w:ascii="Arial" w:hAnsi="Arial" w:cs="Arial"/>
          <w:b/>
        </w:rPr>
      </w:pPr>
    </w:p>
    <w:p w:rsidR="00D44402" w:rsidRPr="002E2DA8" w:rsidRDefault="00D44402" w:rsidP="002E2DA8">
      <w:pPr>
        <w:widowControl w:val="0"/>
        <w:tabs>
          <w:tab w:val="left" w:pos="90"/>
        </w:tabs>
        <w:autoSpaceDE w:val="0"/>
        <w:autoSpaceDN w:val="0"/>
        <w:adjustRightInd w:val="0"/>
        <w:spacing w:before="60" w:after="0"/>
        <w:rPr>
          <w:rFonts w:ascii="Arial" w:hAnsi="Arial" w:cs="Arial"/>
          <w:b/>
          <w:sz w:val="20"/>
          <w:szCs w:val="20"/>
        </w:rPr>
      </w:pPr>
      <w:r w:rsidRPr="002E2DA8">
        <w:rPr>
          <w:rFonts w:ascii="Arial" w:hAnsi="Arial" w:cs="Arial"/>
          <w:b/>
          <w:sz w:val="20"/>
          <w:szCs w:val="20"/>
        </w:rPr>
        <w:t>MONTO RECAUDADO POR LA OFICINA DE EJECUCIÓN COACTIVA EN EL AÑO 2012</w:t>
      </w:r>
    </w:p>
    <w:p w:rsidR="00AA736F" w:rsidRPr="00D27375" w:rsidRDefault="00AA736F"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tbl>
      <w:tblPr>
        <w:tblW w:w="14874" w:type="dxa"/>
        <w:tblInd w:w="55" w:type="dxa"/>
        <w:tblCellMar>
          <w:left w:w="70" w:type="dxa"/>
          <w:right w:w="70" w:type="dxa"/>
        </w:tblCellMar>
        <w:tblLook w:val="04A0" w:firstRow="1" w:lastRow="0" w:firstColumn="1" w:lastColumn="0" w:noHBand="0" w:noVBand="1"/>
      </w:tblPr>
      <w:tblGrid>
        <w:gridCol w:w="2425"/>
        <w:gridCol w:w="941"/>
        <w:gridCol w:w="941"/>
        <w:gridCol w:w="941"/>
        <w:gridCol w:w="941"/>
        <w:gridCol w:w="941"/>
        <w:gridCol w:w="992"/>
        <w:gridCol w:w="992"/>
        <w:gridCol w:w="966"/>
        <w:gridCol w:w="941"/>
        <w:gridCol w:w="941"/>
        <w:gridCol w:w="941"/>
        <w:gridCol w:w="941"/>
        <w:gridCol w:w="1030"/>
      </w:tblGrid>
      <w:tr w:rsidR="00AA736F" w:rsidRPr="00AA736F" w:rsidTr="003632F3">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CONCEPTO</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E</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F</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Mz</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A</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My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Jn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Jl</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Ag</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Set</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Oct</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Nov</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Dic</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center"/>
              <w:rPr>
                <w:rFonts w:ascii="Arial" w:eastAsia="Times New Roman" w:hAnsi="Arial" w:cs="Arial"/>
                <w:b/>
                <w:bCs/>
                <w:color w:val="000000"/>
                <w:sz w:val="16"/>
                <w:szCs w:val="16"/>
              </w:rPr>
            </w:pPr>
            <w:r w:rsidRPr="00AA736F">
              <w:rPr>
                <w:rFonts w:ascii="Arial" w:eastAsia="Times New Roman" w:hAnsi="Arial" w:cs="Arial"/>
                <w:b/>
                <w:bCs/>
                <w:color w:val="000000"/>
                <w:sz w:val="16"/>
                <w:szCs w:val="16"/>
              </w:rPr>
              <w:t>TOTAL</w:t>
            </w:r>
          </w:p>
        </w:tc>
      </w:tr>
      <w:tr w:rsidR="00AA736F" w:rsidRPr="00AA736F" w:rsidTr="003632F3">
        <w:trPr>
          <w:trHeight w:val="45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r w:rsidRPr="00AA736F">
              <w:rPr>
                <w:rFonts w:ascii="Arial" w:eastAsia="Times New Roman" w:hAnsi="Arial" w:cs="Arial"/>
                <w:color w:val="000000"/>
                <w:sz w:val="16"/>
                <w:szCs w:val="16"/>
              </w:rPr>
              <w:t>Con Fraccionamiento de la deuda</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6,527.760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2,614.390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3,386.320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2,582.220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4,113.420</w:t>
            </w:r>
          </w:p>
        </w:tc>
        <w:tc>
          <w:tcPr>
            <w:tcW w:w="992"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3,357.300</w:t>
            </w:r>
          </w:p>
        </w:tc>
        <w:tc>
          <w:tcPr>
            <w:tcW w:w="992"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5,700.500</w:t>
            </w:r>
          </w:p>
        </w:tc>
        <w:tc>
          <w:tcPr>
            <w:tcW w:w="966"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982.050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2,452.070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13,067.880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1,488.140</w:t>
            </w:r>
          </w:p>
        </w:tc>
        <w:tc>
          <w:tcPr>
            <w:tcW w:w="1030"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46,272.050</w:t>
            </w:r>
          </w:p>
        </w:tc>
      </w:tr>
      <w:tr w:rsidR="00AA736F" w:rsidRPr="00AA736F" w:rsidTr="003632F3">
        <w:trPr>
          <w:trHeight w:val="45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r w:rsidRPr="00AA736F">
              <w:rPr>
                <w:rFonts w:ascii="Arial" w:eastAsia="Times New Roman" w:hAnsi="Arial" w:cs="Arial"/>
                <w:color w:val="000000"/>
                <w:sz w:val="16"/>
                <w:szCs w:val="16"/>
              </w:rPr>
              <w:t>Con medida cautelar retención de fondos</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26,479.080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7,267.220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38,067.350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4,430.580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15,848.730</w:t>
            </w:r>
          </w:p>
        </w:tc>
        <w:tc>
          <w:tcPr>
            <w:tcW w:w="992"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12,083.270</w:t>
            </w:r>
          </w:p>
        </w:tc>
        <w:tc>
          <w:tcPr>
            <w:tcW w:w="992"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8,479.320</w:t>
            </w:r>
          </w:p>
        </w:tc>
        <w:tc>
          <w:tcPr>
            <w:tcW w:w="966"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41,024.390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5,919.510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17,411.290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12,756.630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53,322.550</w:t>
            </w:r>
          </w:p>
        </w:tc>
        <w:tc>
          <w:tcPr>
            <w:tcW w:w="1030"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243,089.920</w:t>
            </w:r>
          </w:p>
        </w:tc>
      </w:tr>
      <w:tr w:rsidR="00AA736F" w:rsidRPr="00AA736F" w:rsidTr="003632F3">
        <w:trPr>
          <w:trHeight w:val="45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r w:rsidRPr="00AA736F">
              <w:rPr>
                <w:rFonts w:ascii="Arial" w:eastAsia="Times New Roman" w:hAnsi="Arial" w:cs="Arial"/>
                <w:color w:val="000000"/>
                <w:sz w:val="16"/>
                <w:szCs w:val="16"/>
              </w:rPr>
              <w:t>Sin ejecución de medida cautelar</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4,931.400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6,749.670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1,322.040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9,250.170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10,582.720</w:t>
            </w:r>
          </w:p>
        </w:tc>
        <w:tc>
          <w:tcPr>
            <w:tcW w:w="992"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3,080.100</w:t>
            </w:r>
          </w:p>
        </w:tc>
        <w:tc>
          <w:tcPr>
            <w:tcW w:w="992"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21,681.300</w:t>
            </w:r>
          </w:p>
        </w:tc>
        <w:tc>
          <w:tcPr>
            <w:tcW w:w="966"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22,187.350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10,288.930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5,029.550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6,538.040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6,031.420</w:t>
            </w:r>
          </w:p>
        </w:tc>
        <w:tc>
          <w:tcPr>
            <w:tcW w:w="1030"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107,672.690</w:t>
            </w:r>
          </w:p>
        </w:tc>
      </w:tr>
      <w:tr w:rsidR="00AA736F" w:rsidRPr="00AA736F" w:rsidTr="003632F3">
        <w:trPr>
          <w:trHeight w:val="454"/>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r w:rsidRPr="00AA736F">
              <w:rPr>
                <w:rFonts w:ascii="Arial" w:eastAsia="Times New Roman" w:hAnsi="Arial" w:cs="Arial"/>
                <w:color w:val="000000"/>
                <w:sz w:val="16"/>
                <w:szCs w:val="16"/>
              </w:rPr>
              <w:t>Con medida cautelar secuestro conservativo</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92"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92"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66"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0.000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45,204.790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23,775.420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4,382.400</w:t>
            </w:r>
          </w:p>
        </w:tc>
        <w:tc>
          <w:tcPr>
            <w:tcW w:w="941" w:type="dxa"/>
            <w:tcBorders>
              <w:top w:val="nil"/>
              <w:left w:val="nil"/>
              <w:bottom w:val="single" w:sz="4" w:space="0" w:color="auto"/>
              <w:right w:val="single" w:sz="4" w:space="0" w:color="auto"/>
            </w:tcBorders>
            <w:shd w:val="clear" w:color="000000" w:fill="FFFFFF"/>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r w:rsidRPr="00AA736F">
              <w:rPr>
                <w:rFonts w:ascii="Arial" w:eastAsia="Times New Roman" w:hAnsi="Arial" w:cs="Arial"/>
                <w:color w:val="000000"/>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73,362.610</w:t>
            </w:r>
          </w:p>
        </w:tc>
      </w:tr>
      <w:tr w:rsidR="00AA736F" w:rsidRPr="00AA736F" w:rsidTr="003632F3">
        <w:trPr>
          <w:trHeight w:val="300"/>
        </w:trPr>
        <w:tc>
          <w:tcPr>
            <w:tcW w:w="2425"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37,938.240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16,631.280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42,775.710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16,262.970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30,544.870</w:t>
            </w: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18,520.670</w:t>
            </w: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35,861.120</w:t>
            </w:r>
          </w:p>
        </w:tc>
        <w:tc>
          <w:tcPr>
            <w:tcW w:w="966"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64,193.790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63,865.300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46,216.260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36,744.950</w:t>
            </w: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60,842.110</w:t>
            </w:r>
          </w:p>
        </w:tc>
        <w:tc>
          <w:tcPr>
            <w:tcW w:w="1030"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right"/>
              <w:rPr>
                <w:rFonts w:ascii="Arial" w:eastAsia="Times New Roman" w:hAnsi="Arial" w:cs="Arial"/>
                <w:color w:val="000000"/>
                <w:sz w:val="16"/>
                <w:szCs w:val="16"/>
              </w:rPr>
            </w:pPr>
            <w:r w:rsidRPr="00AA736F">
              <w:rPr>
                <w:rFonts w:ascii="Arial" w:eastAsia="Times New Roman" w:hAnsi="Arial" w:cs="Arial"/>
                <w:color w:val="000000"/>
                <w:sz w:val="16"/>
                <w:szCs w:val="16"/>
              </w:rPr>
              <w:t>470,397.270</w:t>
            </w:r>
          </w:p>
        </w:tc>
      </w:tr>
      <w:tr w:rsidR="00AA736F" w:rsidRPr="00AA736F" w:rsidTr="003632F3">
        <w:trPr>
          <w:trHeight w:val="300"/>
        </w:trPr>
        <w:tc>
          <w:tcPr>
            <w:tcW w:w="2425"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66"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1030"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r>
      <w:tr w:rsidR="00AA736F" w:rsidRPr="00AA736F" w:rsidTr="003632F3">
        <w:trPr>
          <w:trHeight w:val="300"/>
        </w:trPr>
        <w:tc>
          <w:tcPr>
            <w:tcW w:w="2425"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jc w:val="both"/>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66"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941"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c>
          <w:tcPr>
            <w:tcW w:w="1030" w:type="dxa"/>
            <w:tcBorders>
              <w:top w:val="nil"/>
              <w:left w:val="nil"/>
              <w:bottom w:val="nil"/>
              <w:right w:val="nil"/>
            </w:tcBorders>
            <w:shd w:val="clear" w:color="auto" w:fill="auto"/>
            <w:noWrap/>
            <w:vAlign w:val="bottom"/>
            <w:hideMark/>
          </w:tcPr>
          <w:p w:rsidR="00AA736F" w:rsidRPr="00AA736F" w:rsidRDefault="00AA736F" w:rsidP="00AA736F">
            <w:pPr>
              <w:spacing w:after="0" w:line="240" w:lineRule="auto"/>
              <w:rPr>
                <w:rFonts w:ascii="Arial" w:eastAsia="Times New Roman" w:hAnsi="Arial" w:cs="Arial"/>
                <w:color w:val="000000"/>
                <w:sz w:val="16"/>
                <w:szCs w:val="16"/>
              </w:rPr>
            </w:pPr>
          </w:p>
        </w:tc>
      </w:tr>
    </w:tbl>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pPr>
    </w:p>
    <w:p w:rsidR="00D44402" w:rsidRDefault="00D44402" w:rsidP="005412C1">
      <w:pPr>
        <w:widowControl w:val="0"/>
        <w:tabs>
          <w:tab w:val="left" w:pos="90"/>
        </w:tabs>
        <w:autoSpaceDE w:val="0"/>
        <w:autoSpaceDN w:val="0"/>
        <w:adjustRightInd w:val="0"/>
        <w:spacing w:before="60" w:after="0" w:line="240" w:lineRule="auto"/>
        <w:jc w:val="center"/>
        <w:rPr>
          <w:rFonts w:ascii="Arial" w:hAnsi="Arial" w:cs="Arial"/>
          <w:b/>
          <w:sz w:val="20"/>
          <w:szCs w:val="20"/>
        </w:rPr>
        <w:sectPr w:rsidR="00D44402" w:rsidSect="00D44402">
          <w:pgSz w:w="16838" w:h="11906" w:orient="landscape" w:code="9"/>
          <w:pgMar w:top="993" w:right="1080" w:bottom="1416" w:left="1080" w:header="720" w:footer="720" w:gutter="0"/>
          <w:cols w:space="720"/>
          <w:noEndnote/>
          <w:docGrid w:linePitch="299"/>
        </w:sectPr>
      </w:pPr>
    </w:p>
    <w:p w:rsidR="00280026" w:rsidRPr="00FC6C7C" w:rsidRDefault="00010B68" w:rsidP="003632F3">
      <w:pPr>
        <w:rPr>
          <w:rFonts w:ascii="Arial" w:hAnsi="Arial" w:cs="Arial"/>
          <w:b/>
          <w:lang w:val="es-ES_tradnl"/>
        </w:rPr>
      </w:pPr>
      <w:r w:rsidRPr="00FC6C7C">
        <w:rPr>
          <w:rFonts w:ascii="Arial" w:hAnsi="Arial" w:cs="Arial"/>
          <w:b/>
          <w:lang w:val="es-ES_tradnl"/>
        </w:rPr>
        <w:lastRenderedPageBreak/>
        <w:t>EXPEDIENTES ARCHIVADOS</w:t>
      </w:r>
      <w:r w:rsidR="006E0075" w:rsidRPr="00FC6C7C">
        <w:rPr>
          <w:rFonts w:ascii="Arial" w:hAnsi="Arial" w:cs="Arial"/>
          <w:b/>
          <w:lang w:val="es-ES_tradnl"/>
        </w:rPr>
        <w:t xml:space="preserve"> EN EL AÑO 201</w:t>
      </w:r>
      <w:r w:rsidR="00D06174" w:rsidRPr="00FC6C7C">
        <w:rPr>
          <w:rFonts w:ascii="Arial" w:hAnsi="Arial" w:cs="Arial"/>
          <w:b/>
          <w:lang w:val="es-ES_tradnl"/>
        </w:rPr>
        <w:t>2</w:t>
      </w:r>
    </w:p>
    <w:p w:rsidR="00010B68" w:rsidRPr="003632F3" w:rsidRDefault="007546CB" w:rsidP="003632F3">
      <w:pPr>
        <w:rPr>
          <w:rFonts w:ascii="Arial" w:hAnsi="Arial" w:cs="Arial"/>
          <w:lang w:val="es-ES_tradnl"/>
        </w:rPr>
      </w:pPr>
      <w:r w:rsidRPr="003632F3">
        <w:rPr>
          <w:rFonts w:ascii="Arial" w:hAnsi="Arial" w:cs="Arial"/>
          <w:lang w:val="es-ES_tradnl"/>
        </w:rPr>
        <w:t>Ciento cuarenta y cinco</w:t>
      </w:r>
      <w:r w:rsidR="00010B68" w:rsidRPr="003632F3">
        <w:rPr>
          <w:rFonts w:ascii="Arial" w:hAnsi="Arial" w:cs="Arial"/>
          <w:lang w:val="es-ES_tradnl"/>
        </w:rPr>
        <w:t xml:space="preserve"> (</w:t>
      </w:r>
      <w:r w:rsidRPr="003632F3">
        <w:rPr>
          <w:rFonts w:ascii="Arial" w:hAnsi="Arial" w:cs="Arial"/>
          <w:lang w:val="es-ES_tradnl"/>
        </w:rPr>
        <w:t>145)</w:t>
      </w:r>
      <w:r w:rsidR="00D06174" w:rsidRPr="003632F3">
        <w:rPr>
          <w:rFonts w:ascii="Arial" w:hAnsi="Arial" w:cs="Arial"/>
          <w:lang w:val="es-ES_tradnl"/>
        </w:rPr>
        <w:t xml:space="preserve"> </w:t>
      </w:r>
      <w:r w:rsidR="001F0CA1" w:rsidRPr="003632F3">
        <w:rPr>
          <w:rFonts w:ascii="Arial" w:hAnsi="Arial" w:cs="Arial"/>
          <w:lang w:val="es-ES_tradnl"/>
        </w:rPr>
        <w:t>expedientes</w:t>
      </w:r>
      <w:r w:rsidR="003632F3">
        <w:rPr>
          <w:rFonts w:ascii="Arial" w:hAnsi="Arial" w:cs="Arial"/>
          <w:lang w:val="es-ES_tradnl"/>
        </w:rPr>
        <w:t xml:space="preserve"> archivados cuyo detalle es el siguiente:</w:t>
      </w:r>
    </w:p>
    <w:p w:rsidR="00136C68" w:rsidRPr="00C07666" w:rsidRDefault="00136C68" w:rsidP="00010B68">
      <w:pPr>
        <w:rPr>
          <w:rFonts w:ascii="Arial" w:hAnsi="Arial" w:cs="Arial"/>
          <w:b/>
          <w:u w:val="single"/>
          <w:lang w:val="es-ES_tradnl"/>
        </w:rPr>
      </w:pPr>
      <w:r w:rsidRPr="00C07666">
        <w:rPr>
          <w:rFonts w:ascii="Arial" w:hAnsi="Arial" w:cs="Arial"/>
          <w:b/>
          <w:u w:val="single"/>
          <w:lang w:val="es-ES_tradnl"/>
        </w:rPr>
        <w:t>Expedientes Archivado</w:t>
      </w:r>
      <w:r w:rsidR="00163850" w:rsidRPr="00C07666">
        <w:rPr>
          <w:rFonts w:ascii="Arial" w:hAnsi="Arial" w:cs="Arial"/>
          <w:b/>
          <w:u w:val="single"/>
          <w:lang w:val="es-ES_tradnl"/>
        </w:rPr>
        <w:t>s con recuperación de multa</w:t>
      </w:r>
      <w:r w:rsidR="00D06174" w:rsidRPr="00C07666">
        <w:rPr>
          <w:rFonts w:ascii="Arial" w:hAnsi="Arial" w:cs="Arial"/>
          <w:b/>
          <w:u w:val="single"/>
          <w:lang w:val="es-ES_tradnl"/>
        </w:rPr>
        <w:t>:</w:t>
      </w:r>
      <w:r w:rsidR="00667AB6" w:rsidRPr="00C07666">
        <w:rPr>
          <w:rFonts w:ascii="Arial" w:hAnsi="Arial" w:cs="Arial"/>
          <w:b/>
          <w:u w:val="single"/>
          <w:lang w:val="es-ES_tradnl"/>
        </w:rPr>
        <w:t xml:space="preserve"> Ciento doce </w:t>
      </w:r>
      <w:r w:rsidR="00D06174" w:rsidRPr="00C07666">
        <w:rPr>
          <w:rFonts w:ascii="Arial" w:hAnsi="Arial" w:cs="Arial"/>
          <w:b/>
          <w:u w:val="single"/>
          <w:lang w:val="es-ES_tradnl"/>
        </w:rPr>
        <w:t xml:space="preserve"> </w:t>
      </w:r>
      <w:r w:rsidR="00667AB6" w:rsidRPr="00C07666">
        <w:rPr>
          <w:rFonts w:ascii="Arial" w:hAnsi="Arial" w:cs="Arial"/>
          <w:b/>
          <w:u w:val="single"/>
          <w:lang w:val="es-ES_tradnl"/>
        </w:rPr>
        <w:t>(</w:t>
      </w:r>
      <w:r w:rsidR="00FA07A2" w:rsidRPr="00C07666">
        <w:rPr>
          <w:rFonts w:ascii="Arial" w:hAnsi="Arial" w:cs="Arial"/>
          <w:b/>
          <w:u w:val="single"/>
          <w:lang w:val="es-ES_tradnl"/>
        </w:rPr>
        <w:t>112</w:t>
      </w:r>
      <w:r w:rsidR="00667AB6" w:rsidRPr="00C07666">
        <w:rPr>
          <w:rFonts w:ascii="Arial" w:hAnsi="Arial" w:cs="Arial"/>
          <w:b/>
          <w:u w:val="single"/>
          <w:lang w:val="es-ES_tradnl"/>
        </w:rPr>
        <w:t>)</w:t>
      </w:r>
      <w:r w:rsidR="00D06174" w:rsidRPr="00C07666">
        <w:rPr>
          <w:rFonts w:ascii="Arial" w:hAnsi="Arial" w:cs="Arial"/>
          <w:b/>
          <w:u w:val="single"/>
          <w:lang w:val="es-ES_tradnl"/>
        </w:rPr>
        <w:t xml:space="preserve"> expedientes</w:t>
      </w:r>
    </w:p>
    <w:tbl>
      <w:tblPr>
        <w:tblW w:w="6525" w:type="dxa"/>
        <w:tblInd w:w="70" w:type="dxa"/>
        <w:tblCellMar>
          <w:left w:w="70" w:type="dxa"/>
          <w:right w:w="70" w:type="dxa"/>
        </w:tblCellMar>
        <w:tblLook w:val="04A0" w:firstRow="1" w:lastRow="0" w:firstColumn="1" w:lastColumn="0" w:noHBand="0" w:noVBand="1"/>
      </w:tblPr>
      <w:tblGrid>
        <w:gridCol w:w="3969"/>
        <w:gridCol w:w="1241"/>
        <w:gridCol w:w="1723"/>
      </w:tblGrid>
      <w:tr w:rsidR="006E0075" w:rsidRPr="001A6441" w:rsidTr="001A6441">
        <w:trPr>
          <w:trHeight w:val="383"/>
        </w:trPr>
        <w:tc>
          <w:tcPr>
            <w:tcW w:w="3969" w:type="dxa"/>
            <w:tcBorders>
              <w:top w:val="nil"/>
              <w:left w:val="nil"/>
              <w:bottom w:val="nil"/>
              <w:right w:val="single" w:sz="4"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p>
        </w:tc>
        <w:tc>
          <w:tcPr>
            <w:tcW w:w="2556" w:type="dxa"/>
            <w:gridSpan w:val="2"/>
            <w:tcBorders>
              <w:top w:val="single" w:sz="8" w:space="0" w:color="auto"/>
              <w:left w:val="single" w:sz="4" w:space="0" w:color="auto"/>
              <w:bottom w:val="nil"/>
              <w:right w:val="single" w:sz="4" w:space="0" w:color="auto"/>
            </w:tcBorders>
            <w:noWrap/>
            <w:vAlign w:val="center"/>
            <w:hideMark/>
          </w:tcPr>
          <w:p w:rsidR="006E0075" w:rsidRPr="001A6441" w:rsidRDefault="00477E15"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Año 2012</w:t>
            </w:r>
          </w:p>
        </w:tc>
      </w:tr>
      <w:tr w:rsidR="006E0075" w:rsidRPr="001A6441" w:rsidTr="001A6441">
        <w:trPr>
          <w:trHeight w:val="615"/>
        </w:trPr>
        <w:tc>
          <w:tcPr>
            <w:tcW w:w="3969" w:type="dxa"/>
            <w:tcBorders>
              <w:top w:val="nil"/>
              <w:left w:val="nil"/>
              <w:bottom w:val="nil"/>
              <w:right w:val="single" w:sz="4"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p>
        </w:tc>
        <w:tc>
          <w:tcPr>
            <w:tcW w:w="833" w:type="dxa"/>
            <w:tcBorders>
              <w:top w:val="single" w:sz="8" w:space="0" w:color="auto"/>
              <w:left w:val="single" w:sz="4" w:space="0" w:color="auto"/>
              <w:bottom w:val="single" w:sz="4" w:space="0" w:color="auto"/>
              <w:right w:val="single" w:sz="4"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N° Expedientes</w:t>
            </w:r>
          </w:p>
        </w:tc>
        <w:tc>
          <w:tcPr>
            <w:tcW w:w="1723" w:type="dxa"/>
            <w:tcBorders>
              <w:top w:val="single" w:sz="8" w:space="0" w:color="auto"/>
              <w:left w:val="nil"/>
              <w:bottom w:val="single" w:sz="4" w:space="0" w:color="auto"/>
              <w:right w:val="single" w:sz="4"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Monto recuperado</w:t>
            </w:r>
          </w:p>
        </w:tc>
      </w:tr>
      <w:tr w:rsidR="006E0075" w:rsidRPr="001A6441" w:rsidTr="001A6441">
        <w:trPr>
          <w:trHeight w:val="600"/>
        </w:trPr>
        <w:tc>
          <w:tcPr>
            <w:tcW w:w="3969" w:type="dxa"/>
            <w:tcBorders>
              <w:top w:val="single" w:sz="8" w:space="0" w:color="auto"/>
              <w:left w:val="single" w:sz="8" w:space="0" w:color="auto"/>
              <w:bottom w:val="single" w:sz="4" w:space="0" w:color="auto"/>
              <w:right w:val="single" w:sz="8"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Archivado con cancelación total de la deuda</w:t>
            </w:r>
          </w:p>
        </w:tc>
        <w:tc>
          <w:tcPr>
            <w:tcW w:w="833" w:type="dxa"/>
            <w:tcBorders>
              <w:top w:val="nil"/>
              <w:left w:val="nil"/>
              <w:bottom w:val="single" w:sz="4" w:space="0" w:color="auto"/>
              <w:right w:val="single" w:sz="4" w:space="0" w:color="auto"/>
            </w:tcBorders>
            <w:noWrap/>
            <w:vAlign w:val="bottom"/>
            <w:hideMark/>
          </w:tcPr>
          <w:p w:rsidR="006E0075" w:rsidRPr="001A6441" w:rsidRDefault="00FA07A2"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106</w:t>
            </w:r>
          </w:p>
        </w:tc>
        <w:tc>
          <w:tcPr>
            <w:tcW w:w="1723" w:type="dxa"/>
            <w:tcBorders>
              <w:top w:val="nil"/>
              <w:left w:val="nil"/>
              <w:bottom w:val="single" w:sz="4" w:space="0" w:color="auto"/>
              <w:right w:val="single" w:sz="4" w:space="0" w:color="auto"/>
            </w:tcBorders>
            <w:noWrap/>
            <w:vAlign w:val="bottom"/>
            <w:hideMark/>
          </w:tcPr>
          <w:p w:rsidR="006E0075" w:rsidRPr="001A6441" w:rsidRDefault="00FA07A2"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382,597.16</w:t>
            </w:r>
          </w:p>
        </w:tc>
      </w:tr>
      <w:tr w:rsidR="006E0075" w:rsidRPr="001A6441" w:rsidTr="001A6441">
        <w:trPr>
          <w:trHeight w:val="475"/>
        </w:trPr>
        <w:tc>
          <w:tcPr>
            <w:tcW w:w="3969" w:type="dxa"/>
            <w:tcBorders>
              <w:top w:val="nil"/>
              <w:left w:val="single" w:sz="8" w:space="0" w:color="auto"/>
              <w:bottom w:val="single" w:sz="8" w:space="0" w:color="auto"/>
              <w:right w:val="single" w:sz="8" w:space="0" w:color="auto"/>
            </w:tcBorders>
            <w:noWrap/>
            <w:vAlign w:val="bottom"/>
            <w:hideMark/>
          </w:tcPr>
          <w:p w:rsidR="006E0075" w:rsidRPr="001A6441" w:rsidRDefault="006E0075"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Archivado con cancelación de deuda reducida en un 10%</w:t>
            </w:r>
          </w:p>
        </w:tc>
        <w:tc>
          <w:tcPr>
            <w:tcW w:w="833" w:type="dxa"/>
            <w:tcBorders>
              <w:top w:val="nil"/>
              <w:left w:val="nil"/>
              <w:bottom w:val="single" w:sz="8" w:space="0" w:color="auto"/>
              <w:right w:val="single" w:sz="4" w:space="0" w:color="auto"/>
            </w:tcBorders>
            <w:noWrap/>
            <w:vAlign w:val="bottom"/>
            <w:hideMark/>
          </w:tcPr>
          <w:p w:rsidR="006E0075" w:rsidRPr="001A6441" w:rsidRDefault="00FA07A2"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6</w:t>
            </w:r>
          </w:p>
        </w:tc>
        <w:tc>
          <w:tcPr>
            <w:tcW w:w="1723" w:type="dxa"/>
            <w:tcBorders>
              <w:top w:val="nil"/>
              <w:left w:val="nil"/>
              <w:bottom w:val="single" w:sz="8" w:space="0" w:color="auto"/>
              <w:right w:val="single" w:sz="4" w:space="0" w:color="auto"/>
            </w:tcBorders>
            <w:noWrap/>
            <w:vAlign w:val="bottom"/>
            <w:hideMark/>
          </w:tcPr>
          <w:p w:rsidR="006E0075" w:rsidRPr="001A6441" w:rsidRDefault="00FA07A2" w:rsidP="001A6441">
            <w:pPr>
              <w:spacing w:after="0" w:line="240" w:lineRule="auto"/>
              <w:jc w:val="center"/>
              <w:rPr>
                <w:rFonts w:ascii="Arial" w:hAnsi="Arial" w:cs="Arial"/>
                <w:color w:val="000000"/>
                <w:sz w:val="20"/>
                <w:szCs w:val="20"/>
              </w:rPr>
            </w:pPr>
            <w:r w:rsidRPr="001A6441">
              <w:rPr>
                <w:rFonts w:ascii="Arial" w:hAnsi="Arial" w:cs="Arial"/>
                <w:color w:val="000000"/>
                <w:sz w:val="20"/>
                <w:szCs w:val="20"/>
              </w:rPr>
              <w:t>24,708.37</w:t>
            </w:r>
          </w:p>
        </w:tc>
      </w:tr>
    </w:tbl>
    <w:p w:rsidR="00010B68" w:rsidRPr="001A6441" w:rsidRDefault="00A52D52" w:rsidP="001A6441">
      <w:pPr>
        <w:jc w:val="center"/>
        <w:rPr>
          <w:rFonts w:ascii="Arial" w:hAnsi="Arial" w:cs="Arial"/>
          <w:b/>
          <w:sz w:val="20"/>
          <w:szCs w:val="20"/>
          <w:lang w:val="es-ES_tradnl"/>
        </w:rPr>
      </w:pPr>
      <w:r w:rsidRPr="001A6441">
        <w:rPr>
          <w:rFonts w:ascii="Arial" w:hAnsi="Arial" w:cs="Arial"/>
          <w:color w:val="000000"/>
          <w:sz w:val="20"/>
          <w:szCs w:val="20"/>
        </w:rPr>
        <w:t>.</w:t>
      </w:r>
      <w:r w:rsidR="006E0075" w:rsidRPr="001A6441">
        <w:rPr>
          <w:rFonts w:ascii="Arial" w:hAnsi="Arial" w:cs="Arial"/>
          <w:color w:val="000000"/>
          <w:sz w:val="20"/>
          <w:szCs w:val="20"/>
        </w:rPr>
        <w:t xml:space="preserve">  </w:t>
      </w:r>
      <w:r w:rsidRPr="001A6441">
        <w:rPr>
          <w:rFonts w:ascii="Arial" w:hAnsi="Arial" w:cs="Arial"/>
          <w:color w:val="000000"/>
          <w:sz w:val="20"/>
          <w:szCs w:val="20"/>
        </w:rPr>
        <w:t xml:space="preserve">  </w:t>
      </w:r>
      <w:r w:rsidR="00477E15" w:rsidRPr="001A6441">
        <w:rPr>
          <w:rFonts w:ascii="Arial" w:hAnsi="Arial" w:cs="Arial"/>
          <w:color w:val="000000"/>
          <w:sz w:val="20"/>
          <w:szCs w:val="20"/>
        </w:rPr>
        <w:t xml:space="preserve">         </w:t>
      </w:r>
      <w:r w:rsidR="0001421E" w:rsidRPr="001A6441">
        <w:rPr>
          <w:rFonts w:ascii="Arial" w:hAnsi="Arial" w:cs="Arial"/>
          <w:color w:val="000000"/>
          <w:sz w:val="20"/>
          <w:szCs w:val="20"/>
        </w:rPr>
        <w:t xml:space="preserve"> </w:t>
      </w:r>
      <w:r w:rsidRPr="001A6441">
        <w:rPr>
          <w:rFonts w:ascii="Arial" w:hAnsi="Arial" w:cs="Arial"/>
          <w:color w:val="000000"/>
          <w:sz w:val="20"/>
          <w:szCs w:val="20"/>
        </w:rPr>
        <w:t xml:space="preserve">  </w:t>
      </w:r>
      <w:r w:rsidR="00FA07A2" w:rsidRPr="001A6441">
        <w:rPr>
          <w:rFonts w:ascii="Arial" w:hAnsi="Arial" w:cs="Arial"/>
          <w:color w:val="000000"/>
          <w:sz w:val="20"/>
          <w:szCs w:val="20"/>
        </w:rPr>
        <w:t>112</w:t>
      </w:r>
      <w:r w:rsidRPr="001A6441">
        <w:rPr>
          <w:rFonts w:ascii="Arial" w:hAnsi="Arial" w:cs="Arial"/>
          <w:color w:val="000000"/>
          <w:sz w:val="20"/>
          <w:szCs w:val="20"/>
        </w:rPr>
        <w:t xml:space="preserve">     </w:t>
      </w:r>
      <w:r w:rsidR="00FA07A2" w:rsidRPr="001A6441">
        <w:rPr>
          <w:rFonts w:ascii="Arial" w:hAnsi="Arial" w:cs="Arial"/>
          <w:color w:val="000000"/>
          <w:sz w:val="20"/>
          <w:szCs w:val="20"/>
        </w:rPr>
        <w:t>S/. 407,305.53</w:t>
      </w:r>
    </w:p>
    <w:p w:rsidR="006474DE" w:rsidRPr="001A6441" w:rsidRDefault="006474DE" w:rsidP="001A6441">
      <w:pPr>
        <w:pStyle w:val="Prrafodelista"/>
        <w:numPr>
          <w:ilvl w:val="0"/>
          <w:numId w:val="13"/>
        </w:numPr>
        <w:rPr>
          <w:rFonts w:ascii="Arial" w:hAnsi="Arial" w:cs="Arial"/>
          <w:b/>
          <w:sz w:val="16"/>
          <w:szCs w:val="16"/>
          <w:lang w:val="es-ES_tradnl"/>
        </w:rPr>
      </w:pPr>
      <w:r w:rsidRPr="001A6441">
        <w:rPr>
          <w:rFonts w:ascii="Arial" w:hAnsi="Arial" w:cs="Arial"/>
          <w:sz w:val="16"/>
          <w:szCs w:val="16"/>
          <w:lang w:val="es-ES_tradnl"/>
        </w:rPr>
        <w:t xml:space="preserve">El monto recuperado en expedientes archivados de S/. </w:t>
      </w:r>
      <w:r w:rsidR="00FA07A2" w:rsidRPr="001A6441">
        <w:rPr>
          <w:rFonts w:ascii="Arial" w:hAnsi="Arial" w:cs="Arial"/>
          <w:sz w:val="16"/>
          <w:szCs w:val="16"/>
          <w:lang w:val="es-ES_tradnl"/>
        </w:rPr>
        <w:t>407,305.53</w:t>
      </w:r>
      <w:r w:rsidRPr="001A6441">
        <w:rPr>
          <w:rFonts w:ascii="Arial" w:hAnsi="Arial" w:cs="Arial"/>
          <w:sz w:val="16"/>
          <w:szCs w:val="16"/>
          <w:lang w:val="es-ES_tradnl"/>
        </w:rPr>
        <w:t xml:space="preserve"> difiere del total recaudado</w:t>
      </w:r>
      <w:r w:rsidR="00D57059" w:rsidRPr="001A6441">
        <w:rPr>
          <w:rFonts w:ascii="Arial" w:hAnsi="Arial" w:cs="Arial"/>
          <w:sz w:val="16"/>
          <w:szCs w:val="16"/>
          <w:lang w:val="es-ES_tradnl"/>
        </w:rPr>
        <w:t xml:space="preserve"> en el </w:t>
      </w:r>
      <w:r w:rsidR="00CF5373" w:rsidRPr="001A6441">
        <w:rPr>
          <w:rFonts w:ascii="Arial" w:hAnsi="Arial" w:cs="Arial"/>
          <w:sz w:val="16"/>
          <w:szCs w:val="16"/>
          <w:lang w:val="es-ES_tradnl"/>
        </w:rPr>
        <w:t xml:space="preserve">año </w:t>
      </w:r>
      <w:r w:rsidR="00D57059" w:rsidRPr="001A6441">
        <w:rPr>
          <w:rFonts w:ascii="Arial" w:hAnsi="Arial" w:cs="Arial"/>
          <w:sz w:val="16"/>
          <w:szCs w:val="16"/>
          <w:lang w:val="es-ES_tradnl"/>
        </w:rPr>
        <w:t>201</w:t>
      </w:r>
      <w:r w:rsidR="00FA07A2" w:rsidRPr="001A6441">
        <w:rPr>
          <w:rFonts w:ascii="Arial" w:hAnsi="Arial" w:cs="Arial"/>
          <w:sz w:val="16"/>
          <w:szCs w:val="16"/>
          <w:lang w:val="es-ES_tradnl"/>
        </w:rPr>
        <w:t>2</w:t>
      </w:r>
      <w:r w:rsidRPr="001A6441">
        <w:rPr>
          <w:rFonts w:ascii="Arial" w:hAnsi="Arial" w:cs="Arial"/>
          <w:sz w:val="16"/>
          <w:szCs w:val="16"/>
          <w:lang w:val="es-ES_tradnl"/>
        </w:rPr>
        <w:t xml:space="preserve"> (</w:t>
      </w:r>
      <w:r w:rsidR="00FA07A2" w:rsidRPr="001A6441">
        <w:rPr>
          <w:rFonts w:ascii="Arial" w:hAnsi="Arial" w:cs="Arial"/>
          <w:sz w:val="16"/>
          <w:szCs w:val="16"/>
          <w:lang w:val="es-ES_tradnl"/>
        </w:rPr>
        <w:t>470,397.27</w:t>
      </w:r>
      <w:r w:rsidRPr="001A6441">
        <w:rPr>
          <w:rFonts w:ascii="Arial" w:hAnsi="Arial" w:cs="Arial"/>
          <w:sz w:val="16"/>
          <w:szCs w:val="16"/>
          <w:lang w:val="es-ES_tradnl"/>
        </w:rPr>
        <w:t>) por que en dicho monto recaudado está considerado los abonos efectuados a la cuenta de cobranza coactiva de expedientes que aún no han sido archivados y que se encuentran en procedimiento de ejecución coactiva, pues todavía no se ha cumplido con cancelar el total de la multa.</w:t>
      </w:r>
      <w:r w:rsidRPr="001A6441">
        <w:rPr>
          <w:rFonts w:ascii="Arial" w:hAnsi="Arial" w:cs="Arial"/>
          <w:b/>
          <w:sz w:val="16"/>
          <w:szCs w:val="16"/>
          <w:lang w:val="es-ES_tradnl"/>
        </w:rPr>
        <w:t xml:space="preserve"> </w:t>
      </w:r>
    </w:p>
    <w:p w:rsidR="00136C68" w:rsidRPr="00C07666" w:rsidRDefault="00136C68" w:rsidP="00136C68">
      <w:pPr>
        <w:rPr>
          <w:rFonts w:ascii="Arial" w:hAnsi="Arial" w:cs="Arial"/>
          <w:b/>
          <w:u w:val="single"/>
          <w:lang w:val="es-ES_tradnl"/>
        </w:rPr>
      </w:pPr>
      <w:r w:rsidRPr="00C07666">
        <w:rPr>
          <w:rFonts w:ascii="Arial" w:hAnsi="Arial" w:cs="Arial"/>
          <w:b/>
          <w:u w:val="single"/>
          <w:lang w:val="es-ES_tradnl"/>
        </w:rPr>
        <w:t>Expedientes Archivados por cancelación de multa a la</w:t>
      </w:r>
      <w:r w:rsidR="005D74BF" w:rsidRPr="00C07666">
        <w:rPr>
          <w:rFonts w:ascii="Arial" w:hAnsi="Arial" w:cs="Arial"/>
          <w:b/>
          <w:u w:val="single"/>
          <w:lang w:val="es-ES_tradnl"/>
        </w:rPr>
        <w:t xml:space="preserve"> Gerencia Sectorial de Origen</w:t>
      </w:r>
      <w:r w:rsidR="00667AB6" w:rsidRPr="00C07666">
        <w:rPr>
          <w:rFonts w:ascii="Arial" w:hAnsi="Arial" w:cs="Arial"/>
          <w:b/>
          <w:u w:val="single"/>
          <w:lang w:val="es-ES_tradnl"/>
        </w:rPr>
        <w:t>: Siete (7)</w:t>
      </w:r>
      <w:r w:rsidRPr="00C07666">
        <w:rPr>
          <w:rFonts w:ascii="Arial" w:hAnsi="Arial" w:cs="Arial"/>
          <w:b/>
          <w:u w:val="single"/>
          <w:lang w:val="es-ES_tradnl"/>
        </w:rPr>
        <w:t xml:space="preserve"> expedientes</w:t>
      </w:r>
    </w:p>
    <w:p w:rsidR="00860A8F" w:rsidRPr="00FC6C7C" w:rsidRDefault="00860A8F" w:rsidP="00860A8F">
      <w:pPr>
        <w:jc w:val="both"/>
        <w:rPr>
          <w:rFonts w:ascii="Arial" w:hAnsi="Arial" w:cs="Arial"/>
          <w:lang w:val="es-ES_tradnl"/>
        </w:rPr>
      </w:pPr>
      <w:r w:rsidRPr="00FC6C7C">
        <w:rPr>
          <w:rFonts w:ascii="Arial" w:hAnsi="Arial" w:cs="Arial"/>
          <w:lang w:val="es-ES_tradnl"/>
        </w:rPr>
        <w:t>Son aquellos expedientes archivados por haber cancelado la deuda a la Gerencia Sectorial de Origen, por lo cual no se efectuó abono a la cuenta de cobranzas coactivas del Gobierno Regional La Libertad</w:t>
      </w:r>
    </w:p>
    <w:tbl>
      <w:tblPr>
        <w:tblW w:w="7371" w:type="dxa"/>
        <w:tblInd w:w="70" w:type="dxa"/>
        <w:tblCellMar>
          <w:left w:w="70" w:type="dxa"/>
          <w:right w:w="70" w:type="dxa"/>
        </w:tblCellMar>
        <w:tblLook w:val="04A0" w:firstRow="1" w:lastRow="0" w:firstColumn="1" w:lastColumn="0" w:noHBand="0" w:noVBand="1"/>
      </w:tblPr>
      <w:tblGrid>
        <w:gridCol w:w="3402"/>
        <w:gridCol w:w="1594"/>
        <w:gridCol w:w="2375"/>
      </w:tblGrid>
      <w:tr w:rsidR="005B7658" w:rsidRPr="00FC6C7C" w:rsidTr="001A6441">
        <w:trPr>
          <w:trHeight w:val="315"/>
        </w:trPr>
        <w:tc>
          <w:tcPr>
            <w:tcW w:w="3402" w:type="dxa"/>
            <w:tcBorders>
              <w:top w:val="nil"/>
              <w:left w:val="nil"/>
              <w:bottom w:val="nil"/>
              <w:right w:val="single" w:sz="4" w:space="0" w:color="auto"/>
            </w:tcBorders>
            <w:noWrap/>
            <w:vAlign w:val="bottom"/>
            <w:hideMark/>
          </w:tcPr>
          <w:p w:rsidR="005B7658" w:rsidRPr="00FC6C7C" w:rsidRDefault="005B7658" w:rsidP="0096376D">
            <w:pPr>
              <w:spacing w:after="0" w:line="240" w:lineRule="auto"/>
              <w:jc w:val="center"/>
              <w:rPr>
                <w:rFonts w:ascii="Arial" w:hAnsi="Arial" w:cs="Arial"/>
                <w:color w:val="000000"/>
              </w:rPr>
            </w:pPr>
          </w:p>
        </w:tc>
        <w:tc>
          <w:tcPr>
            <w:tcW w:w="3969" w:type="dxa"/>
            <w:gridSpan w:val="2"/>
            <w:tcBorders>
              <w:top w:val="single" w:sz="8" w:space="0" w:color="auto"/>
              <w:left w:val="single" w:sz="4" w:space="0" w:color="auto"/>
              <w:bottom w:val="nil"/>
              <w:right w:val="single" w:sz="4" w:space="0" w:color="auto"/>
            </w:tcBorders>
            <w:noWrap/>
            <w:vAlign w:val="center"/>
            <w:hideMark/>
          </w:tcPr>
          <w:p w:rsidR="005B7658" w:rsidRPr="00FC6C7C" w:rsidRDefault="006000B8" w:rsidP="0096376D">
            <w:pPr>
              <w:spacing w:after="0" w:line="240" w:lineRule="auto"/>
              <w:jc w:val="center"/>
              <w:rPr>
                <w:rFonts w:ascii="Arial" w:hAnsi="Arial" w:cs="Arial"/>
                <w:color w:val="000000"/>
              </w:rPr>
            </w:pPr>
            <w:r w:rsidRPr="00FC6C7C">
              <w:rPr>
                <w:rFonts w:ascii="Arial" w:hAnsi="Arial" w:cs="Arial"/>
                <w:color w:val="000000"/>
              </w:rPr>
              <w:t>Año 2012</w:t>
            </w:r>
          </w:p>
        </w:tc>
      </w:tr>
      <w:tr w:rsidR="005B7658" w:rsidRPr="00FC6C7C" w:rsidTr="001A6441">
        <w:trPr>
          <w:trHeight w:val="493"/>
        </w:trPr>
        <w:tc>
          <w:tcPr>
            <w:tcW w:w="3402" w:type="dxa"/>
            <w:tcBorders>
              <w:top w:val="nil"/>
              <w:left w:val="nil"/>
              <w:bottom w:val="nil"/>
              <w:right w:val="single" w:sz="4" w:space="0" w:color="auto"/>
            </w:tcBorders>
            <w:noWrap/>
            <w:vAlign w:val="bottom"/>
            <w:hideMark/>
          </w:tcPr>
          <w:p w:rsidR="005B7658" w:rsidRPr="00FC6C7C" w:rsidRDefault="005B7658" w:rsidP="0096376D">
            <w:pPr>
              <w:spacing w:after="0" w:line="240" w:lineRule="auto"/>
              <w:jc w:val="center"/>
              <w:rPr>
                <w:rFonts w:ascii="Arial" w:hAnsi="Arial" w:cs="Arial"/>
                <w:color w:val="000000"/>
              </w:rPr>
            </w:pPr>
          </w:p>
        </w:tc>
        <w:tc>
          <w:tcPr>
            <w:tcW w:w="1594" w:type="dxa"/>
            <w:tcBorders>
              <w:top w:val="single" w:sz="8" w:space="0" w:color="auto"/>
              <w:left w:val="single" w:sz="4" w:space="0" w:color="auto"/>
              <w:bottom w:val="single" w:sz="4" w:space="0" w:color="auto"/>
              <w:right w:val="single" w:sz="4" w:space="0" w:color="auto"/>
            </w:tcBorders>
            <w:noWrap/>
            <w:vAlign w:val="bottom"/>
            <w:hideMark/>
          </w:tcPr>
          <w:p w:rsidR="005B7658" w:rsidRPr="00FC6C7C" w:rsidRDefault="005B7658" w:rsidP="0096376D">
            <w:pPr>
              <w:spacing w:after="0" w:line="240" w:lineRule="auto"/>
              <w:jc w:val="center"/>
              <w:rPr>
                <w:rFonts w:ascii="Arial" w:hAnsi="Arial" w:cs="Arial"/>
                <w:color w:val="000000"/>
              </w:rPr>
            </w:pPr>
            <w:r w:rsidRPr="00FC6C7C">
              <w:rPr>
                <w:rFonts w:ascii="Arial" w:hAnsi="Arial" w:cs="Arial"/>
                <w:color w:val="000000"/>
              </w:rPr>
              <w:t>N° Expedientes</w:t>
            </w:r>
          </w:p>
        </w:tc>
        <w:tc>
          <w:tcPr>
            <w:tcW w:w="2375" w:type="dxa"/>
            <w:tcBorders>
              <w:top w:val="single" w:sz="8" w:space="0" w:color="auto"/>
              <w:left w:val="nil"/>
              <w:bottom w:val="single" w:sz="4" w:space="0" w:color="auto"/>
              <w:right w:val="single" w:sz="4" w:space="0" w:color="auto"/>
            </w:tcBorders>
            <w:noWrap/>
            <w:vAlign w:val="bottom"/>
            <w:hideMark/>
          </w:tcPr>
          <w:p w:rsidR="005B7658" w:rsidRPr="00FC6C7C" w:rsidRDefault="005B7658" w:rsidP="005B7658">
            <w:pPr>
              <w:spacing w:after="0" w:line="240" w:lineRule="auto"/>
              <w:jc w:val="center"/>
              <w:rPr>
                <w:rFonts w:ascii="Arial" w:hAnsi="Arial" w:cs="Arial"/>
                <w:color w:val="000000"/>
              </w:rPr>
            </w:pPr>
            <w:r w:rsidRPr="00FC6C7C">
              <w:rPr>
                <w:rFonts w:ascii="Arial" w:hAnsi="Arial" w:cs="Arial"/>
                <w:color w:val="000000"/>
              </w:rPr>
              <w:t xml:space="preserve">Monto a la Gerencia de origen </w:t>
            </w:r>
          </w:p>
        </w:tc>
      </w:tr>
      <w:tr w:rsidR="005B7658" w:rsidRPr="00FC6C7C" w:rsidTr="001A6441">
        <w:trPr>
          <w:trHeight w:val="635"/>
        </w:trPr>
        <w:tc>
          <w:tcPr>
            <w:tcW w:w="3402" w:type="dxa"/>
            <w:tcBorders>
              <w:top w:val="single" w:sz="8" w:space="0" w:color="auto"/>
              <w:left w:val="single" w:sz="8" w:space="0" w:color="auto"/>
              <w:bottom w:val="single" w:sz="4" w:space="0" w:color="auto"/>
              <w:right w:val="single" w:sz="8" w:space="0" w:color="auto"/>
            </w:tcBorders>
            <w:noWrap/>
            <w:vAlign w:val="bottom"/>
            <w:hideMark/>
          </w:tcPr>
          <w:p w:rsidR="005B7658" w:rsidRPr="00FC6C7C" w:rsidRDefault="005B7658" w:rsidP="0096376D">
            <w:pPr>
              <w:spacing w:after="0" w:line="240" w:lineRule="auto"/>
              <w:jc w:val="center"/>
              <w:rPr>
                <w:rFonts w:ascii="Arial" w:hAnsi="Arial" w:cs="Arial"/>
                <w:color w:val="000000"/>
              </w:rPr>
            </w:pPr>
            <w:r w:rsidRPr="00FC6C7C">
              <w:rPr>
                <w:rFonts w:ascii="Arial" w:hAnsi="Arial" w:cs="Arial"/>
                <w:color w:val="000000"/>
              </w:rPr>
              <w:t>Archivado (cancelaron la deuda a la Gerencia Sectorial de Origen)</w:t>
            </w:r>
          </w:p>
        </w:tc>
        <w:tc>
          <w:tcPr>
            <w:tcW w:w="1594" w:type="dxa"/>
            <w:tcBorders>
              <w:top w:val="nil"/>
              <w:left w:val="nil"/>
              <w:bottom w:val="single" w:sz="4" w:space="0" w:color="auto"/>
              <w:right w:val="single" w:sz="4" w:space="0" w:color="auto"/>
            </w:tcBorders>
            <w:noWrap/>
            <w:vAlign w:val="bottom"/>
            <w:hideMark/>
          </w:tcPr>
          <w:p w:rsidR="005B7658" w:rsidRPr="00FC6C7C" w:rsidRDefault="00667AB6" w:rsidP="0096376D">
            <w:pPr>
              <w:spacing w:after="0" w:line="240" w:lineRule="auto"/>
              <w:jc w:val="right"/>
              <w:rPr>
                <w:rFonts w:ascii="Arial" w:hAnsi="Arial" w:cs="Arial"/>
                <w:color w:val="000000"/>
              </w:rPr>
            </w:pPr>
            <w:r w:rsidRPr="00FC6C7C">
              <w:rPr>
                <w:rFonts w:ascii="Arial" w:hAnsi="Arial" w:cs="Arial"/>
                <w:color w:val="000000"/>
              </w:rPr>
              <w:t>7</w:t>
            </w:r>
          </w:p>
        </w:tc>
        <w:tc>
          <w:tcPr>
            <w:tcW w:w="2375" w:type="dxa"/>
            <w:tcBorders>
              <w:top w:val="nil"/>
              <w:left w:val="nil"/>
              <w:bottom w:val="single" w:sz="4" w:space="0" w:color="auto"/>
              <w:right w:val="single" w:sz="4" w:space="0" w:color="auto"/>
            </w:tcBorders>
            <w:noWrap/>
            <w:vAlign w:val="bottom"/>
            <w:hideMark/>
          </w:tcPr>
          <w:p w:rsidR="005B7658" w:rsidRPr="00FC6C7C" w:rsidRDefault="00667AB6" w:rsidP="0096376D">
            <w:pPr>
              <w:spacing w:after="0" w:line="240" w:lineRule="auto"/>
              <w:jc w:val="right"/>
              <w:rPr>
                <w:rFonts w:ascii="Arial" w:hAnsi="Arial" w:cs="Arial"/>
                <w:color w:val="000000"/>
              </w:rPr>
            </w:pPr>
            <w:r w:rsidRPr="00FC6C7C">
              <w:rPr>
                <w:rFonts w:ascii="Arial" w:hAnsi="Arial" w:cs="Arial"/>
                <w:color w:val="000000"/>
              </w:rPr>
              <w:t>16,577.50</w:t>
            </w:r>
          </w:p>
        </w:tc>
      </w:tr>
    </w:tbl>
    <w:p w:rsidR="001A6441" w:rsidRDefault="001A6441" w:rsidP="00CD27F4">
      <w:pPr>
        <w:jc w:val="both"/>
        <w:rPr>
          <w:rFonts w:ascii="Arial" w:hAnsi="Arial" w:cs="Arial"/>
          <w:b/>
          <w:lang w:val="es-ES_tradnl"/>
        </w:rPr>
      </w:pPr>
    </w:p>
    <w:p w:rsidR="00860A8F" w:rsidRPr="00C07666" w:rsidRDefault="00860A8F" w:rsidP="00CD27F4">
      <w:pPr>
        <w:jc w:val="both"/>
        <w:rPr>
          <w:rFonts w:ascii="Arial" w:hAnsi="Arial" w:cs="Arial"/>
          <w:b/>
          <w:u w:val="single"/>
          <w:lang w:val="es-ES_tradnl"/>
        </w:rPr>
      </w:pPr>
      <w:r w:rsidRPr="00C07666">
        <w:rPr>
          <w:rFonts w:ascii="Arial" w:hAnsi="Arial" w:cs="Arial"/>
          <w:b/>
          <w:u w:val="single"/>
          <w:lang w:val="es-ES_tradnl"/>
        </w:rPr>
        <w:t>Expedientes Archivados por inejecutable procedimiento de Ejecución Coactiva</w:t>
      </w:r>
      <w:r w:rsidR="007546CB" w:rsidRPr="00C07666">
        <w:rPr>
          <w:rFonts w:ascii="Arial" w:hAnsi="Arial" w:cs="Arial"/>
          <w:b/>
          <w:u w:val="single"/>
          <w:lang w:val="es-ES_tradnl"/>
        </w:rPr>
        <w:t>: Veintiséis</w:t>
      </w:r>
      <w:r w:rsidR="00376A70" w:rsidRPr="00C07666">
        <w:rPr>
          <w:rFonts w:ascii="Arial" w:hAnsi="Arial" w:cs="Arial"/>
          <w:b/>
          <w:u w:val="single"/>
          <w:lang w:val="es-ES_tradnl"/>
        </w:rPr>
        <w:t xml:space="preserve"> </w:t>
      </w:r>
      <w:r w:rsidR="007546CB" w:rsidRPr="00C07666">
        <w:rPr>
          <w:rFonts w:ascii="Arial" w:hAnsi="Arial" w:cs="Arial"/>
          <w:b/>
          <w:u w:val="single"/>
          <w:lang w:val="es-ES_tradnl"/>
        </w:rPr>
        <w:t xml:space="preserve">(26) </w:t>
      </w:r>
      <w:r w:rsidR="00376A70" w:rsidRPr="00C07666">
        <w:rPr>
          <w:rFonts w:ascii="Arial" w:hAnsi="Arial" w:cs="Arial"/>
          <w:b/>
          <w:u w:val="single"/>
          <w:lang w:val="es-ES_tradnl"/>
        </w:rPr>
        <w:t>expedientes</w:t>
      </w:r>
    </w:p>
    <w:tbl>
      <w:tblPr>
        <w:tblW w:w="5785" w:type="dxa"/>
        <w:tblInd w:w="212" w:type="dxa"/>
        <w:tblCellMar>
          <w:left w:w="70" w:type="dxa"/>
          <w:right w:w="70" w:type="dxa"/>
        </w:tblCellMar>
        <w:tblLook w:val="04A0" w:firstRow="1" w:lastRow="0" w:firstColumn="1" w:lastColumn="0" w:noHBand="0" w:noVBand="1"/>
      </w:tblPr>
      <w:tblGrid>
        <w:gridCol w:w="3119"/>
        <w:gridCol w:w="1351"/>
        <w:gridCol w:w="1315"/>
      </w:tblGrid>
      <w:tr w:rsidR="00641851" w:rsidRPr="00FC6C7C" w:rsidTr="001A6441">
        <w:trPr>
          <w:trHeight w:val="315"/>
        </w:trPr>
        <w:tc>
          <w:tcPr>
            <w:tcW w:w="3119" w:type="dxa"/>
            <w:tcBorders>
              <w:top w:val="nil"/>
              <w:left w:val="nil"/>
              <w:bottom w:val="nil"/>
              <w:right w:val="single" w:sz="4" w:space="0" w:color="auto"/>
            </w:tcBorders>
            <w:noWrap/>
            <w:vAlign w:val="bottom"/>
            <w:hideMark/>
          </w:tcPr>
          <w:p w:rsidR="00641851" w:rsidRPr="00FC6C7C" w:rsidRDefault="00641851" w:rsidP="00D9764F">
            <w:pPr>
              <w:spacing w:after="0" w:line="240" w:lineRule="auto"/>
              <w:jc w:val="center"/>
              <w:rPr>
                <w:rFonts w:ascii="Arial" w:hAnsi="Arial" w:cs="Arial"/>
                <w:color w:val="000000"/>
              </w:rPr>
            </w:pPr>
          </w:p>
        </w:tc>
        <w:tc>
          <w:tcPr>
            <w:tcW w:w="2666" w:type="dxa"/>
            <w:gridSpan w:val="2"/>
            <w:tcBorders>
              <w:top w:val="single" w:sz="8" w:space="0" w:color="auto"/>
              <w:left w:val="single" w:sz="4" w:space="0" w:color="auto"/>
              <w:bottom w:val="nil"/>
              <w:right w:val="single" w:sz="4" w:space="0" w:color="auto"/>
            </w:tcBorders>
            <w:noWrap/>
            <w:vAlign w:val="center"/>
            <w:hideMark/>
          </w:tcPr>
          <w:p w:rsidR="00641851" w:rsidRPr="00FC6C7C" w:rsidRDefault="00376A70" w:rsidP="00D9764F">
            <w:pPr>
              <w:spacing w:after="0" w:line="240" w:lineRule="auto"/>
              <w:jc w:val="center"/>
              <w:rPr>
                <w:rFonts w:ascii="Arial" w:hAnsi="Arial" w:cs="Arial"/>
                <w:color w:val="000000"/>
              </w:rPr>
            </w:pPr>
            <w:r w:rsidRPr="00FC6C7C">
              <w:rPr>
                <w:rFonts w:ascii="Arial" w:hAnsi="Arial" w:cs="Arial"/>
                <w:color w:val="000000"/>
              </w:rPr>
              <w:t>Año 2012</w:t>
            </w:r>
          </w:p>
        </w:tc>
      </w:tr>
      <w:tr w:rsidR="00641851" w:rsidRPr="00FC6C7C" w:rsidTr="001A6441">
        <w:trPr>
          <w:trHeight w:val="615"/>
        </w:trPr>
        <w:tc>
          <w:tcPr>
            <w:tcW w:w="3119" w:type="dxa"/>
            <w:tcBorders>
              <w:top w:val="nil"/>
              <w:left w:val="nil"/>
              <w:bottom w:val="nil"/>
              <w:right w:val="single" w:sz="4" w:space="0" w:color="auto"/>
            </w:tcBorders>
            <w:noWrap/>
            <w:vAlign w:val="bottom"/>
            <w:hideMark/>
          </w:tcPr>
          <w:p w:rsidR="00641851" w:rsidRPr="00FC6C7C" w:rsidRDefault="00641851" w:rsidP="00D9764F">
            <w:pPr>
              <w:spacing w:after="0" w:line="240" w:lineRule="auto"/>
              <w:jc w:val="center"/>
              <w:rPr>
                <w:rFonts w:ascii="Arial" w:hAnsi="Arial" w:cs="Arial"/>
                <w:color w:val="000000"/>
              </w:rPr>
            </w:pPr>
          </w:p>
        </w:tc>
        <w:tc>
          <w:tcPr>
            <w:tcW w:w="1351" w:type="dxa"/>
            <w:tcBorders>
              <w:top w:val="single" w:sz="8" w:space="0" w:color="auto"/>
              <w:left w:val="single" w:sz="4" w:space="0" w:color="auto"/>
              <w:bottom w:val="single" w:sz="4" w:space="0" w:color="auto"/>
              <w:right w:val="single" w:sz="4" w:space="0" w:color="auto"/>
            </w:tcBorders>
            <w:noWrap/>
            <w:vAlign w:val="bottom"/>
            <w:hideMark/>
          </w:tcPr>
          <w:p w:rsidR="00641851" w:rsidRPr="00FC6C7C" w:rsidRDefault="00641851" w:rsidP="00D9764F">
            <w:pPr>
              <w:spacing w:after="0" w:line="240" w:lineRule="auto"/>
              <w:jc w:val="center"/>
              <w:rPr>
                <w:rFonts w:ascii="Arial" w:hAnsi="Arial" w:cs="Arial"/>
                <w:color w:val="000000"/>
              </w:rPr>
            </w:pPr>
            <w:r w:rsidRPr="00FC6C7C">
              <w:rPr>
                <w:rFonts w:ascii="Arial" w:hAnsi="Arial" w:cs="Arial"/>
                <w:color w:val="000000"/>
              </w:rPr>
              <w:t>N° Expedientes</w:t>
            </w:r>
          </w:p>
        </w:tc>
        <w:tc>
          <w:tcPr>
            <w:tcW w:w="1315" w:type="dxa"/>
            <w:tcBorders>
              <w:top w:val="single" w:sz="8" w:space="0" w:color="auto"/>
              <w:left w:val="nil"/>
              <w:bottom w:val="single" w:sz="4" w:space="0" w:color="auto"/>
              <w:right w:val="single" w:sz="4" w:space="0" w:color="auto"/>
            </w:tcBorders>
            <w:noWrap/>
            <w:vAlign w:val="bottom"/>
            <w:hideMark/>
          </w:tcPr>
          <w:p w:rsidR="00641851" w:rsidRPr="00FC6C7C" w:rsidRDefault="00641851" w:rsidP="00D9764F">
            <w:pPr>
              <w:spacing w:after="0" w:line="240" w:lineRule="auto"/>
              <w:jc w:val="center"/>
              <w:rPr>
                <w:rFonts w:ascii="Arial" w:hAnsi="Arial" w:cs="Arial"/>
                <w:color w:val="000000"/>
              </w:rPr>
            </w:pPr>
            <w:r w:rsidRPr="00FC6C7C">
              <w:rPr>
                <w:rFonts w:ascii="Arial" w:hAnsi="Arial" w:cs="Arial"/>
                <w:color w:val="000000"/>
              </w:rPr>
              <w:t>Monto inejecutable</w:t>
            </w:r>
          </w:p>
        </w:tc>
      </w:tr>
      <w:tr w:rsidR="00641851" w:rsidRPr="00FC6C7C" w:rsidTr="001A6441">
        <w:trPr>
          <w:trHeight w:val="647"/>
        </w:trPr>
        <w:tc>
          <w:tcPr>
            <w:tcW w:w="3119" w:type="dxa"/>
            <w:tcBorders>
              <w:top w:val="single" w:sz="8" w:space="0" w:color="auto"/>
              <w:left w:val="single" w:sz="8" w:space="0" w:color="auto"/>
              <w:bottom w:val="single" w:sz="4" w:space="0" w:color="auto"/>
              <w:right w:val="single" w:sz="8" w:space="0" w:color="auto"/>
            </w:tcBorders>
            <w:noWrap/>
            <w:vAlign w:val="bottom"/>
            <w:hideMark/>
          </w:tcPr>
          <w:p w:rsidR="00641851" w:rsidRPr="00FC6C7C" w:rsidRDefault="00641851" w:rsidP="00D9764F">
            <w:pPr>
              <w:spacing w:after="0" w:line="240" w:lineRule="auto"/>
              <w:jc w:val="center"/>
              <w:rPr>
                <w:rFonts w:ascii="Arial" w:hAnsi="Arial" w:cs="Arial"/>
                <w:color w:val="000000"/>
              </w:rPr>
            </w:pPr>
            <w:r w:rsidRPr="00FC6C7C">
              <w:rPr>
                <w:rFonts w:ascii="Arial" w:hAnsi="Arial" w:cs="Arial"/>
                <w:color w:val="000000"/>
              </w:rPr>
              <w:t>Archivado Inejecutable procedimiento de E.C.</w:t>
            </w:r>
          </w:p>
        </w:tc>
        <w:tc>
          <w:tcPr>
            <w:tcW w:w="1351" w:type="dxa"/>
            <w:tcBorders>
              <w:top w:val="nil"/>
              <w:left w:val="nil"/>
              <w:bottom w:val="single" w:sz="4" w:space="0" w:color="auto"/>
              <w:right w:val="single" w:sz="4" w:space="0" w:color="auto"/>
            </w:tcBorders>
            <w:noWrap/>
            <w:vAlign w:val="bottom"/>
            <w:hideMark/>
          </w:tcPr>
          <w:p w:rsidR="00641851" w:rsidRPr="00FC6C7C" w:rsidRDefault="00376A70" w:rsidP="00D9764F">
            <w:pPr>
              <w:spacing w:after="0" w:line="240" w:lineRule="auto"/>
              <w:jc w:val="right"/>
              <w:rPr>
                <w:rFonts w:ascii="Arial" w:hAnsi="Arial" w:cs="Arial"/>
                <w:color w:val="000000"/>
              </w:rPr>
            </w:pPr>
            <w:r w:rsidRPr="00FC6C7C">
              <w:rPr>
                <w:rFonts w:ascii="Arial" w:hAnsi="Arial" w:cs="Arial"/>
                <w:color w:val="000000"/>
              </w:rPr>
              <w:t>26</w:t>
            </w:r>
          </w:p>
        </w:tc>
        <w:tc>
          <w:tcPr>
            <w:tcW w:w="1315" w:type="dxa"/>
            <w:tcBorders>
              <w:top w:val="nil"/>
              <w:left w:val="nil"/>
              <w:bottom w:val="single" w:sz="4" w:space="0" w:color="auto"/>
              <w:right w:val="single" w:sz="4" w:space="0" w:color="auto"/>
            </w:tcBorders>
            <w:noWrap/>
            <w:vAlign w:val="bottom"/>
            <w:hideMark/>
          </w:tcPr>
          <w:p w:rsidR="00641851" w:rsidRPr="00FC6C7C" w:rsidRDefault="00376A70" w:rsidP="00D9764F">
            <w:pPr>
              <w:spacing w:after="0" w:line="240" w:lineRule="auto"/>
              <w:jc w:val="right"/>
              <w:rPr>
                <w:rFonts w:ascii="Arial" w:hAnsi="Arial" w:cs="Arial"/>
                <w:color w:val="000000"/>
              </w:rPr>
            </w:pPr>
            <w:r w:rsidRPr="00FC6C7C">
              <w:rPr>
                <w:rFonts w:ascii="Arial" w:hAnsi="Arial" w:cs="Arial"/>
                <w:color w:val="000000"/>
              </w:rPr>
              <w:t>164,477</w:t>
            </w:r>
          </w:p>
        </w:tc>
      </w:tr>
    </w:tbl>
    <w:p w:rsidR="00CD27F4" w:rsidRPr="007C68F0" w:rsidRDefault="00CD27F4" w:rsidP="0005659D">
      <w:pPr>
        <w:rPr>
          <w:rFonts w:ascii="Arial" w:hAnsi="Arial" w:cs="Arial"/>
          <w:b/>
          <w:lang w:val="es-ES_tradnl"/>
        </w:rPr>
      </w:pPr>
    </w:p>
    <w:p w:rsidR="007C68F0" w:rsidRPr="00C07666" w:rsidRDefault="007C68F0" w:rsidP="00D27375">
      <w:pPr>
        <w:rPr>
          <w:rFonts w:ascii="Arial" w:hAnsi="Arial" w:cs="Arial"/>
          <w:b/>
          <w:lang w:val="es-ES_tradnl"/>
        </w:rPr>
      </w:pPr>
      <w:r w:rsidRPr="00C07666">
        <w:rPr>
          <w:rFonts w:ascii="Arial" w:hAnsi="Arial" w:cs="Arial"/>
          <w:b/>
          <w:lang w:val="es-ES_tradnl"/>
        </w:rPr>
        <w:lastRenderedPageBreak/>
        <w:t>DENTRO DE LOS LOGROS OBTENIDOS LA OFICINA DE EJECUCIÓN COACTIVA CUENTA CON UN MARCO LEGAL PERFECTAMENTE ESTABLECIDO</w:t>
      </w:r>
    </w:p>
    <w:p w:rsidR="007C68F0" w:rsidRPr="00C07666" w:rsidRDefault="007C68F0" w:rsidP="007C68F0">
      <w:pPr>
        <w:rPr>
          <w:rFonts w:ascii="Arial" w:hAnsi="Arial" w:cs="Arial"/>
          <w:b/>
        </w:rPr>
      </w:pPr>
      <w:r w:rsidRPr="00C07666">
        <w:rPr>
          <w:rFonts w:ascii="Arial" w:hAnsi="Arial" w:cs="Arial"/>
          <w:b/>
        </w:rPr>
        <w:t>Ordenanzas Regionales</w:t>
      </w:r>
    </w:p>
    <w:p w:rsidR="007C68F0" w:rsidRPr="00C07666" w:rsidRDefault="007C68F0" w:rsidP="007C68F0">
      <w:pPr>
        <w:pStyle w:val="Prrafodelista"/>
        <w:numPr>
          <w:ilvl w:val="0"/>
          <w:numId w:val="4"/>
        </w:numPr>
        <w:spacing w:before="0" w:beforeAutospacing="0" w:after="0" w:afterAutospacing="0"/>
        <w:contextualSpacing w:val="0"/>
        <w:rPr>
          <w:rFonts w:ascii="Arial" w:hAnsi="Arial" w:cs="Arial"/>
        </w:rPr>
      </w:pPr>
      <w:r w:rsidRPr="00C07666">
        <w:rPr>
          <w:rFonts w:ascii="Arial" w:hAnsi="Arial" w:cs="Arial"/>
        </w:rPr>
        <w:t>El 02 de Mayo en el Diario el Peruano fue publicada la Ordenanza Regional N° 006-2010-GRLL/CR que aprueba el Arancel de Costas y Gastos Administrativos de los procedimientos de Ejecución Coactiva del Gobierno Regional La Libertad.</w:t>
      </w:r>
    </w:p>
    <w:p w:rsidR="007C68F0" w:rsidRPr="00C07666" w:rsidRDefault="007C68F0" w:rsidP="007C68F0">
      <w:pPr>
        <w:pStyle w:val="Prrafodelista"/>
        <w:rPr>
          <w:rFonts w:ascii="Arial" w:hAnsi="Arial" w:cs="Arial"/>
        </w:rPr>
      </w:pPr>
    </w:p>
    <w:p w:rsidR="007C68F0" w:rsidRPr="00C07666" w:rsidRDefault="007C68F0" w:rsidP="007C68F0">
      <w:pPr>
        <w:pStyle w:val="Prrafodelista"/>
        <w:numPr>
          <w:ilvl w:val="0"/>
          <w:numId w:val="4"/>
        </w:numPr>
        <w:spacing w:before="0" w:beforeAutospacing="0" w:after="0" w:afterAutospacing="0"/>
        <w:contextualSpacing w:val="0"/>
        <w:rPr>
          <w:rFonts w:ascii="Arial" w:hAnsi="Arial" w:cs="Arial"/>
        </w:rPr>
      </w:pPr>
      <w:r w:rsidRPr="00C07666">
        <w:rPr>
          <w:rFonts w:ascii="Arial" w:hAnsi="Arial" w:cs="Arial"/>
        </w:rPr>
        <w:t>El 06 de Agosto del 2010, fue aprobada  la Ordenanza Regional N° 013-2010-GRLL/CR que aprueba el beneficio de fraccionamiento de pago de obligaciones no tributarias derivadas de procedimientos sancionadores instaurados por el Gobierno regional de la Libertad.</w:t>
      </w:r>
    </w:p>
    <w:p w:rsidR="00E81D49" w:rsidRPr="00C07666" w:rsidRDefault="00E81D49" w:rsidP="00E81D49">
      <w:pPr>
        <w:pStyle w:val="Prrafodelista"/>
        <w:rPr>
          <w:rFonts w:ascii="Arial" w:hAnsi="Arial" w:cs="Arial"/>
        </w:rPr>
      </w:pPr>
    </w:p>
    <w:p w:rsidR="0093610B" w:rsidRPr="00C07666" w:rsidRDefault="007C68F0" w:rsidP="001A6441">
      <w:pPr>
        <w:pStyle w:val="Prrafodelista"/>
        <w:numPr>
          <w:ilvl w:val="0"/>
          <w:numId w:val="13"/>
        </w:numPr>
        <w:rPr>
          <w:rFonts w:ascii="Calibri" w:hAnsi="Calibri" w:cs="Calibri"/>
          <w:smallCaps/>
        </w:rPr>
      </w:pPr>
      <w:r w:rsidRPr="00C07666">
        <w:rPr>
          <w:rFonts w:ascii="Arial" w:hAnsi="Arial" w:cs="Arial"/>
          <w:lang w:val="es-ES_tradnl"/>
        </w:rPr>
        <w:t>Actualmente se encuentra en trámite la aprobaci</w:t>
      </w:r>
      <w:r w:rsidR="0093610B" w:rsidRPr="00C07666">
        <w:rPr>
          <w:rFonts w:ascii="Arial" w:hAnsi="Arial" w:cs="Arial"/>
          <w:lang w:val="es-ES_tradnl"/>
        </w:rPr>
        <w:t xml:space="preserve">ón de la Ordenanza Regional </w:t>
      </w:r>
      <w:r w:rsidR="0093610B" w:rsidRPr="00C07666">
        <w:rPr>
          <w:rFonts w:ascii="Arial" w:hAnsi="Arial" w:cs="Arial"/>
        </w:rPr>
        <w:t>que aprueba disposiciones para la declaración de deuda no tributaria de cobranza dudosa o de recuperación onerosa.</w:t>
      </w:r>
    </w:p>
    <w:p w:rsidR="001A6441" w:rsidRPr="004B72F0" w:rsidRDefault="001A6441" w:rsidP="001A6441">
      <w:pPr>
        <w:pStyle w:val="Prrafodelista"/>
        <w:ind w:left="1080"/>
        <w:jc w:val="left"/>
        <w:rPr>
          <w:rFonts w:ascii="Arial" w:hAnsi="Arial" w:cs="Arial"/>
          <w:b/>
          <w:lang w:val="es-ES_tradnl"/>
        </w:rPr>
      </w:pPr>
    </w:p>
    <w:p w:rsidR="00A220A6" w:rsidRPr="00C07666" w:rsidRDefault="00A220A6" w:rsidP="002E2DA8">
      <w:pPr>
        <w:pStyle w:val="Prrafodelista"/>
        <w:numPr>
          <w:ilvl w:val="0"/>
          <w:numId w:val="12"/>
        </w:numPr>
        <w:jc w:val="left"/>
        <w:rPr>
          <w:rFonts w:ascii="Arial" w:hAnsi="Arial" w:cs="Arial"/>
          <w:b/>
          <w:lang w:val="es-ES_tradnl"/>
        </w:rPr>
      </w:pPr>
      <w:r w:rsidRPr="00C07666">
        <w:rPr>
          <w:rFonts w:ascii="Arial" w:hAnsi="Arial" w:cs="Arial"/>
          <w:b/>
          <w:lang w:val="es-ES_tradnl"/>
        </w:rPr>
        <w:t>LIMITACIONES PARA EL CUMPLIMIENTO DE LAS METAS</w:t>
      </w:r>
    </w:p>
    <w:p w:rsidR="00A220A6" w:rsidRPr="00C07666" w:rsidRDefault="00A220A6" w:rsidP="00BA442A">
      <w:pPr>
        <w:numPr>
          <w:ilvl w:val="0"/>
          <w:numId w:val="2"/>
        </w:numPr>
        <w:spacing w:before="240" w:after="0" w:line="240" w:lineRule="auto"/>
        <w:jc w:val="both"/>
        <w:rPr>
          <w:rFonts w:ascii="Arial" w:hAnsi="Arial" w:cs="Arial"/>
          <w:b/>
          <w:u w:val="single"/>
        </w:rPr>
      </w:pPr>
      <w:r w:rsidRPr="00C07666">
        <w:rPr>
          <w:rFonts w:ascii="Arial" w:hAnsi="Arial" w:cs="Arial"/>
        </w:rPr>
        <w:t>No contamos con una Oficina debidamente ambientada para facilitar la labor del personal, para la atención al público y para cautelar debidamente cada uno de los expedientes en Ejecución Coactiva</w:t>
      </w:r>
      <w:r w:rsidRPr="00C07666">
        <w:rPr>
          <w:rFonts w:ascii="Arial" w:hAnsi="Arial" w:cs="Arial"/>
          <w:b/>
          <w:u w:val="single"/>
        </w:rPr>
        <w:t>.</w:t>
      </w:r>
    </w:p>
    <w:p w:rsidR="00A220A6" w:rsidRPr="00C07666" w:rsidRDefault="00B653EF" w:rsidP="00BA442A">
      <w:pPr>
        <w:numPr>
          <w:ilvl w:val="0"/>
          <w:numId w:val="3"/>
        </w:numPr>
        <w:spacing w:before="240" w:after="0" w:line="240" w:lineRule="auto"/>
        <w:jc w:val="both"/>
        <w:rPr>
          <w:rFonts w:ascii="Arial" w:hAnsi="Arial" w:cs="Arial"/>
        </w:rPr>
      </w:pPr>
      <w:r w:rsidRPr="00C07666">
        <w:rPr>
          <w:rFonts w:ascii="Arial" w:hAnsi="Arial" w:cs="Arial"/>
        </w:rPr>
        <w:t xml:space="preserve">Las Gerencias Sectoriales de origen de las multas del Gobierno Regional La Libertad no han cumplido con subsanar los expedientes devueltos por la Oficina de Ejecución Coactiva para su corrección lo que ha generado que la deuda contenida en dichos expedientes (S/: </w:t>
      </w:r>
      <w:r w:rsidRPr="00C07666">
        <w:rPr>
          <w:rFonts w:ascii="Arial" w:eastAsia="Times New Roman" w:hAnsi="Arial" w:cs="Arial"/>
          <w:color w:val="000000"/>
        </w:rPr>
        <w:t>2,964,798.54) no sea posible de tramitar.</w:t>
      </w:r>
    </w:p>
    <w:p w:rsidR="00A220A6" w:rsidRPr="00C07666" w:rsidRDefault="00A220A6" w:rsidP="00BA442A">
      <w:pPr>
        <w:numPr>
          <w:ilvl w:val="0"/>
          <w:numId w:val="3"/>
        </w:numPr>
        <w:spacing w:before="240" w:after="0" w:line="240" w:lineRule="auto"/>
        <w:ind w:left="708"/>
        <w:jc w:val="both"/>
        <w:rPr>
          <w:rFonts w:ascii="Arial" w:hAnsi="Arial" w:cs="Arial"/>
        </w:rPr>
      </w:pPr>
      <w:r w:rsidRPr="00C07666">
        <w:rPr>
          <w:rFonts w:ascii="Arial" w:hAnsi="Arial" w:cs="Arial"/>
        </w:rPr>
        <w:t>No se cuenta con las condiciones para ejecutar el cambio de medida cautelar</w:t>
      </w:r>
      <w:r w:rsidR="00BF4D50" w:rsidRPr="00C07666">
        <w:rPr>
          <w:rFonts w:ascii="Arial" w:hAnsi="Arial" w:cs="Arial"/>
        </w:rPr>
        <w:t xml:space="preserve"> de retención de fondos a secuestro conservativo (</w:t>
      </w:r>
      <w:r w:rsidRPr="00C07666">
        <w:rPr>
          <w:rFonts w:ascii="Arial" w:hAnsi="Arial" w:cs="Arial"/>
        </w:rPr>
        <w:t>local debidamente ambie</w:t>
      </w:r>
      <w:r w:rsidR="00BF4D50" w:rsidRPr="00C07666">
        <w:rPr>
          <w:rFonts w:ascii="Arial" w:hAnsi="Arial" w:cs="Arial"/>
        </w:rPr>
        <w:t xml:space="preserve">ntado para custodiar los bienes), lo cual significa la imposibilidad de hacer efectiva la multa contenida en expedientes para variar medida cautelar de S/. </w:t>
      </w:r>
      <w:r w:rsidR="00B653EF" w:rsidRPr="00C07666">
        <w:rPr>
          <w:rFonts w:ascii="Arial" w:eastAsia="Times New Roman" w:hAnsi="Arial" w:cs="Arial"/>
          <w:color w:val="000000"/>
        </w:rPr>
        <w:t>1,271,928.85</w:t>
      </w:r>
    </w:p>
    <w:p w:rsidR="002066C1" w:rsidRPr="00C07666" w:rsidRDefault="002066C1" w:rsidP="004C2440">
      <w:pPr>
        <w:widowControl w:val="0"/>
        <w:tabs>
          <w:tab w:val="left" w:pos="6406"/>
          <w:tab w:val="left" w:pos="7256"/>
        </w:tabs>
        <w:autoSpaceDE w:val="0"/>
        <w:autoSpaceDN w:val="0"/>
        <w:adjustRightInd w:val="0"/>
        <w:spacing w:before="241" w:after="0" w:line="240" w:lineRule="auto"/>
        <w:rPr>
          <w:rFonts w:ascii="Arial" w:hAnsi="Arial" w:cs="Arial"/>
          <w:color w:val="FF7D26"/>
        </w:rPr>
      </w:pPr>
    </w:p>
    <w:p w:rsidR="00BF4D50" w:rsidRPr="00C07666" w:rsidRDefault="009D4EED" w:rsidP="00BF4D50">
      <w:pPr>
        <w:pStyle w:val="Prrafodelista"/>
        <w:widowControl w:val="0"/>
        <w:numPr>
          <w:ilvl w:val="0"/>
          <w:numId w:val="12"/>
        </w:numPr>
        <w:tabs>
          <w:tab w:val="left" w:pos="6406"/>
          <w:tab w:val="left" w:pos="7256"/>
        </w:tabs>
        <w:autoSpaceDE w:val="0"/>
        <w:autoSpaceDN w:val="0"/>
        <w:adjustRightInd w:val="0"/>
        <w:spacing w:before="241" w:after="0"/>
        <w:jc w:val="left"/>
        <w:rPr>
          <w:rFonts w:ascii="Arial" w:hAnsi="Arial" w:cs="Arial"/>
          <w:b/>
        </w:rPr>
      </w:pPr>
      <w:r w:rsidRPr="00C07666">
        <w:rPr>
          <w:rFonts w:ascii="Arial" w:hAnsi="Arial" w:cs="Arial"/>
          <w:b/>
        </w:rPr>
        <w:t>CONCLUSIONES Y RECOMENDACIONES</w:t>
      </w:r>
    </w:p>
    <w:p w:rsidR="00E97140" w:rsidRPr="00C07666" w:rsidRDefault="00BF4D50" w:rsidP="002E2DA8">
      <w:pPr>
        <w:widowControl w:val="0"/>
        <w:tabs>
          <w:tab w:val="left" w:pos="6406"/>
          <w:tab w:val="left" w:pos="7256"/>
        </w:tabs>
        <w:autoSpaceDE w:val="0"/>
        <w:autoSpaceDN w:val="0"/>
        <w:adjustRightInd w:val="0"/>
        <w:spacing w:before="241" w:after="0" w:line="240" w:lineRule="auto"/>
        <w:ind w:firstLine="714"/>
        <w:rPr>
          <w:rFonts w:ascii="Arial" w:hAnsi="Arial" w:cs="Arial"/>
          <w:b/>
        </w:rPr>
      </w:pPr>
      <w:r w:rsidRPr="00C07666">
        <w:rPr>
          <w:rFonts w:ascii="Arial" w:hAnsi="Arial" w:cs="Arial"/>
          <w:b/>
        </w:rPr>
        <w:t>CONCLUSION:</w:t>
      </w:r>
    </w:p>
    <w:p w:rsidR="00E97140" w:rsidRPr="00C07666" w:rsidRDefault="00E97140" w:rsidP="00E97140">
      <w:pPr>
        <w:pStyle w:val="Prrafodelista"/>
        <w:spacing w:line="360" w:lineRule="auto"/>
        <w:ind w:left="714" w:firstLine="6"/>
        <w:rPr>
          <w:rFonts w:ascii="Arial" w:hAnsi="Arial" w:cs="Arial"/>
          <w:b/>
          <w:u w:val="single"/>
        </w:rPr>
      </w:pPr>
      <w:r w:rsidRPr="00C07666">
        <w:rPr>
          <w:rFonts w:ascii="Arial" w:hAnsi="Arial" w:cs="Arial"/>
          <w:b/>
          <w:u w:val="single"/>
        </w:rPr>
        <w:t xml:space="preserve">Se viene cumpliendo con el rol de la </w:t>
      </w:r>
      <w:r w:rsidR="005E0262" w:rsidRPr="00C07666">
        <w:rPr>
          <w:rFonts w:ascii="Arial" w:hAnsi="Arial" w:cs="Arial"/>
          <w:b/>
          <w:u w:val="single"/>
        </w:rPr>
        <w:t>Oficina de Ejecución C</w:t>
      </w:r>
      <w:r w:rsidRPr="00C07666">
        <w:rPr>
          <w:rFonts w:ascii="Arial" w:hAnsi="Arial" w:cs="Arial"/>
          <w:b/>
          <w:u w:val="single"/>
        </w:rPr>
        <w:t>oactiva: función de ejecución y función disuasiva:</w:t>
      </w:r>
    </w:p>
    <w:p w:rsidR="00E97140" w:rsidRPr="00C07666" w:rsidRDefault="00E97140" w:rsidP="00E97140">
      <w:pPr>
        <w:pStyle w:val="Prrafodelista"/>
        <w:rPr>
          <w:rFonts w:ascii="Arial" w:hAnsi="Arial" w:cs="Arial"/>
        </w:rPr>
      </w:pPr>
    </w:p>
    <w:p w:rsidR="005E0262" w:rsidRPr="00C07666" w:rsidRDefault="00E97140" w:rsidP="00E97140">
      <w:pPr>
        <w:pStyle w:val="Prrafodelista"/>
        <w:rPr>
          <w:rFonts w:ascii="Arial" w:hAnsi="Arial" w:cs="Arial"/>
        </w:rPr>
      </w:pPr>
      <w:r w:rsidRPr="00C07666">
        <w:rPr>
          <w:rFonts w:ascii="Arial" w:hAnsi="Arial" w:cs="Arial"/>
        </w:rPr>
        <w:t xml:space="preserve">La Oficina de Ejecución Coactiva ha </w:t>
      </w:r>
      <w:r w:rsidRPr="00C07666">
        <w:rPr>
          <w:rFonts w:ascii="Arial" w:hAnsi="Arial" w:cs="Arial"/>
          <w:b/>
        </w:rPr>
        <w:t xml:space="preserve">PERMITIDO </w:t>
      </w:r>
      <w:r w:rsidRPr="00C07666">
        <w:rPr>
          <w:rFonts w:ascii="Arial" w:hAnsi="Arial" w:cs="Arial"/>
        </w:rPr>
        <w:t>el incremento</w:t>
      </w:r>
      <w:r w:rsidRPr="00C07666">
        <w:rPr>
          <w:rFonts w:ascii="Arial" w:hAnsi="Arial" w:cs="Arial"/>
          <w:b/>
        </w:rPr>
        <w:t xml:space="preserve"> </w:t>
      </w:r>
      <w:r w:rsidRPr="00C07666">
        <w:rPr>
          <w:rFonts w:ascii="Arial" w:hAnsi="Arial" w:cs="Arial"/>
        </w:rPr>
        <w:t xml:space="preserve">en la recaudación a las distintas Gerencias Regionales Sectoriales, debido a la presencia de esta, toda vez que una Oficina de Ejecución Coactiva no es sólo una oficina de ejecución en una entidad Pública, sino más bien de </w:t>
      </w:r>
      <w:r w:rsidRPr="00C07666">
        <w:rPr>
          <w:rFonts w:ascii="Arial" w:hAnsi="Arial" w:cs="Arial"/>
          <w:b/>
        </w:rPr>
        <w:t>DISUACIÓN</w:t>
      </w:r>
      <w:r w:rsidRPr="00C07666">
        <w:rPr>
          <w:rFonts w:ascii="Arial" w:hAnsi="Arial" w:cs="Arial"/>
        </w:rPr>
        <w:t xml:space="preserve">, que permita a las distintas Gerencias Regionales </w:t>
      </w:r>
      <w:r w:rsidRPr="00C07666">
        <w:rPr>
          <w:rFonts w:ascii="Arial" w:hAnsi="Arial" w:cs="Arial"/>
        </w:rPr>
        <w:lastRenderedPageBreak/>
        <w:t>Sectoriales, poder recobrar dinero sin iniciarse el proceso de ejecución coactiva, tan solo con la presencia de la oficina</w:t>
      </w:r>
      <w:r w:rsidR="005E0262" w:rsidRPr="00C07666">
        <w:rPr>
          <w:rFonts w:ascii="Arial" w:hAnsi="Arial" w:cs="Arial"/>
        </w:rPr>
        <w:t>.</w:t>
      </w:r>
    </w:p>
    <w:p w:rsidR="00E97140" w:rsidRPr="00C07666" w:rsidRDefault="00BF4D50" w:rsidP="002E2DA8">
      <w:pPr>
        <w:widowControl w:val="0"/>
        <w:tabs>
          <w:tab w:val="left" w:pos="6406"/>
          <w:tab w:val="left" w:pos="7256"/>
        </w:tabs>
        <w:autoSpaceDE w:val="0"/>
        <w:autoSpaceDN w:val="0"/>
        <w:adjustRightInd w:val="0"/>
        <w:spacing w:before="241" w:after="0" w:line="240" w:lineRule="auto"/>
        <w:ind w:firstLine="720"/>
        <w:jc w:val="both"/>
        <w:rPr>
          <w:rFonts w:ascii="Arial" w:hAnsi="Arial" w:cs="Arial"/>
          <w:b/>
          <w:lang w:val="es-ES"/>
        </w:rPr>
      </w:pPr>
      <w:r w:rsidRPr="00C07666">
        <w:rPr>
          <w:rFonts w:ascii="Arial" w:hAnsi="Arial" w:cs="Arial"/>
          <w:b/>
          <w:lang w:val="es-ES"/>
        </w:rPr>
        <w:t>RECOMENDACIÓN:</w:t>
      </w:r>
    </w:p>
    <w:p w:rsidR="00BF4D50" w:rsidRPr="00C07666" w:rsidRDefault="00BF4D50" w:rsidP="00864A5A">
      <w:pPr>
        <w:widowControl w:val="0"/>
        <w:tabs>
          <w:tab w:val="left" w:pos="6406"/>
          <w:tab w:val="left" w:pos="7256"/>
        </w:tabs>
        <w:autoSpaceDE w:val="0"/>
        <w:autoSpaceDN w:val="0"/>
        <w:adjustRightInd w:val="0"/>
        <w:spacing w:before="241" w:after="0" w:line="240" w:lineRule="auto"/>
        <w:ind w:left="720"/>
        <w:jc w:val="both"/>
        <w:rPr>
          <w:rFonts w:ascii="Arial" w:hAnsi="Arial" w:cs="Arial"/>
          <w:lang w:val="es-ES"/>
        </w:rPr>
      </w:pPr>
      <w:r w:rsidRPr="00C07666">
        <w:rPr>
          <w:rFonts w:ascii="Arial" w:hAnsi="Arial" w:cs="Arial"/>
          <w:lang w:val="es-ES"/>
        </w:rPr>
        <w:t xml:space="preserve">Es necesario corregir las limitaciones </w:t>
      </w:r>
      <w:r w:rsidR="00864A5A" w:rsidRPr="00C07666">
        <w:rPr>
          <w:rFonts w:ascii="Arial" w:hAnsi="Arial" w:cs="Arial"/>
          <w:lang w:val="es-ES"/>
        </w:rPr>
        <w:t xml:space="preserve">logísticas </w:t>
      </w:r>
      <w:r w:rsidRPr="00C07666">
        <w:rPr>
          <w:rFonts w:ascii="Arial" w:hAnsi="Arial" w:cs="Arial"/>
          <w:lang w:val="es-ES"/>
        </w:rPr>
        <w:t>existentes con la finalidad de poder lograr una mayor recaudación en el año 201</w:t>
      </w:r>
      <w:r w:rsidR="005E0262" w:rsidRPr="00C07666">
        <w:rPr>
          <w:rFonts w:ascii="Arial" w:hAnsi="Arial" w:cs="Arial"/>
          <w:lang w:val="es-ES"/>
        </w:rPr>
        <w:t>3</w:t>
      </w:r>
      <w:r w:rsidRPr="00C07666">
        <w:rPr>
          <w:rFonts w:ascii="Arial" w:hAnsi="Arial" w:cs="Arial"/>
          <w:lang w:val="es-ES"/>
        </w:rPr>
        <w:t>.</w:t>
      </w:r>
    </w:p>
    <w:p w:rsidR="00BF4D50" w:rsidRPr="00C07666" w:rsidRDefault="00BF4D50" w:rsidP="004B3B40">
      <w:pPr>
        <w:widowControl w:val="0"/>
        <w:tabs>
          <w:tab w:val="left" w:pos="6406"/>
          <w:tab w:val="left" w:pos="7256"/>
        </w:tabs>
        <w:autoSpaceDE w:val="0"/>
        <w:autoSpaceDN w:val="0"/>
        <w:adjustRightInd w:val="0"/>
        <w:spacing w:before="241" w:after="0" w:line="240" w:lineRule="auto"/>
        <w:ind w:left="720"/>
        <w:jc w:val="both"/>
        <w:rPr>
          <w:rFonts w:ascii="Arial" w:hAnsi="Arial" w:cs="Arial"/>
          <w:lang w:val="es-ES"/>
        </w:rPr>
      </w:pPr>
      <w:r w:rsidRPr="00C07666">
        <w:rPr>
          <w:rFonts w:ascii="Arial" w:hAnsi="Arial" w:cs="Arial"/>
          <w:lang w:val="es-ES"/>
        </w:rPr>
        <w:t>Es necesario el trabajo conjunto por parte de la Gerencia de Administració</w:t>
      </w:r>
      <w:r w:rsidR="005E0262" w:rsidRPr="00C07666">
        <w:rPr>
          <w:rFonts w:ascii="Arial" w:hAnsi="Arial" w:cs="Arial"/>
          <w:lang w:val="es-ES"/>
        </w:rPr>
        <w:t>n, Gerencias Sectoriales, y la O</w:t>
      </w:r>
      <w:r w:rsidRPr="00C07666">
        <w:rPr>
          <w:rFonts w:ascii="Arial" w:hAnsi="Arial" w:cs="Arial"/>
          <w:lang w:val="es-ES"/>
        </w:rPr>
        <w:t>ficina de Ejecución Coactiva</w:t>
      </w:r>
      <w:r w:rsidR="00864A5A" w:rsidRPr="00C07666">
        <w:rPr>
          <w:rFonts w:ascii="Arial" w:hAnsi="Arial" w:cs="Arial"/>
          <w:lang w:val="es-ES"/>
        </w:rPr>
        <w:t xml:space="preserve"> con la finalidad de corregir el gran número de expedientes sancionadores a ser subsanados, y evitar la continuación de errores en posteriores expedientes sancionadores para la ejecución coactiva. </w:t>
      </w:r>
    </w:p>
    <w:p w:rsidR="00504D4D" w:rsidRPr="00C07666" w:rsidRDefault="00504D4D" w:rsidP="004B3B40">
      <w:pPr>
        <w:widowControl w:val="0"/>
        <w:tabs>
          <w:tab w:val="left" w:pos="6406"/>
          <w:tab w:val="left" w:pos="7256"/>
        </w:tabs>
        <w:autoSpaceDE w:val="0"/>
        <w:autoSpaceDN w:val="0"/>
        <w:adjustRightInd w:val="0"/>
        <w:spacing w:before="241" w:after="0" w:line="240" w:lineRule="auto"/>
        <w:ind w:left="720"/>
        <w:jc w:val="both"/>
        <w:rPr>
          <w:rFonts w:ascii="Arial" w:hAnsi="Arial" w:cs="Arial"/>
          <w:lang w:val="es-ES"/>
        </w:rPr>
      </w:pPr>
    </w:p>
    <w:p w:rsidR="00504D4D" w:rsidRDefault="00504D4D" w:rsidP="004B3B40">
      <w:pPr>
        <w:widowControl w:val="0"/>
        <w:tabs>
          <w:tab w:val="left" w:pos="6406"/>
          <w:tab w:val="left" w:pos="7256"/>
        </w:tabs>
        <w:autoSpaceDE w:val="0"/>
        <w:autoSpaceDN w:val="0"/>
        <w:adjustRightInd w:val="0"/>
        <w:spacing w:before="241" w:after="0" w:line="240" w:lineRule="auto"/>
        <w:ind w:left="720"/>
        <w:jc w:val="both"/>
        <w:rPr>
          <w:rFonts w:ascii="Arial" w:hAnsi="Arial" w:cs="Arial"/>
          <w:lang w:val="es-ES"/>
        </w:rPr>
      </w:pPr>
    </w:p>
    <w:p w:rsidR="00504D4D" w:rsidRPr="00C07666" w:rsidRDefault="00504D4D" w:rsidP="00504D4D">
      <w:pPr>
        <w:jc w:val="center"/>
        <w:rPr>
          <w:rFonts w:ascii="Arial" w:hAnsi="Arial" w:cs="Arial"/>
          <w:b/>
          <w:lang w:val="es-ES_tradnl"/>
        </w:rPr>
      </w:pPr>
      <w:r w:rsidRPr="00C07666">
        <w:rPr>
          <w:rFonts w:ascii="Arial" w:hAnsi="Arial" w:cs="Arial"/>
          <w:b/>
          <w:lang w:val="es-ES_tradnl"/>
        </w:rPr>
        <w:t xml:space="preserve">PERSONAL DE LA OFICINA DE EJCUCION COACTIVA </w:t>
      </w:r>
    </w:p>
    <w:p w:rsidR="00504D4D" w:rsidRPr="00C07666" w:rsidRDefault="00504D4D" w:rsidP="00E81D49">
      <w:pPr>
        <w:jc w:val="center"/>
        <w:rPr>
          <w:rFonts w:ascii="Arial" w:hAnsi="Arial" w:cs="Arial"/>
          <w:b/>
          <w:lang w:val="es-ES_tradnl"/>
        </w:rPr>
      </w:pPr>
      <w:r w:rsidRPr="00C07666">
        <w:rPr>
          <w:rFonts w:ascii="Arial" w:hAnsi="Arial" w:cs="Arial"/>
          <w:b/>
          <w:lang w:val="es-ES_tradnl"/>
        </w:rPr>
        <w:t>DEL GOBIERNO REGIONAL LA LIBERTAD</w:t>
      </w:r>
    </w:p>
    <w:tbl>
      <w:tblPr>
        <w:tblStyle w:val="Tablaconcuadrcula"/>
        <w:tblW w:w="0" w:type="auto"/>
        <w:jc w:val="center"/>
        <w:tblInd w:w="1606" w:type="dxa"/>
        <w:tblLayout w:type="fixed"/>
        <w:tblLook w:val="04A0" w:firstRow="1" w:lastRow="0" w:firstColumn="1" w:lastColumn="0" w:noHBand="0" w:noVBand="1"/>
      </w:tblPr>
      <w:tblGrid>
        <w:gridCol w:w="2851"/>
        <w:gridCol w:w="1935"/>
        <w:gridCol w:w="1559"/>
        <w:gridCol w:w="1560"/>
      </w:tblGrid>
      <w:tr w:rsidR="00504D4D" w:rsidRPr="00C07666" w:rsidTr="00C07666">
        <w:trPr>
          <w:jc w:val="center"/>
        </w:trPr>
        <w:tc>
          <w:tcPr>
            <w:tcW w:w="2851" w:type="dxa"/>
          </w:tcPr>
          <w:p w:rsidR="00504D4D" w:rsidRPr="00C07666" w:rsidRDefault="00504D4D" w:rsidP="00E81D49">
            <w:pPr>
              <w:jc w:val="center"/>
              <w:rPr>
                <w:rFonts w:ascii="Arial" w:hAnsi="Arial" w:cs="Arial"/>
                <w:b/>
                <w:lang w:val="es-ES_tradnl"/>
              </w:rPr>
            </w:pPr>
            <w:r w:rsidRPr="00C07666">
              <w:rPr>
                <w:rFonts w:ascii="Arial" w:hAnsi="Arial" w:cs="Arial"/>
                <w:b/>
                <w:lang w:val="es-ES_tradnl"/>
              </w:rPr>
              <w:t>Nombres y Apellidos</w:t>
            </w:r>
          </w:p>
        </w:tc>
        <w:tc>
          <w:tcPr>
            <w:tcW w:w="1935" w:type="dxa"/>
          </w:tcPr>
          <w:p w:rsidR="00504D4D" w:rsidRPr="00C07666" w:rsidRDefault="00504D4D" w:rsidP="00E81D49">
            <w:pPr>
              <w:jc w:val="center"/>
              <w:rPr>
                <w:rFonts w:ascii="Arial" w:hAnsi="Arial" w:cs="Arial"/>
                <w:b/>
                <w:lang w:val="es-ES_tradnl"/>
              </w:rPr>
            </w:pPr>
            <w:r w:rsidRPr="00C07666">
              <w:rPr>
                <w:rFonts w:ascii="Arial" w:hAnsi="Arial" w:cs="Arial"/>
                <w:b/>
                <w:lang w:val="es-ES_tradnl"/>
              </w:rPr>
              <w:t>Cargo</w:t>
            </w:r>
          </w:p>
        </w:tc>
        <w:tc>
          <w:tcPr>
            <w:tcW w:w="1559" w:type="dxa"/>
          </w:tcPr>
          <w:p w:rsidR="00504D4D" w:rsidRPr="00C07666" w:rsidRDefault="00504D4D" w:rsidP="00E81D49">
            <w:pPr>
              <w:ind w:left="0"/>
              <w:jc w:val="center"/>
              <w:rPr>
                <w:rFonts w:ascii="Arial" w:hAnsi="Arial" w:cs="Arial"/>
                <w:b/>
                <w:lang w:val="es-ES_tradnl"/>
              </w:rPr>
            </w:pPr>
            <w:r w:rsidRPr="00C07666">
              <w:rPr>
                <w:rFonts w:ascii="Arial" w:hAnsi="Arial" w:cs="Arial"/>
                <w:b/>
                <w:lang w:val="es-ES_tradnl"/>
              </w:rPr>
              <w:t>Estado</w:t>
            </w:r>
          </w:p>
        </w:tc>
        <w:tc>
          <w:tcPr>
            <w:tcW w:w="1560" w:type="dxa"/>
          </w:tcPr>
          <w:p w:rsidR="00504D4D" w:rsidRPr="00C07666" w:rsidRDefault="00504D4D" w:rsidP="00E81D49">
            <w:pPr>
              <w:jc w:val="center"/>
              <w:rPr>
                <w:rFonts w:ascii="Arial" w:hAnsi="Arial" w:cs="Arial"/>
                <w:b/>
                <w:lang w:val="es-ES_tradnl"/>
              </w:rPr>
            </w:pPr>
            <w:r w:rsidRPr="00C07666">
              <w:rPr>
                <w:rFonts w:ascii="Arial" w:hAnsi="Arial" w:cs="Arial"/>
                <w:b/>
                <w:lang w:val="es-ES_tradnl"/>
              </w:rPr>
              <w:t>Grado</w:t>
            </w:r>
          </w:p>
        </w:tc>
      </w:tr>
      <w:tr w:rsidR="00504D4D" w:rsidRPr="00C07666" w:rsidTr="00C07666">
        <w:trPr>
          <w:jc w:val="center"/>
        </w:trPr>
        <w:tc>
          <w:tcPr>
            <w:tcW w:w="2851"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Jorge Luís Torre Saravía</w:t>
            </w:r>
          </w:p>
        </w:tc>
        <w:tc>
          <w:tcPr>
            <w:tcW w:w="1935"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Ejecutor Coactivo</w:t>
            </w:r>
          </w:p>
        </w:tc>
        <w:tc>
          <w:tcPr>
            <w:tcW w:w="1559"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C.A.S.</w:t>
            </w:r>
          </w:p>
        </w:tc>
        <w:tc>
          <w:tcPr>
            <w:tcW w:w="1560"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Profesional</w:t>
            </w:r>
          </w:p>
        </w:tc>
      </w:tr>
      <w:tr w:rsidR="00504D4D" w:rsidRPr="00C07666" w:rsidTr="00C07666">
        <w:trPr>
          <w:jc w:val="center"/>
        </w:trPr>
        <w:tc>
          <w:tcPr>
            <w:tcW w:w="2851"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Ricardo Alberto Chávez Rojas</w:t>
            </w:r>
          </w:p>
        </w:tc>
        <w:tc>
          <w:tcPr>
            <w:tcW w:w="1935"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Auxiliar Coactivo</w:t>
            </w:r>
          </w:p>
        </w:tc>
        <w:tc>
          <w:tcPr>
            <w:tcW w:w="1559"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C.A.S.</w:t>
            </w:r>
          </w:p>
        </w:tc>
        <w:tc>
          <w:tcPr>
            <w:tcW w:w="1560"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Profesional</w:t>
            </w:r>
          </w:p>
        </w:tc>
      </w:tr>
      <w:tr w:rsidR="00504D4D" w:rsidRPr="00C07666" w:rsidTr="00C07666">
        <w:trPr>
          <w:jc w:val="center"/>
        </w:trPr>
        <w:tc>
          <w:tcPr>
            <w:tcW w:w="2851"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Milady Ivonne Chinchayan Díaz</w:t>
            </w:r>
          </w:p>
        </w:tc>
        <w:tc>
          <w:tcPr>
            <w:tcW w:w="1935"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Auxiliar Coactivo</w:t>
            </w:r>
          </w:p>
        </w:tc>
        <w:tc>
          <w:tcPr>
            <w:tcW w:w="1559"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C.A.S.</w:t>
            </w:r>
          </w:p>
        </w:tc>
        <w:tc>
          <w:tcPr>
            <w:tcW w:w="1560"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Profesional</w:t>
            </w:r>
          </w:p>
        </w:tc>
      </w:tr>
      <w:tr w:rsidR="00504D4D" w:rsidRPr="00C07666" w:rsidTr="00C07666">
        <w:trPr>
          <w:trHeight w:val="604"/>
          <w:jc w:val="center"/>
        </w:trPr>
        <w:tc>
          <w:tcPr>
            <w:tcW w:w="2851"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Rosa Elízabeth Alcantara Castillo</w:t>
            </w:r>
          </w:p>
        </w:tc>
        <w:tc>
          <w:tcPr>
            <w:tcW w:w="1935"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Ingeniera de Sistemas – Asistente Administrativo</w:t>
            </w:r>
          </w:p>
        </w:tc>
        <w:tc>
          <w:tcPr>
            <w:tcW w:w="1559"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C.A.S.</w:t>
            </w:r>
          </w:p>
        </w:tc>
        <w:tc>
          <w:tcPr>
            <w:tcW w:w="1560"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Profesional</w:t>
            </w:r>
          </w:p>
        </w:tc>
      </w:tr>
      <w:tr w:rsidR="00504D4D" w:rsidRPr="00C07666" w:rsidTr="00C07666">
        <w:trPr>
          <w:jc w:val="center"/>
        </w:trPr>
        <w:tc>
          <w:tcPr>
            <w:tcW w:w="2851"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Hilda teresa Angulo Narro</w:t>
            </w:r>
          </w:p>
        </w:tc>
        <w:tc>
          <w:tcPr>
            <w:tcW w:w="1935"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Secretaría</w:t>
            </w:r>
          </w:p>
        </w:tc>
        <w:tc>
          <w:tcPr>
            <w:tcW w:w="1559"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C.A.S.</w:t>
            </w:r>
          </w:p>
        </w:tc>
        <w:tc>
          <w:tcPr>
            <w:tcW w:w="1560" w:type="dxa"/>
          </w:tcPr>
          <w:p w:rsidR="00504D4D" w:rsidRPr="00C07666" w:rsidRDefault="00504D4D" w:rsidP="00E81D49">
            <w:pPr>
              <w:ind w:left="0"/>
              <w:jc w:val="center"/>
              <w:rPr>
                <w:rFonts w:ascii="Arial" w:hAnsi="Arial" w:cs="Arial"/>
                <w:lang w:val="es-ES_tradnl"/>
              </w:rPr>
            </w:pPr>
            <w:r w:rsidRPr="00C07666">
              <w:rPr>
                <w:rFonts w:ascii="Arial" w:hAnsi="Arial" w:cs="Arial"/>
                <w:lang w:val="es-ES_tradnl"/>
              </w:rPr>
              <w:t>Técnico</w:t>
            </w:r>
          </w:p>
        </w:tc>
      </w:tr>
    </w:tbl>
    <w:p w:rsidR="00504D4D" w:rsidRPr="00C07666" w:rsidRDefault="00504D4D" w:rsidP="00504D4D">
      <w:pPr>
        <w:jc w:val="center"/>
        <w:rPr>
          <w:rFonts w:ascii="Arial" w:hAnsi="Arial" w:cs="Arial"/>
          <w:b/>
          <w:lang w:val="es-ES_tradnl"/>
        </w:rPr>
      </w:pPr>
    </w:p>
    <w:p w:rsidR="00504D4D" w:rsidRPr="00FC6C7C" w:rsidRDefault="00504D4D" w:rsidP="004B3B40">
      <w:pPr>
        <w:widowControl w:val="0"/>
        <w:tabs>
          <w:tab w:val="left" w:pos="6406"/>
          <w:tab w:val="left" w:pos="7256"/>
        </w:tabs>
        <w:autoSpaceDE w:val="0"/>
        <w:autoSpaceDN w:val="0"/>
        <w:adjustRightInd w:val="0"/>
        <w:spacing w:before="241" w:after="0" w:line="240" w:lineRule="auto"/>
        <w:ind w:left="720"/>
        <w:jc w:val="both"/>
        <w:rPr>
          <w:rFonts w:ascii="Arial" w:hAnsi="Arial" w:cs="Arial"/>
          <w:b/>
          <w:lang w:val="es-ES"/>
        </w:rPr>
      </w:pPr>
    </w:p>
    <w:sectPr w:rsidR="00504D4D" w:rsidRPr="00FC6C7C" w:rsidSect="00D44402">
      <w:pgSz w:w="11906" w:h="16838" w:code="9"/>
      <w:pgMar w:top="1080" w:right="1416" w:bottom="1080"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4D0" w:rsidRDefault="00D844D0" w:rsidP="000B73D3">
      <w:pPr>
        <w:spacing w:after="0" w:line="240" w:lineRule="auto"/>
      </w:pPr>
      <w:r>
        <w:separator/>
      </w:r>
    </w:p>
  </w:endnote>
  <w:endnote w:type="continuationSeparator" w:id="0">
    <w:p w:rsidR="00D844D0" w:rsidRDefault="00D844D0" w:rsidP="000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1E" w:rsidRDefault="0005661E">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Memoria año 2012</w:t>
    </w:r>
  </w:p>
  <w:p w:rsidR="0005661E" w:rsidRDefault="0005661E">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cstheme="minorBidi"/>
      </w:rPr>
      <w:fldChar w:fldCharType="begin"/>
    </w:r>
    <w:r>
      <w:instrText>PAGE   \* MERGEFORMAT</w:instrText>
    </w:r>
    <w:r>
      <w:rPr>
        <w:rFonts w:cstheme="minorBidi"/>
      </w:rPr>
      <w:fldChar w:fldCharType="separate"/>
    </w:r>
    <w:r w:rsidR="003C685F" w:rsidRPr="003C685F">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FF14CF" w:rsidRPr="00FF14CF" w:rsidRDefault="00FF14CF">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4D0" w:rsidRDefault="00D844D0" w:rsidP="000B73D3">
      <w:pPr>
        <w:spacing w:after="0" w:line="240" w:lineRule="auto"/>
      </w:pPr>
      <w:r>
        <w:separator/>
      </w:r>
    </w:p>
  </w:footnote>
  <w:footnote w:type="continuationSeparator" w:id="0">
    <w:p w:rsidR="00D844D0" w:rsidRDefault="00D844D0" w:rsidP="000B7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A0" w:rsidRDefault="006672A0" w:rsidP="006672A0">
    <w:pPr>
      <w:pStyle w:val="Encabezado"/>
    </w:pPr>
    <w:r>
      <w:rPr>
        <w:noProof/>
      </w:rPr>
      <mc:AlternateContent>
        <mc:Choice Requires="wps">
          <w:drawing>
            <wp:anchor distT="0" distB="0" distL="114300" distR="114300" simplePos="0" relativeHeight="251660288" behindDoc="0" locked="0" layoutInCell="1" allowOverlap="1" wp14:anchorId="638FF91D" wp14:editId="2554C725">
              <wp:simplePos x="0" y="0"/>
              <wp:positionH relativeFrom="column">
                <wp:posOffset>1548765</wp:posOffset>
              </wp:positionH>
              <wp:positionV relativeFrom="paragraph">
                <wp:posOffset>-103505</wp:posOffset>
              </wp:positionV>
              <wp:extent cx="3324225" cy="554355"/>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2A0" w:rsidRPr="000515E4" w:rsidRDefault="006672A0" w:rsidP="006672A0">
                          <w:pPr>
                            <w:jc w:val="center"/>
                            <w:rPr>
                              <w:rFonts w:ascii="Calibri" w:hAnsi="Calibri"/>
                              <w:b/>
                              <w:sz w:val="18"/>
                              <w:szCs w:val="18"/>
                            </w:rPr>
                          </w:pPr>
                          <w:r w:rsidRPr="000515E4">
                            <w:rPr>
                              <w:rFonts w:ascii="Calibri" w:hAnsi="Calibri"/>
                              <w:b/>
                              <w:sz w:val="18"/>
                              <w:szCs w:val="18"/>
                            </w:rPr>
                            <w:t>“</w:t>
                          </w:r>
                          <w:r w:rsidRPr="000515E4">
                            <w:rPr>
                              <w:sz w:val="18"/>
                              <w:szCs w:val="18"/>
                            </w:rPr>
                            <w:t>AÑO DE LA INVERSION PARA EL DESARROLLO RURAL Y LA SEGURIDAD ALIMENTARIA</w:t>
                          </w:r>
                          <w:r w:rsidRPr="000515E4">
                            <w:rPr>
                              <w:rFonts w:ascii="Calibri" w:hAnsi="Calibri"/>
                              <w:b/>
                              <w:sz w:val="18"/>
                              <w:szCs w:val="18"/>
                            </w:rPr>
                            <w:t>”</w:t>
                          </w:r>
                        </w:p>
                        <w:p w:rsidR="006672A0" w:rsidRPr="000515E4" w:rsidRDefault="006672A0" w:rsidP="006672A0">
                          <w:pPr>
                            <w:jc w:val="center"/>
                            <w:rPr>
                              <w:rFonts w:ascii="Calibri" w:hAnsi="Calibri"/>
                              <w:sz w:val="18"/>
                              <w:szCs w:val="18"/>
                            </w:rPr>
                          </w:pPr>
                        </w:p>
                        <w:p w:rsidR="006672A0" w:rsidRPr="00A7538C" w:rsidRDefault="006672A0" w:rsidP="006672A0">
                          <w:pPr>
                            <w:jc w:val="center"/>
                            <w:rPr>
                              <w:rFonts w:ascii="Calibri" w:hAnsi="Calibr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1.95pt;margin-top:-8.15pt;width:261.7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I4iAIAABY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" stroked="f">
              <v:textbox>
                <w:txbxContent>
                  <w:p w:rsidR="006672A0" w:rsidRPr="000515E4" w:rsidRDefault="006672A0" w:rsidP="006672A0">
                    <w:pPr>
                      <w:jc w:val="center"/>
                      <w:rPr>
                        <w:rFonts w:ascii="Calibri" w:hAnsi="Calibri"/>
                        <w:b/>
                        <w:sz w:val="18"/>
                        <w:szCs w:val="18"/>
                      </w:rPr>
                    </w:pPr>
                    <w:r w:rsidRPr="000515E4">
                      <w:rPr>
                        <w:rFonts w:ascii="Calibri" w:hAnsi="Calibri"/>
                        <w:b/>
                        <w:sz w:val="18"/>
                        <w:szCs w:val="18"/>
                      </w:rPr>
                      <w:t>“</w:t>
                    </w:r>
                    <w:r w:rsidRPr="000515E4">
                      <w:rPr>
                        <w:sz w:val="18"/>
                        <w:szCs w:val="18"/>
                      </w:rPr>
                      <w:t>AÑO DE LA INVERSION PARA EL DESARROLLO RURAL Y LA SEGURIDAD ALIMENTARIA</w:t>
                    </w:r>
                    <w:r w:rsidRPr="000515E4">
                      <w:rPr>
                        <w:rFonts w:ascii="Calibri" w:hAnsi="Calibri"/>
                        <w:b/>
                        <w:sz w:val="18"/>
                        <w:szCs w:val="18"/>
                      </w:rPr>
                      <w:t>”</w:t>
                    </w:r>
                  </w:p>
                  <w:p w:rsidR="006672A0" w:rsidRPr="000515E4" w:rsidRDefault="006672A0" w:rsidP="006672A0">
                    <w:pPr>
                      <w:jc w:val="center"/>
                      <w:rPr>
                        <w:rFonts w:ascii="Calibri" w:hAnsi="Calibri"/>
                        <w:sz w:val="18"/>
                        <w:szCs w:val="18"/>
                      </w:rPr>
                    </w:pPr>
                  </w:p>
                  <w:p w:rsidR="006672A0" w:rsidRPr="00A7538C" w:rsidRDefault="006672A0" w:rsidP="006672A0">
                    <w:pPr>
                      <w:jc w:val="center"/>
                      <w:rPr>
                        <w:rFonts w:ascii="Calibri" w:hAnsi="Calibri"/>
                        <w:szCs w:val="24"/>
                      </w:rPr>
                    </w:pPr>
                  </w:p>
                </w:txbxContent>
              </v:textbox>
            </v:shape>
          </w:pict>
        </mc:Fallback>
      </mc:AlternateContent>
    </w:r>
    <w:r>
      <w:rPr>
        <w:noProof/>
      </w:rPr>
      <w:drawing>
        <wp:anchor distT="0" distB="0" distL="114300" distR="114300" simplePos="0" relativeHeight="251659264" behindDoc="1" locked="0" layoutInCell="1" allowOverlap="1" wp14:anchorId="4068A8B7" wp14:editId="0A1D38E5">
          <wp:simplePos x="0" y="0"/>
          <wp:positionH relativeFrom="column">
            <wp:posOffset>272415</wp:posOffset>
          </wp:positionH>
          <wp:positionV relativeFrom="paragraph">
            <wp:posOffset>-250825</wp:posOffset>
          </wp:positionV>
          <wp:extent cx="714375" cy="1038225"/>
          <wp:effectExtent l="0" t="0" r="9525" b="9525"/>
          <wp:wrapNone/>
          <wp:docPr id="12" name="Imagen 12" descr="Descripción: escudo region 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escudo region 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10382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C5673" wp14:editId="402D4887">
          <wp:simplePos x="0" y="0"/>
          <wp:positionH relativeFrom="column">
            <wp:posOffset>5025390</wp:posOffset>
          </wp:positionH>
          <wp:positionV relativeFrom="paragraph">
            <wp:posOffset>-44450</wp:posOffset>
          </wp:positionV>
          <wp:extent cx="714375" cy="495300"/>
          <wp:effectExtent l="0" t="0" r="9525" b="0"/>
          <wp:wrapNone/>
          <wp:docPr id="13" name="Imagen 13" descr="Descripción: LOGOS CRECER BAJA RESOLU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S CRECER BAJA RESOLUCIÓ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2A0" w:rsidRDefault="006672A0" w:rsidP="006672A0">
    <w:pPr>
      <w:pStyle w:val="Encabezado"/>
      <w:jc w:val="both"/>
      <w:rPr>
        <w:rFonts w:ascii="Arial" w:hAnsi="Arial" w:cs="Arial"/>
      </w:rPr>
    </w:pPr>
  </w:p>
  <w:p w:rsidR="006672A0" w:rsidRDefault="006672A0" w:rsidP="006672A0">
    <w:pPr>
      <w:pStyle w:val="Encabezado"/>
      <w:jc w:val="both"/>
      <w:rPr>
        <w:rFonts w:ascii="Arial" w:hAnsi="Arial" w:cs="Arial"/>
      </w:rPr>
    </w:pPr>
  </w:p>
  <w:p w:rsidR="006672A0" w:rsidRDefault="006672A0" w:rsidP="006672A0">
    <w:pPr>
      <w:pStyle w:val="Encabezado"/>
      <w:jc w:val="both"/>
      <w:rPr>
        <w:rFonts w:ascii="Arial" w:hAnsi="Arial" w:cs="Arial"/>
      </w:rPr>
    </w:pPr>
  </w:p>
  <w:p w:rsidR="006672A0" w:rsidRDefault="006672A0" w:rsidP="006672A0">
    <w:pPr>
      <w:jc w:val="both"/>
      <w:rPr>
        <w:rFonts w:ascii="Arial" w:hAnsi="Arial" w:cs="Arial"/>
        <w:sz w:val="20"/>
      </w:rPr>
    </w:pPr>
  </w:p>
  <w:p w:rsidR="006672A0" w:rsidRPr="00101BCA" w:rsidRDefault="006672A0" w:rsidP="006672A0">
    <w:pPr>
      <w:spacing w:after="0"/>
      <w:jc w:val="both"/>
      <w:rPr>
        <w:rFonts w:ascii="Calibri" w:hAnsi="Calibri" w:cs="Calibri"/>
        <w:b/>
        <w:bCs/>
        <w:sz w:val="16"/>
        <w:szCs w:val="16"/>
      </w:rPr>
    </w:pPr>
    <w:r w:rsidRPr="00101BCA">
      <w:rPr>
        <w:rFonts w:ascii="Calibri" w:hAnsi="Calibri" w:cs="Calibri"/>
        <w:b/>
        <w:bCs/>
        <w:sz w:val="16"/>
        <w:szCs w:val="16"/>
      </w:rPr>
      <w:t xml:space="preserve">   OFICINA DE EJECUCIÓN</w:t>
    </w:r>
  </w:p>
  <w:p w:rsidR="006672A0" w:rsidRPr="00101BCA" w:rsidRDefault="006672A0" w:rsidP="006672A0">
    <w:pPr>
      <w:spacing w:after="0"/>
      <w:jc w:val="both"/>
      <w:rPr>
        <w:rFonts w:ascii="Calibri" w:hAnsi="Calibri" w:cs="Calibri"/>
        <w:b/>
        <w:bCs/>
        <w:sz w:val="16"/>
        <w:szCs w:val="16"/>
      </w:rPr>
    </w:pPr>
    <w:r w:rsidRPr="00101BCA">
      <w:rPr>
        <w:rFonts w:ascii="Calibri" w:hAnsi="Calibri" w:cs="Calibri"/>
        <w:b/>
        <w:bCs/>
        <w:sz w:val="16"/>
        <w:szCs w:val="16"/>
      </w:rPr>
      <w:t xml:space="preserve">        COACTIVA</w:t>
    </w:r>
  </w:p>
  <w:p w:rsidR="000B73D3" w:rsidRPr="006672A0" w:rsidRDefault="000B73D3" w:rsidP="006672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038E"/>
    <w:multiLevelType w:val="hybridMultilevel"/>
    <w:tmpl w:val="238E71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4354621"/>
    <w:multiLevelType w:val="hybridMultilevel"/>
    <w:tmpl w:val="3E2C7606"/>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68322ED"/>
    <w:multiLevelType w:val="hybridMultilevel"/>
    <w:tmpl w:val="11AC516A"/>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nsid w:val="2FE3501F"/>
    <w:multiLevelType w:val="hybridMultilevel"/>
    <w:tmpl w:val="06B47A1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85C44E4"/>
    <w:multiLevelType w:val="multilevel"/>
    <w:tmpl w:val="6344C1D6"/>
    <w:lvl w:ilvl="0">
      <w:start w:val="2"/>
      <w:numFmt w:val="decimal"/>
      <w:lvlText w:val="%1."/>
      <w:lvlJc w:val="left"/>
      <w:pPr>
        <w:ind w:left="1080" w:hanging="1080"/>
      </w:pPr>
    </w:lvl>
    <w:lvl w:ilvl="1">
      <w:start w:val="3"/>
      <w:numFmt w:val="decimal"/>
      <w:lvlText w:val="%1.%2."/>
      <w:lvlJc w:val="left"/>
      <w:pPr>
        <w:ind w:left="1152" w:hanging="1080"/>
      </w:pPr>
    </w:lvl>
    <w:lvl w:ilvl="2">
      <w:start w:val="2"/>
      <w:numFmt w:val="decimal"/>
      <w:lvlText w:val="%1.%2.%3."/>
      <w:lvlJc w:val="left"/>
      <w:pPr>
        <w:ind w:left="1224" w:hanging="1080"/>
      </w:pPr>
    </w:lvl>
    <w:lvl w:ilvl="3">
      <w:start w:val="7"/>
      <w:numFmt w:val="decimal"/>
      <w:lvlText w:val="%1.%2.%3.%4."/>
      <w:lvlJc w:val="left"/>
      <w:pPr>
        <w:ind w:left="1296" w:hanging="1080"/>
      </w:pPr>
    </w:lvl>
    <w:lvl w:ilvl="4">
      <w:start w:val="4"/>
      <w:numFmt w:val="decimal"/>
      <w:lvlText w:val="%1.%2.%3.%4.%5."/>
      <w:lvlJc w:val="left"/>
      <w:pPr>
        <w:ind w:left="1368" w:hanging="1080"/>
      </w:pPr>
    </w:lvl>
    <w:lvl w:ilvl="5">
      <w:start w:val="2"/>
      <w:numFmt w:val="decimal"/>
      <w:lvlText w:val="%1.%2.%3.%4.%5.%6."/>
      <w:lvlJc w:val="left"/>
      <w:pPr>
        <w:ind w:left="1800" w:hanging="1440"/>
      </w:pPr>
    </w:lvl>
    <w:lvl w:ilvl="6">
      <w:start w:val="1"/>
      <w:numFmt w:val="decimal"/>
      <w:lvlText w:val="%1.%2.%3.%4.%5.%6.%7."/>
      <w:lvlJc w:val="left"/>
      <w:pPr>
        <w:ind w:left="1872" w:hanging="1440"/>
      </w:pPr>
    </w:lvl>
    <w:lvl w:ilvl="7">
      <w:start w:val="1"/>
      <w:numFmt w:val="decimal"/>
      <w:lvlText w:val="%1.%2.%3.%4.%5.%6.%7.%8."/>
      <w:lvlJc w:val="left"/>
      <w:pPr>
        <w:ind w:left="2304" w:hanging="1800"/>
      </w:pPr>
    </w:lvl>
    <w:lvl w:ilvl="8">
      <w:start w:val="1"/>
      <w:numFmt w:val="decimal"/>
      <w:lvlText w:val="%1.%2.%3.%4.%5.%6.%7.%8.%9."/>
      <w:lvlJc w:val="left"/>
      <w:pPr>
        <w:ind w:left="2376" w:hanging="1800"/>
      </w:pPr>
    </w:lvl>
  </w:abstractNum>
  <w:abstractNum w:abstractNumId="5">
    <w:nsid w:val="5CAD3330"/>
    <w:multiLevelType w:val="hybridMultilevel"/>
    <w:tmpl w:val="E77882AE"/>
    <w:lvl w:ilvl="0" w:tplc="412A716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CA3F6B"/>
    <w:multiLevelType w:val="hybridMultilevel"/>
    <w:tmpl w:val="7D1AD71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5AF3A10"/>
    <w:multiLevelType w:val="hybridMultilevel"/>
    <w:tmpl w:val="513CD0B0"/>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92C02DE"/>
    <w:multiLevelType w:val="hybridMultilevel"/>
    <w:tmpl w:val="58D40E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E550123"/>
    <w:multiLevelType w:val="hybridMultilevel"/>
    <w:tmpl w:val="808AA66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7CF16A6"/>
    <w:multiLevelType w:val="hybridMultilevel"/>
    <w:tmpl w:val="972E24AA"/>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nsid w:val="7A5435B1"/>
    <w:multiLevelType w:val="hybridMultilevel"/>
    <w:tmpl w:val="ED5C9C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E2C3096"/>
    <w:multiLevelType w:val="hybridMultilevel"/>
    <w:tmpl w:val="C87A71F4"/>
    <w:lvl w:ilvl="0" w:tplc="9AF2CFBA">
      <w:numFmt w:val="bullet"/>
      <w:lvlText w:val=""/>
      <w:lvlJc w:val="left"/>
      <w:pPr>
        <w:ind w:left="720" w:hanging="360"/>
      </w:pPr>
      <w:rPr>
        <w:rFonts w:ascii="Symbol" w:eastAsiaTheme="minorEastAsia" w:hAnsi="Symbo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4"/>
    <w:lvlOverride w:ilvl="0">
      <w:startOverride w:val="2"/>
    </w:lvlOverride>
    <w:lvlOverride w:ilvl="1">
      <w:startOverride w:val="3"/>
    </w:lvlOverride>
    <w:lvlOverride w:ilvl="2">
      <w:startOverride w:val="2"/>
    </w:lvlOverride>
    <w:lvlOverride w:ilvl="3">
      <w:startOverride w:val="7"/>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
  </w:num>
  <w:num w:numId="9">
    <w:abstractNumId w:val="9"/>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A9"/>
    <w:rsid w:val="00010B68"/>
    <w:rsid w:val="00012AA4"/>
    <w:rsid w:val="0001421E"/>
    <w:rsid w:val="0002402D"/>
    <w:rsid w:val="00033A69"/>
    <w:rsid w:val="00042B49"/>
    <w:rsid w:val="000456F1"/>
    <w:rsid w:val="00047850"/>
    <w:rsid w:val="0005362C"/>
    <w:rsid w:val="00054B35"/>
    <w:rsid w:val="0005659D"/>
    <w:rsid w:val="0005661E"/>
    <w:rsid w:val="0006414F"/>
    <w:rsid w:val="00071B37"/>
    <w:rsid w:val="00083B4C"/>
    <w:rsid w:val="00085CA7"/>
    <w:rsid w:val="000A51DF"/>
    <w:rsid w:val="000B73D3"/>
    <w:rsid w:val="000C067B"/>
    <w:rsid w:val="000C5F30"/>
    <w:rsid w:val="000D3DB8"/>
    <w:rsid w:val="000E6E53"/>
    <w:rsid w:val="000F52B8"/>
    <w:rsid w:val="001318B7"/>
    <w:rsid w:val="00135493"/>
    <w:rsid w:val="00136C68"/>
    <w:rsid w:val="0014172B"/>
    <w:rsid w:val="00163850"/>
    <w:rsid w:val="00194C75"/>
    <w:rsid w:val="001A6441"/>
    <w:rsid w:val="001B0A21"/>
    <w:rsid w:val="001B2EB5"/>
    <w:rsid w:val="001E79BD"/>
    <w:rsid w:val="001F0CA1"/>
    <w:rsid w:val="002066C1"/>
    <w:rsid w:val="00222F91"/>
    <w:rsid w:val="00230770"/>
    <w:rsid w:val="0023350D"/>
    <w:rsid w:val="00235E5B"/>
    <w:rsid w:val="00237315"/>
    <w:rsid w:val="00255454"/>
    <w:rsid w:val="00280026"/>
    <w:rsid w:val="00280F57"/>
    <w:rsid w:val="0028668D"/>
    <w:rsid w:val="002A09EF"/>
    <w:rsid w:val="002B163A"/>
    <w:rsid w:val="002B16A6"/>
    <w:rsid w:val="002B6B64"/>
    <w:rsid w:val="002E0699"/>
    <w:rsid w:val="002E2DA8"/>
    <w:rsid w:val="002E4F8E"/>
    <w:rsid w:val="0030778E"/>
    <w:rsid w:val="003169D1"/>
    <w:rsid w:val="0032143B"/>
    <w:rsid w:val="00340410"/>
    <w:rsid w:val="00351560"/>
    <w:rsid w:val="003632F3"/>
    <w:rsid w:val="00365F04"/>
    <w:rsid w:val="00376A70"/>
    <w:rsid w:val="00376DBD"/>
    <w:rsid w:val="003903D0"/>
    <w:rsid w:val="003A1B72"/>
    <w:rsid w:val="003B7F8C"/>
    <w:rsid w:val="003C39EA"/>
    <w:rsid w:val="003C685F"/>
    <w:rsid w:val="003E128B"/>
    <w:rsid w:val="003F7198"/>
    <w:rsid w:val="00404807"/>
    <w:rsid w:val="00406C3A"/>
    <w:rsid w:val="00407F76"/>
    <w:rsid w:val="004202C2"/>
    <w:rsid w:val="004569C2"/>
    <w:rsid w:val="0045731A"/>
    <w:rsid w:val="00463312"/>
    <w:rsid w:val="00475334"/>
    <w:rsid w:val="00475B27"/>
    <w:rsid w:val="00477E15"/>
    <w:rsid w:val="00482B8A"/>
    <w:rsid w:val="00484F25"/>
    <w:rsid w:val="004B2947"/>
    <w:rsid w:val="004B3B40"/>
    <w:rsid w:val="004B49B9"/>
    <w:rsid w:val="004B72F0"/>
    <w:rsid w:val="004C2440"/>
    <w:rsid w:val="004C7CAC"/>
    <w:rsid w:val="004E0D8C"/>
    <w:rsid w:val="004E171F"/>
    <w:rsid w:val="004E3FA5"/>
    <w:rsid w:val="004F68C8"/>
    <w:rsid w:val="00504D4D"/>
    <w:rsid w:val="00516630"/>
    <w:rsid w:val="005412C1"/>
    <w:rsid w:val="0055276E"/>
    <w:rsid w:val="0056014F"/>
    <w:rsid w:val="0056201D"/>
    <w:rsid w:val="0056389F"/>
    <w:rsid w:val="00583E18"/>
    <w:rsid w:val="00592821"/>
    <w:rsid w:val="00593A0C"/>
    <w:rsid w:val="005B0502"/>
    <w:rsid w:val="005B1D2F"/>
    <w:rsid w:val="005B7658"/>
    <w:rsid w:val="005D1DED"/>
    <w:rsid w:val="005D74BF"/>
    <w:rsid w:val="005E0262"/>
    <w:rsid w:val="005E3964"/>
    <w:rsid w:val="005E59A2"/>
    <w:rsid w:val="006000B8"/>
    <w:rsid w:val="00603E89"/>
    <w:rsid w:val="006068AA"/>
    <w:rsid w:val="006130A3"/>
    <w:rsid w:val="00614155"/>
    <w:rsid w:val="00614C85"/>
    <w:rsid w:val="006224D7"/>
    <w:rsid w:val="00622C60"/>
    <w:rsid w:val="00625241"/>
    <w:rsid w:val="006355CA"/>
    <w:rsid w:val="00641851"/>
    <w:rsid w:val="0064710C"/>
    <w:rsid w:val="006474DE"/>
    <w:rsid w:val="006479B5"/>
    <w:rsid w:val="0065505F"/>
    <w:rsid w:val="006672A0"/>
    <w:rsid w:val="00667AB6"/>
    <w:rsid w:val="006769E3"/>
    <w:rsid w:val="00696146"/>
    <w:rsid w:val="006B5017"/>
    <w:rsid w:val="006C6F37"/>
    <w:rsid w:val="006D4834"/>
    <w:rsid w:val="006E0075"/>
    <w:rsid w:val="006F0366"/>
    <w:rsid w:val="00702DA3"/>
    <w:rsid w:val="00716B6C"/>
    <w:rsid w:val="00724CC8"/>
    <w:rsid w:val="00743854"/>
    <w:rsid w:val="007538CC"/>
    <w:rsid w:val="007546CB"/>
    <w:rsid w:val="007776C6"/>
    <w:rsid w:val="00791F3F"/>
    <w:rsid w:val="007C1404"/>
    <w:rsid w:val="007C68F0"/>
    <w:rsid w:val="007F6C2B"/>
    <w:rsid w:val="00806318"/>
    <w:rsid w:val="00816DF0"/>
    <w:rsid w:val="008201E8"/>
    <w:rsid w:val="00821E5D"/>
    <w:rsid w:val="008367DF"/>
    <w:rsid w:val="00841FAA"/>
    <w:rsid w:val="0085053F"/>
    <w:rsid w:val="0085631F"/>
    <w:rsid w:val="00857500"/>
    <w:rsid w:val="00857FA0"/>
    <w:rsid w:val="00860A8F"/>
    <w:rsid w:val="00864A5A"/>
    <w:rsid w:val="008C2553"/>
    <w:rsid w:val="008F10AB"/>
    <w:rsid w:val="00913A3F"/>
    <w:rsid w:val="00914664"/>
    <w:rsid w:val="009215A9"/>
    <w:rsid w:val="0093610B"/>
    <w:rsid w:val="009506A5"/>
    <w:rsid w:val="00957552"/>
    <w:rsid w:val="0096376D"/>
    <w:rsid w:val="00972C66"/>
    <w:rsid w:val="00986737"/>
    <w:rsid w:val="00990C9A"/>
    <w:rsid w:val="009933D4"/>
    <w:rsid w:val="009A7588"/>
    <w:rsid w:val="009C415D"/>
    <w:rsid w:val="009D4EED"/>
    <w:rsid w:val="009D6C3E"/>
    <w:rsid w:val="009E763D"/>
    <w:rsid w:val="00A220A6"/>
    <w:rsid w:val="00A42C6C"/>
    <w:rsid w:val="00A42CC4"/>
    <w:rsid w:val="00A462EB"/>
    <w:rsid w:val="00A505CA"/>
    <w:rsid w:val="00A52D52"/>
    <w:rsid w:val="00A5483C"/>
    <w:rsid w:val="00A62030"/>
    <w:rsid w:val="00A7666A"/>
    <w:rsid w:val="00A77AA0"/>
    <w:rsid w:val="00A85FF3"/>
    <w:rsid w:val="00A96629"/>
    <w:rsid w:val="00AA3542"/>
    <w:rsid w:val="00AA6AB6"/>
    <w:rsid w:val="00AA736F"/>
    <w:rsid w:val="00AC1183"/>
    <w:rsid w:val="00AD766C"/>
    <w:rsid w:val="00AE05A1"/>
    <w:rsid w:val="00AE1406"/>
    <w:rsid w:val="00AE702F"/>
    <w:rsid w:val="00B0518C"/>
    <w:rsid w:val="00B4076B"/>
    <w:rsid w:val="00B426FB"/>
    <w:rsid w:val="00B509C3"/>
    <w:rsid w:val="00B514A1"/>
    <w:rsid w:val="00B65006"/>
    <w:rsid w:val="00B653EF"/>
    <w:rsid w:val="00B705D2"/>
    <w:rsid w:val="00B968C7"/>
    <w:rsid w:val="00BA442A"/>
    <w:rsid w:val="00BF4D50"/>
    <w:rsid w:val="00BF7137"/>
    <w:rsid w:val="00C004AF"/>
    <w:rsid w:val="00C01D16"/>
    <w:rsid w:val="00C07666"/>
    <w:rsid w:val="00C158A7"/>
    <w:rsid w:val="00C24FB1"/>
    <w:rsid w:val="00C344F8"/>
    <w:rsid w:val="00C50710"/>
    <w:rsid w:val="00C63ADD"/>
    <w:rsid w:val="00C67A71"/>
    <w:rsid w:val="00C722D8"/>
    <w:rsid w:val="00CA134A"/>
    <w:rsid w:val="00CC1250"/>
    <w:rsid w:val="00CC3C26"/>
    <w:rsid w:val="00CD27F4"/>
    <w:rsid w:val="00CF5373"/>
    <w:rsid w:val="00CF54A5"/>
    <w:rsid w:val="00D00A00"/>
    <w:rsid w:val="00D06174"/>
    <w:rsid w:val="00D07C6C"/>
    <w:rsid w:val="00D167BB"/>
    <w:rsid w:val="00D17CB8"/>
    <w:rsid w:val="00D27375"/>
    <w:rsid w:val="00D42162"/>
    <w:rsid w:val="00D44402"/>
    <w:rsid w:val="00D50267"/>
    <w:rsid w:val="00D57059"/>
    <w:rsid w:val="00D80837"/>
    <w:rsid w:val="00D812C4"/>
    <w:rsid w:val="00D844D0"/>
    <w:rsid w:val="00D84EF0"/>
    <w:rsid w:val="00D9764F"/>
    <w:rsid w:val="00DB3334"/>
    <w:rsid w:val="00DB7F44"/>
    <w:rsid w:val="00DC1649"/>
    <w:rsid w:val="00DD3FB3"/>
    <w:rsid w:val="00DD735D"/>
    <w:rsid w:val="00DE0B88"/>
    <w:rsid w:val="00DE4141"/>
    <w:rsid w:val="00DF62BE"/>
    <w:rsid w:val="00E009AE"/>
    <w:rsid w:val="00E03B2D"/>
    <w:rsid w:val="00E04413"/>
    <w:rsid w:val="00E105FC"/>
    <w:rsid w:val="00E10FA1"/>
    <w:rsid w:val="00E247DB"/>
    <w:rsid w:val="00E7007B"/>
    <w:rsid w:val="00E70EB3"/>
    <w:rsid w:val="00E729BC"/>
    <w:rsid w:val="00E81D49"/>
    <w:rsid w:val="00E841E7"/>
    <w:rsid w:val="00E97140"/>
    <w:rsid w:val="00EA7CF1"/>
    <w:rsid w:val="00ED3B16"/>
    <w:rsid w:val="00EE7162"/>
    <w:rsid w:val="00F1293D"/>
    <w:rsid w:val="00F239DF"/>
    <w:rsid w:val="00F3056E"/>
    <w:rsid w:val="00F507CC"/>
    <w:rsid w:val="00F50EBD"/>
    <w:rsid w:val="00F53182"/>
    <w:rsid w:val="00F564AA"/>
    <w:rsid w:val="00F84CCB"/>
    <w:rsid w:val="00F96AB2"/>
    <w:rsid w:val="00FA07A2"/>
    <w:rsid w:val="00FC1812"/>
    <w:rsid w:val="00FC6C7C"/>
    <w:rsid w:val="00FC7262"/>
    <w:rsid w:val="00FD7BE2"/>
    <w:rsid w:val="00FE0B9E"/>
    <w:rsid w:val="00FF14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E97140"/>
    <w:pPr>
      <w:keepNext/>
      <w:spacing w:after="0" w:line="240" w:lineRule="auto"/>
      <w:jc w:val="center"/>
      <w:outlineLvl w:val="1"/>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B37"/>
    <w:pPr>
      <w:spacing w:beforeAutospacing="1" w:after="0" w:afterAutospacing="1" w:line="240" w:lineRule="auto"/>
      <w:ind w:left="7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3A0C"/>
    <w:pPr>
      <w:spacing w:before="100" w:beforeAutospacing="1" w:after="100" w:afterAutospacing="1" w:line="240" w:lineRule="auto"/>
      <w:ind w:left="720"/>
      <w:contextualSpacing/>
      <w:jc w:val="both"/>
    </w:pPr>
    <w:rPr>
      <w:lang w:eastAsia="en-US"/>
    </w:rPr>
  </w:style>
  <w:style w:type="paragraph" w:styleId="Textodeglobo">
    <w:name w:val="Balloon Text"/>
    <w:basedOn w:val="Normal"/>
    <w:link w:val="TextodegloboCar"/>
    <w:uiPriority w:val="99"/>
    <w:semiHidden/>
    <w:unhideWhenUsed/>
    <w:rsid w:val="00B650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65006"/>
    <w:rPr>
      <w:rFonts w:ascii="Tahoma" w:hAnsi="Tahoma" w:cs="Tahoma"/>
      <w:sz w:val="16"/>
      <w:szCs w:val="16"/>
    </w:rPr>
  </w:style>
  <w:style w:type="character" w:customStyle="1" w:styleId="Ttulo2Car">
    <w:name w:val="Título 2 Car"/>
    <w:basedOn w:val="Fuentedeprrafopredeter"/>
    <w:link w:val="Ttulo2"/>
    <w:rsid w:val="00E97140"/>
    <w:rPr>
      <w:rFonts w:ascii="Times New Roman" w:eastAsia="Times New Roman" w:hAnsi="Times New Roman"/>
      <w:b/>
      <w:bCs/>
      <w:sz w:val="24"/>
      <w:szCs w:val="24"/>
      <w:lang w:val="es-ES" w:eastAsia="es-ES"/>
    </w:rPr>
  </w:style>
  <w:style w:type="paragraph" w:styleId="Ttulo">
    <w:name w:val="Title"/>
    <w:basedOn w:val="Normal"/>
    <w:link w:val="TtuloCar"/>
    <w:qFormat/>
    <w:rsid w:val="00E729BC"/>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E729BC"/>
    <w:rPr>
      <w:rFonts w:ascii="Times New Roman" w:eastAsia="Times New Roman" w:hAnsi="Times New Roman"/>
      <w:b/>
      <w:bCs/>
      <w:sz w:val="24"/>
      <w:szCs w:val="24"/>
      <w:lang w:val="es-ES" w:eastAsia="es-ES"/>
    </w:rPr>
  </w:style>
  <w:style w:type="paragraph" w:customStyle="1" w:styleId="textonormal1estilo1">
    <w:name w:val="textonormal_1 estilo1"/>
    <w:basedOn w:val="Normal"/>
    <w:rsid w:val="00E729BC"/>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p5">
    <w:name w:val="ec_p5"/>
    <w:basedOn w:val="Normal"/>
    <w:rsid w:val="00E729BC"/>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qFormat/>
    <w:rsid w:val="00E729BC"/>
    <w:rPr>
      <w:b/>
      <w:bCs/>
    </w:rPr>
  </w:style>
  <w:style w:type="paragraph" w:styleId="Encabezado">
    <w:name w:val="header"/>
    <w:basedOn w:val="Normal"/>
    <w:link w:val="EncabezadoCar"/>
    <w:uiPriority w:val="99"/>
    <w:unhideWhenUsed/>
    <w:rsid w:val="000B7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3D3"/>
  </w:style>
  <w:style w:type="paragraph" w:styleId="Piedepgina">
    <w:name w:val="footer"/>
    <w:basedOn w:val="Normal"/>
    <w:link w:val="PiedepginaCar"/>
    <w:uiPriority w:val="99"/>
    <w:unhideWhenUsed/>
    <w:rsid w:val="000B7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3D3"/>
  </w:style>
  <w:style w:type="character" w:styleId="Hipervnculo">
    <w:name w:val="Hyperlink"/>
    <w:rsid w:val="00FF1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E97140"/>
    <w:pPr>
      <w:keepNext/>
      <w:spacing w:after="0" w:line="240" w:lineRule="auto"/>
      <w:jc w:val="center"/>
      <w:outlineLvl w:val="1"/>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B37"/>
    <w:pPr>
      <w:spacing w:beforeAutospacing="1" w:after="0" w:afterAutospacing="1" w:line="240" w:lineRule="auto"/>
      <w:ind w:left="7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3A0C"/>
    <w:pPr>
      <w:spacing w:before="100" w:beforeAutospacing="1" w:after="100" w:afterAutospacing="1" w:line="240" w:lineRule="auto"/>
      <w:ind w:left="720"/>
      <w:contextualSpacing/>
      <w:jc w:val="both"/>
    </w:pPr>
    <w:rPr>
      <w:lang w:eastAsia="en-US"/>
    </w:rPr>
  </w:style>
  <w:style w:type="paragraph" w:styleId="Textodeglobo">
    <w:name w:val="Balloon Text"/>
    <w:basedOn w:val="Normal"/>
    <w:link w:val="TextodegloboCar"/>
    <w:uiPriority w:val="99"/>
    <w:semiHidden/>
    <w:unhideWhenUsed/>
    <w:rsid w:val="00B650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65006"/>
    <w:rPr>
      <w:rFonts w:ascii="Tahoma" w:hAnsi="Tahoma" w:cs="Tahoma"/>
      <w:sz w:val="16"/>
      <w:szCs w:val="16"/>
    </w:rPr>
  </w:style>
  <w:style w:type="character" w:customStyle="1" w:styleId="Ttulo2Car">
    <w:name w:val="Título 2 Car"/>
    <w:basedOn w:val="Fuentedeprrafopredeter"/>
    <w:link w:val="Ttulo2"/>
    <w:rsid w:val="00E97140"/>
    <w:rPr>
      <w:rFonts w:ascii="Times New Roman" w:eastAsia="Times New Roman" w:hAnsi="Times New Roman"/>
      <w:b/>
      <w:bCs/>
      <w:sz w:val="24"/>
      <w:szCs w:val="24"/>
      <w:lang w:val="es-ES" w:eastAsia="es-ES"/>
    </w:rPr>
  </w:style>
  <w:style w:type="paragraph" w:styleId="Ttulo">
    <w:name w:val="Title"/>
    <w:basedOn w:val="Normal"/>
    <w:link w:val="TtuloCar"/>
    <w:qFormat/>
    <w:rsid w:val="00E729BC"/>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rsid w:val="00E729BC"/>
    <w:rPr>
      <w:rFonts w:ascii="Times New Roman" w:eastAsia="Times New Roman" w:hAnsi="Times New Roman"/>
      <w:b/>
      <w:bCs/>
      <w:sz w:val="24"/>
      <w:szCs w:val="24"/>
      <w:lang w:val="es-ES" w:eastAsia="es-ES"/>
    </w:rPr>
  </w:style>
  <w:style w:type="paragraph" w:customStyle="1" w:styleId="textonormal1estilo1">
    <w:name w:val="textonormal_1 estilo1"/>
    <w:basedOn w:val="Normal"/>
    <w:rsid w:val="00E729BC"/>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p5">
    <w:name w:val="ec_p5"/>
    <w:basedOn w:val="Normal"/>
    <w:rsid w:val="00E729BC"/>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qFormat/>
    <w:rsid w:val="00E729BC"/>
    <w:rPr>
      <w:b/>
      <w:bCs/>
    </w:rPr>
  </w:style>
  <w:style w:type="paragraph" w:styleId="Encabezado">
    <w:name w:val="header"/>
    <w:basedOn w:val="Normal"/>
    <w:link w:val="EncabezadoCar"/>
    <w:uiPriority w:val="99"/>
    <w:unhideWhenUsed/>
    <w:rsid w:val="000B7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3D3"/>
  </w:style>
  <w:style w:type="paragraph" w:styleId="Piedepgina">
    <w:name w:val="footer"/>
    <w:basedOn w:val="Normal"/>
    <w:link w:val="PiedepginaCar"/>
    <w:uiPriority w:val="99"/>
    <w:unhideWhenUsed/>
    <w:rsid w:val="000B7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3D3"/>
  </w:style>
  <w:style w:type="character" w:styleId="Hipervnculo">
    <w:name w:val="Hyperlink"/>
    <w:rsid w:val="00FF1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2939">
      <w:marLeft w:val="0"/>
      <w:marRight w:val="0"/>
      <w:marTop w:val="0"/>
      <w:marBottom w:val="0"/>
      <w:divBdr>
        <w:top w:val="none" w:sz="0" w:space="0" w:color="auto"/>
        <w:left w:val="none" w:sz="0" w:space="0" w:color="auto"/>
        <w:bottom w:val="none" w:sz="0" w:space="0" w:color="auto"/>
        <w:right w:val="none" w:sz="0" w:space="0" w:color="auto"/>
      </w:divBdr>
    </w:div>
    <w:div w:id="764692940">
      <w:marLeft w:val="0"/>
      <w:marRight w:val="0"/>
      <w:marTop w:val="0"/>
      <w:marBottom w:val="0"/>
      <w:divBdr>
        <w:top w:val="none" w:sz="0" w:space="0" w:color="auto"/>
        <w:left w:val="none" w:sz="0" w:space="0" w:color="auto"/>
        <w:bottom w:val="none" w:sz="0" w:space="0" w:color="auto"/>
        <w:right w:val="none" w:sz="0" w:space="0" w:color="auto"/>
      </w:divBdr>
    </w:div>
    <w:div w:id="764692941">
      <w:marLeft w:val="0"/>
      <w:marRight w:val="0"/>
      <w:marTop w:val="0"/>
      <w:marBottom w:val="0"/>
      <w:divBdr>
        <w:top w:val="none" w:sz="0" w:space="0" w:color="auto"/>
        <w:left w:val="none" w:sz="0" w:space="0" w:color="auto"/>
        <w:bottom w:val="none" w:sz="0" w:space="0" w:color="auto"/>
        <w:right w:val="none" w:sz="0" w:space="0" w:color="auto"/>
      </w:divBdr>
    </w:div>
    <w:div w:id="764692942">
      <w:marLeft w:val="0"/>
      <w:marRight w:val="0"/>
      <w:marTop w:val="0"/>
      <w:marBottom w:val="0"/>
      <w:divBdr>
        <w:top w:val="none" w:sz="0" w:space="0" w:color="auto"/>
        <w:left w:val="none" w:sz="0" w:space="0" w:color="auto"/>
        <w:bottom w:val="none" w:sz="0" w:space="0" w:color="auto"/>
        <w:right w:val="none" w:sz="0" w:space="0" w:color="auto"/>
      </w:divBdr>
    </w:div>
    <w:div w:id="764692943">
      <w:marLeft w:val="0"/>
      <w:marRight w:val="0"/>
      <w:marTop w:val="0"/>
      <w:marBottom w:val="0"/>
      <w:divBdr>
        <w:top w:val="none" w:sz="0" w:space="0" w:color="auto"/>
        <w:left w:val="none" w:sz="0" w:space="0" w:color="auto"/>
        <w:bottom w:val="none" w:sz="0" w:space="0" w:color="auto"/>
        <w:right w:val="none" w:sz="0" w:space="0" w:color="auto"/>
      </w:divBdr>
    </w:div>
    <w:div w:id="764692944">
      <w:marLeft w:val="0"/>
      <w:marRight w:val="0"/>
      <w:marTop w:val="0"/>
      <w:marBottom w:val="0"/>
      <w:divBdr>
        <w:top w:val="none" w:sz="0" w:space="0" w:color="auto"/>
        <w:left w:val="none" w:sz="0" w:space="0" w:color="auto"/>
        <w:bottom w:val="none" w:sz="0" w:space="0" w:color="auto"/>
        <w:right w:val="none" w:sz="0" w:space="0" w:color="auto"/>
      </w:divBdr>
    </w:div>
    <w:div w:id="764692945">
      <w:marLeft w:val="0"/>
      <w:marRight w:val="0"/>
      <w:marTop w:val="0"/>
      <w:marBottom w:val="0"/>
      <w:divBdr>
        <w:top w:val="none" w:sz="0" w:space="0" w:color="auto"/>
        <w:left w:val="none" w:sz="0" w:space="0" w:color="auto"/>
        <w:bottom w:val="none" w:sz="0" w:space="0" w:color="auto"/>
        <w:right w:val="none" w:sz="0" w:space="0" w:color="auto"/>
      </w:divBdr>
    </w:div>
    <w:div w:id="764692946">
      <w:marLeft w:val="0"/>
      <w:marRight w:val="0"/>
      <w:marTop w:val="0"/>
      <w:marBottom w:val="0"/>
      <w:divBdr>
        <w:top w:val="none" w:sz="0" w:space="0" w:color="auto"/>
        <w:left w:val="none" w:sz="0" w:space="0" w:color="auto"/>
        <w:bottom w:val="none" w:sz="0" w:space="0" w:color="auto"/>
        <w:right w:val="none" w:sz="0" w:space="0" w:color="auto"/>
      </w:divBdr>
    </w:div>
    <w:div w:id="764692947">
      <w:marLeft w:val="0"/>
      <w:marRight w:val="0"/>
      <w:marTop w:val="0"/>
      <w:marBottom w:val="0"/>
      <w:divBdr>
        <w:top w:val="none" w:sz="0" w:space="0" w:color="auto"/>
        <w:left w:val="none" w:sz="0" w:space="0" w:color="auto"/>
        <w:bottom w:val="none" w:sz="0" w:space="0" w:color="auto"/>
        <w:right w:val="none" w:sz="0" w:space="0" w:color="auto"/>
      </w:divBdr>
    </w:div>
    <w:div w:id="764692948">
      <w:marLeft w:val="0"/>
      <w:marRight w:val="0"/>
      <w:marTop w:val="0"/>
      <w:marBottom w:val="0"/>
      <w:divBdr>
        <w:top w:val="none" w:sz="0" w:space="0" w:color="auto"/>
        <w:left w:val="none" w:sz="0" w:space="0" w:color="auto"/>
        <w:bottom w:val="none" w:sz="0" w:space="0" w:color="auto"/>
        <w:right w:val="none" w:sz="0" w:space="0" w:color="auto"/>
      </w:divBdr>
    </w:div>
    <w:div w:id="764692949">
      <w:marLeft w:val="0"/>
      <w:marRight w:val="0"/>
      <w:marTop w:val="0"/>
      <w:marBottom w:val="0"/>
      <w:divBdr>
        <w:top w:val="none" w:sz="0" w:space="0" w:color="auto"/>
        <w:left w:val="none" w:sz="0" w:space="0" w:color="auto"/>
        <w:bottom w:val="none" w:sz="0" w:space="0" w:color="auto"/>
        <w:right w:val="none" w:sz="0" w:space="0" w:color="auto"/>
      </w:divBdr>
    </w:div>
    <w:div w:id="764692950">
      <w:marLeft w:val="0"/>
      <w:marRight w:val="0"/>
      <w:marTop w:val="0"/>
      <w:marBottom w:val="0"/>
      <w:divBdr>
        <w:top w:val="none" w:sz="0" w:space="0" w:color="auto"/>
        <w:left w:val="none" w:sz="0" w:space="0" w:color="auto"/>
        <w:bottom w:val="none" w:sz="0" w:space="0" w:color="auto"/>
        <w:right w:val="none" w:sz="0" w:space="0" w:color="auto"/>
      </w:divBdr>
    </w:div>
    <w:div w:id="764692951">
      <w:marLeft w:val="0"/>
      <w:marRight w:val="0"/>
      <w:marTop w:val="0"/>
      <w:marBottom w:val="0"/>
      <w:divBdr>
        <w:top w:val="none" w:sz="0" w:space="0" w:color="auto"/>
        <w:left w:val="none" w:sz="0" w:space="0" w:color="auto"/>
        <w:bottom w:val="none" w:sz="0" w:space="0" w:color="auto"/>
        <w:right w:val="none" w:sz="0" w:space="0" w:color="auto"/>
      </w:divBdr>
    </w:div>
    <w:div w:id="764692952">
      <w:marLeft w:val="0"/>
      <w:marRight w:val="0"/>
      <w:marTop w:val="0"/>
      <w:marBottom w:val="0"/>
      <w:divBdr>
        <w:top w:val="none" w:sz="0" w:space="0" w:color="auto"/>
        <w:left w:val="none" w:sz="0" w:space="0" w:color="auto"/>
        <w:bottom w:val="none" w:sz="0" w:space="0" w:color="auto"/>
        <w:right w:val="none" w:sz="0" w:space="0" w:color="auto"/>
      </w:divBdr>
    </w:div>
    <w:div w:id="764692953">
      <w:marLeft w:val="0"/>
      <w:marRight w:val="0"/>
      <w:marTop w:val="0"/>
      <w:marBottom w:val="0"/>
      <w:divBdr>
        <w:top w:val="none" w:sz="0" w:space="0" w:color="auto"/>
        <w:left w:val="none" w:sz="0" w:space="0" w:color="auto"/>
        <w:bottom w:val="none" w:sz="0" w:space="0" w:color="auto"/>
        <w:right w:val="none" w:sz="0" w:space="0" w:color="auto"/>
      </w:divBdr>
    </w:div>
    <w:div w:id="764692954">
      <w:marLeft w:val="0"/>
      <w:marRight w:val="0"/>
      <w:marTop w:val="0"/>
      <w:marBottom w:val="0"/>
      <w:divBdr>
        <w:top w:val="none" w:sz="0" w:space="0" w:color="auto"/>
        <w:left w:val="none" w:sz="0" w:space="0" w:color="auto"/>
        <w:bottom w:val="none" w:sz="0" w:space="0" w:color="auto"/>
        <w:right w:val="none" w:sz="0" w:space="0" w:color="auto"/>
      </w:divBdr>
    </w:div>
    <w:div w:id="764692955">
      <w:marLeft w:val="0"/>
      <w:marRight w:val="0"/>
      <w:marTop w:val="0"/>
      <w:marBottom w:val="0"/>
      <w:divBdr>
        <w:top w:val="none" w:sz="0" w:space="0" w:color="auto"/>
        <w:left w:val="none" w:sz="0" w:space="0" w:color="auto"/>
        <w:bottom w:val="none" w:sz="0" w:space="0" w:color="auto"/>
        <w:right w:val="none" w:sz="0" w:space="0" w:color="auto"/>
      </w:divBdr>
    </w:div>
    <w:div w:id="947470425">
      <w:bodyDiv w:val="1"/>
      <w:marLeft w:val="0"/>
      <w:marRight w:val="0"/>
      <w:marTop w:val="0"/>
      <w:marBottom w:val="0"/>
      <w:divBdr>
        <w:top w:val="none" w:sz="0" w:space="0" w:color="auto"/>
        <w:left w:val="none" w:sz="0" w:space="0" w:color="auto"/>
        <w:bottom w:val="none" w:sz="0" w:space="0" w:color="auto"/>
        <w:right w:val="none" w:sz="0" w:space="0" w:color="auto"/>
      </w:divBdr>
    </w:div>
    <w:div w:id="1520779343">
      <w:bodyDiv w:val="1"/>
      <w:marLeft w:val="0"/>
      <w:marRight w:val="0"/>
      <w:marTop w:val="0"/>
      <w:marBottom w:val="0"/>
      <w:divBdr>
        <w:top w:val="none" w:sz="0" w:space="0" w:color="auto"/>
        <w:left w:val="none" w:sz="0" w:space="0" w:color="auto"/>
        <w:bottom w:val="none" w:sz="0" w:space="0" w:color="auto"/>
        <w:right w:val="none" w:sz="0" w:space="0" w:color="auto"/>
      </w:divBdr>
    </w:div>
    <w:div w:id="18721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EC\OFICINA%20OEC\informes\MEMORIA%20DE%20GESTION\MEMORIA%20DE%20GESTION%20A&#209;O%202012\ESTADISTICAS%20PARA%20MEMORIA%20ANUAL%20A&#209;O%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EC\OFICINA%20OEC\informes\MEMORIA%20DE%20GESTION\MEMORIA%20DE%20GESTION%20A&#209;O%202012\ESTADISTICAS%20PARA%20MEMORIA%20ANUAL%20A&#209;O%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PE" sz="1100"/>
              <a:t>Expedientes Ingresados a</a:t>
            </a:r>
            <a:r>
              <a:rPr lang="es-PE" sz="1100" baseline="0"/>
              <a:t> la Oficina de Ejecución Coactiva</a:t>
            </a:r>
            <a:endParaRPr lang="es-PE" sz="1100"/>
          </a:p>
        </c:rich>
      </c:tx>
      <c:overlay val="0"/>
    </c:title>
    <c:autoTitleDeleted val="0"/>
    <c:view3D>
      <c:rotX val="15"/>
      <c:rotY val="50"/>
      <c:rAngAx val="1"/>
    </c:view3D>
    <c:floor>
      <c:thickness val="0"/>
      <c:spPr>
        <a:solidFill>
          <a:schemeClr val="tx2">
            <a:lumMod val="20000"/>
            <a:lumOff val="80000"/>
          </a:schemeClr>
        </a:solidFill>
      </c:spPr>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00B050"/>
              </a:solidFill>
            </c:spPr>
          </c:dPt>
          <c:dPt>
            <c:idx val="2"/>
            <c:invertIfNegative val="0"/>
            <c:bubble3D val="0"/>
            <c:spPr>
              <a:solidFill>
                <a:srgbClr val="FFFF00"/>
              </a:solidFill>
            </c:spPr>
          </c:dPt>
          <c:dLbls>
            <c:dLbl>
              <c:idx val="0"/>
              <c:layout>
                <c:manualLayout>
                  <c:x val="-7.8014184397163136E-2"/>
                  <c:y val="1.1594202898550725E-2"/>
                </c:manualLayout>
              </c:layout>
              <c:tx>
                <c:rich>
                  <a:bodyPr/>
                  <a:lstStyle/>
                  <a:p>
                    <a:r>
                      <a:rPr lang="en-US"/>
                      <a:t>2390 Expedientes</a:t>
                    </a:r>
                  </a:p>
                </c:rich>
              </c:tx>
              <c:showLegendKey val="0"/>
              <c:showVal val="1"/>
              <c:showCatName val="0"/>
              <c:showSerName val="0"/>
              <c:showPercent val="0"/>
              <c:showBubbleSize val="0"/>
            </c:dLbl>
            <c:dLbl>
              <c:idx val="1"/>
              <c:layout>
                <c:manualLayout>
                  <c:x val="7.2094634004082822E-2"/>
                  <c:y val="-5.6496371098387607E-2"/>
                </c:manualLayout>
              </c:layout>
              <c:tx>
                <c:rich>
                  <a:bodyPr/>
                  <a:lstStyle/>
                  <a:p>
                    <a:r>
                      <a:rPr lang="en-US"/>
                      <a:t>157</a:t>
                    </a:r>
                  </a:p>
                  <a:p>
                    <a:r>
                      <a:rPr lang="en-US"/>
                      <a:t> Expedientes </a:t>
                    </a:r>
                  </a:p>
                </c:rich>
              </c:tx>
              <c:showLegendKey val="0"/>
              <c:showVal val="1"/>
              <c:showCatName val="0"/>
              <c:showSerName val="0"/>
              <c:showPercent val="0"/>
              <c:showBubbleSize val="0"/>
            </c:dLbl>
            <c:dLbl>
              <c:idx val="2"/>
              <c:layout>
                <c:manualLayout>
                  <c:x val="5.0925925925926013E-2"/>
                  <c:y val="-4.0740752621975101E-2"/>
                </c:manualLayout>
              </c:layout>
              <c:tx>
                <c:rich>
                  <a:bodyPr/>
                  <a:lstStyle/>
                  <a:p>
                    <a:r>
                      <a:rPr lang="en-US"/>
                      <a:t>334 Expedientes</a:t>
                    </a:r>
                  </a:p>
                </c:rich>
              </c:tx>
              <c:showLegendKey val="0"/>
              <c:showVal val="1"/>
              <c:showCatName val="0"/>
              <c:showSerName val="0"/>
              <c:showPercent val="0"/>
              <c:showBubbleSize val="0"/>
            </c:dLbl>
            <c:txPr>
              <a:bodyPr/>
              <a:lstStyle/>
              <a:p>
                <a:pPr>
                  <a:defRPr sz="1100" b="1"/>
                </a:pPr>
                <a:endParaRPr lang="es-PE"/>
              </a:p>
            </c:txPr>
            <c:showLegendKey val="0"/>
            <c:showVal val="1"/>
            <c:showCatName val="0"/>
            <c:showSerName val="0"/>
            <c:showPercent val="0"/>
            <c:showBubbleSize val="0"/>
            <c:showLeaderLines val="0"/>
          </c:dLbls>
          <c:val>
            <c:numRef>
              <c:f>Hoja1!$B$4:$B$6</c:f>
              <c:numCache>
                <c:formatCode>General</c:formatCode>
                <c:ptCount val="3"/>
                <c:pt idx="0">
                  <c:v>2390</c:v>
                </c:pt>
                <c:pt idx="1">
                  <c:v>157</c:v>
                </c:pt>
                <c:pt idx="2">
                  <c:v>334</c:v>
                </c:pt>
              </c:numCache>
            </c:numRef>
          </c:val>
        </c:ser>
        <c:dLbls>
          <c:showLegendKey val="0"/>
          <c:showVal val="1"/>
          <c:showCatName val="0"/>
          <c:showSerName val="0"/>
          <c:showPercent val="0"/>
          <c:showBubbleSize val="0"/>
        </c:dLbls>
        <c:gapWidth val="150"/>
        <c:shape val="cylinder"/>
        <c:axId val="139396992"/>
        <c:axId val="139401088"/>
        <c:axId val="0"/>
      </c:bar3DChart>
      <c:catAx>
        <c:axId val="139396992"/>
        <c:scaling>
          <c:orientation val="minMax"/>
        </c:scaling>
        <c:delete val="1"/>
        <c:axPos val="b"/>
        <c:majorTickMark val="none"/>
        <c:minorTickMark val="none"/>
        <c:tickLblPos val="none"/>
        <c:crossAx val="139401088"/>
        <c:crosses val="autoZero"/>
        <c:auto val="1"/>
        <c:lblAlgn val="ctr"/>
        <c:lblOffset val="100"/>
        <c:noMultiLvlLbl val="0"/>
      </c:catAx>
      <c:valAx>
        <c:axId val="139401088"/>
        <c:scaling>
          <c:orientation val="minMax"/>
        </c:scaling>
        <c:delete val="1"/>
        <c:axPos val="l"/>
        <c:numFmt formatCode="General" sourceLinked="1"/>
        <c:majorTickMark val="none"/>
        <c:minorTickMark val="none"/>
        <c:tickLblPos val="none"/>
        <c:crossAx val="139396992"/>
        <c:crosses val="autoZero"/>
        <c:crossBetween val="between"/>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ESTADO</a:t>
            </a:r>
            <a:r>
              <a:rPr lang="en-US" sz="1200" baseline="0"/>
              <a:t> DE EXPEDIENTES INGRESADOS A LA OFICINA DE EJECUCION COACTIVA  AÑO 2010, 2011 Y 2012  (2881 EXPEDIENTES)</a:t>
            </a:r>
            <a:endParaRPr lang="en-US" sz="1200"/>
          </a:p>
        </c:rich>
      </c:tx>
      <c:layout>
        <c:manualLayout>
          <c:xMode val="edge"/>
          <c:yMode val="edge"/>
          <c:x val="8.6001185335704E-2"/>
          <c:y val="1.048542217421378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773252235561011E-2"/>
          <c:y val="0.16946100895588345"/>
          <c:w val="0.87089095710039166"/>
          <c:h val="0.81116182416784544"/>
        </c:manualLayout>
      </c:layout>
      <c:pie3DChart>
        <c:varyColors val="1"/>
        <c:ser>
          <c:idx val="0"/>
          <c:order val="0"/>
          <c:tx>
            <c:strRef>
              <c:f>Hoja1!$B$19</c:f>
              <c:strCache>
                <c:ptCount val="1"/>
                <c:pt idx="0">
                  <c:v>N° DE EXPEDIENTES</c:v>
                </c:pt>
              </c:strCache>
            </c:strRef>
          </c:tx>
          <c:explosion val="65"/>
          <c:dLbls>
            <c:dLbl>
              <c:idx val="0"/>
              <c:layout>
                <c:manualLayout>
                  <c:x val="0.2232394142957265"/>
                  <c:y val="1.3533859791473816E-2"/>
                </c:manualLayout>
              </c:layout>
              <c:showLegendKey val="0"/>
              <c:showVal val="0"/>
              <c:showCatName val="1"/>
              <c:showSerName val="0"/>
              <c:showPercent val="1"/>
              <c:showBubbleSize val="0"/>
            </c:dLbl>
            <c:dLbl>
              <c:idx val="2"/>
              <c:layout>
                <c:manualLayout>
                  <c:x val="0.17284085655467962"/>
                  <c:y val="3.0820074358749672E-2"/>
                </c:manualLayout>
              </c:layout>
              <c:showLegendKey val="0"/>
              <c:showVal val="0"/>
              <c:showCatName val="1"/>
              <c:showSerName val="0"/>
              <c:showPercent val="1"/>
              <c:showBubbleSize val="0"/>
            </c:dLbl>
            <c:dLbl>
              <c:idx val="3"/>
              <c:layout>
                <c:manualLayout>
                  <c:x val="2.8802807684473214E-2"/>
                  <c:y val="4.9326473300535363E-2"/>
                </c:manualLayout>
              </c:layout>
              <c:showLegendKey val="0"/>
              <c:showVal val="0"/>
              <c:showCatName val="1"/>
              <c:showSerName val="0"/>
              <c:showPercent val="1"/>
              <c:showBubbleSize val="0"/>
            </c:dLbl>
            <c:dLbl>
              <c:idx val="5"/>
              <c:layout>
                <c:manualLayout>
                  <c:x val="1.3248666949351765E-2"/>
                  <c:y val="0.14669704442747519"/>
                </c:manualLayout>
              </c:layout>
              <c:showLegendKey val="0"/>
              <c:showVal val="0"/>
              <c:showCatName val="1"/>
              <c:showSerName val="0"/>
              <c:showPercent val="1"/>
              <c:showBubbleSize val="0"/>
            </c:dLbl>
            <c:dLbl>
              <c:idx val="8"/>
              <c:layout>
                <c:manualLayout>
                  <c:x val="-3.5835514936224798E-2"/>
                  <c:y val="1.3076123831102989E-2"/>
                </c:manualLayout>
              </c:layout>
              <c:showLegendKey val="0"/>
              <c:showVal val="0"/>
              <c:showCatName val="1"/>
              <c:showSerName val="0"/>
              <c:showPercent val="1"/>
              <c:showBubbleSize val="0"/>
            </c:dLbl>
            <c:dLbl>
              <c:idx val="13"/>
              <c:layout>
                <c:manualLayout>
                  <c:x val="8.1412837523339568E-2"/>
                  <c:y val="-0.10990206510354728"/>
                </c:manualLayout>
              </c:layout>
              <c:showLegendKey val="0"/>
              <c:showVal val="0"/>
              <c:showCatName val="1"/>
              <c:showSerName val="0"/>
              <c:showPercent val="1"/>
              <c:showBubbleSize val="0"/>
            </c:dLbl>
            <c:dLbl>
              <c:idx val="14"/>
              <c:layout>
                <c:manualLayout>
                  <c:x val="-0.14873169909541814"/>
                  <c:y val="-0.1391426628110278"/>
                </c:manualLayout>
              </c:layout>
              <c:showLegendKey val="0"/>
              <c:showVal val="0"/>
              <c:showCatName val="1"/>
              <c:showSerName val="0"/>
              <c:showPercent val="1"/>
              <c:showBubbleSize val="0"/>
            </c:dLbl>
            <c:dLbl>
              <c:idx val="15"/>
              <c:layout>
                <c:manualLayout>
                  <c:x val="0.26909324936058449"/>
                  <c:y val="-9.9318086034158287E-2"/>
                </c:manualLayout>
              </c:layout>
              <c:showLegendKey val="0"/>
              <c:showVal val="0"/>
              <c:showCatName val="1"/>
              <c:showSerName val="0"/>
              <c:showPercent val="1"/>
              <c:showBubbleSize val="0"/>
            </c:dLbl>
            <c:dLbl>
              <c:idx val="16"/>
              <c:layout>
                <c:manualLayout>
                  <c:x val="0.28721988203180487"/>
                  <c:y val="1.4010490342125359E-3"/>
                </c:manualLayout>
              </c:layout>
              <c:showLegendKey val="0"/>
              <c:showVal val="0"/>
              <c:showCatName val="1"/>
              <c:showSerName val="0"/>
              <c:showPercent val="1"/>
              <c:showBubbleSize val="0"/>
            </c:dLbl>
            <c:dLbl>
              <c:idx val="17"/>
              <c:layout>
                <c:manualLayout>
                  <c:x val="0.24218475615899374"/>
                  <c:y val="-0.14639513311924543"/>
                </c:manualLayout>
              </c:layout>
              <c:showLegendKey val="0"/>
              <c:showVal val="0"/>
              <c:showCatName val="1"/>
              <c:showSerName val="0"/>
              <c:showPercent val="1"/>
              <c:showBubbleSize val="0"/>
            </c:dLbl>
            <c:dLbl>
              <c:idx val="18"/>
              <c:layout>
                <c:manualLayout>
                  <c:x val="0.38883813913693582"/>
                  <c:y val="-0.12386805785706395"/>
                </c:manualLayout>
              </c:layout>
              <c:showLegendKey val="0"/>
              <c:showVal val="0"/>
              <c:showCatName val="1"/>
              <c:showSerName val="0"/>
              <c:showPercent val="1"/>
              <c:showBubbleSize val="0"/>
            </c:dLbl>
            <c:txPr>
              <a:bodyPr/>
              <a:lstStyle/>
              <a:p>
                <a:pPr>
                  <a:defRPr sz="800"/>
                </a:pPr>
                <a:endParaRPr lang="es-PE"/>
              </a:p>
            </c:txPr>
            <c:showLegendKey val="0"/>
            <c:showVal val="0"/>
            <c:showCatName val="1"/>
            <c:showSerName val="0"/>
            <c:showPercent val="1"/>
            <c:showBubbleSize val="0"/>
            <c:showLeaderLines val="1"/>
          </c:dLbls>
          <c:cat>
            <c:strRef>
              <c:f>Hoja1!$A$20:$A$36</c:f>
              <c:strCache>
                <c:ptCount val="17"/>
                <c:pt idx="0">
                  <c:v>EN ANALISIS</c:v>
                </c:pt>
                <c:pt idx="1">
                  <c:v>DEVUELTO PARA REGULARIZACIÓN</c:v>
                </c:pt>
                <c:pt idx="2">
                  <c:v>EXPEDIENTE DEVUELTO POR DUPLICIDAD</c:v>
                </c:pt>
                <c:pt idx="3">
                  <c:v>DEVUELTO POR DEUDA  CANCELADA U OTROS</c:v>
                </c:pt>
                <c:pt idx="4">
                  <c:v>EN PROCEDIMIENTO</c:v>
                </c:pt>
                <c:pt idx="5">
                  <c:v>EXPEDIENTE PARA VARIAR MEDIDA CAUTELAR</c:v>
                </c:pt>
                <c:pt idx="6">
                  <c:v>EXPEDIENTES REGULARIZADOS</c:v>
                </c:pt>
                <c:pt idx="7">
                  <c:v>ARCHIVADOS</c:v>
                </c:pt>
                <c:pt idx="8">
                  <c:v>DEVUELTO PARA RECONSTRUCCION DE EXPEDIENTE</c:v>
                </c:pt>
                <c:pt idx="9">
                  <c:v>EXPEDIENTE EJECUTOR EN RESERVA</c:v>
                </c:pt>
                <c:pt idx="10">
                  <c:v>SUSPENDIDO</c:v>
                </c:pt>
                <c:pt idx="11">
                  <c:v>EXPEDIENTE ADMINISTRATIVO SANCIONADOR EN RESERVA</c:v>
                </c:pt>
                <c:pt idx="12">
                  <c:v>EXPEDIENTES TRAMITADOS CON ACUMULACION DE DEUDA </c:v>
                </c:pt>
                <c:pt idx="13">
                  <c:v>EXPEDIENTE SUSPENDIDO PARA RECONOCIMIENTO DE CREDITO ANTE INDECOPI</c:v>
                </c:pt>
                <c:pt idx="14">
                  <c:v>EXPEDIENTES TRAMITADOS POR EXHORTO</c:v>
                </c:pt>
                <c:pt idx="15">
                  <c:v>EXPEDIENTE DEVUELTO A LA GERENCIA PARA TRAMITE QUE CORRESPONDA</c:v>
                </c:pt>
                <c:pt idx="16">
                  <c:v>EXPEDIENTE DEVUELTO POR TENER RECONOCIMIENTO DE CREDITO</c:v>
                </c:pt>
              </c:strCache>
            </c:strRef>
          </c:cat>
          <c:val>
            <c:numRef>
              <c:f>Hoja1!$B$20:$B$36</c:f>
              <c:numCache>
                <c:formatCode>General</c:formatCode>
                <c:ptCount val="17"/>
                <c:pt idx="0">
                  <c:v>458</c:v>
                </c:pt>
                <c:pt idx="1">
                  <c:v>955</c:v>
                </c:pt>
                <c:pt idx="2">
                  <c:v>177</c:v>
                </c:pt>
                <c:pt idx="3">
                  <c:v>34</c:v>
                </c:pt>
                <c:pt idx="4">
                  <c:v>332</c:v>
                </c:pt>
                <c:pt idx="5">
                  <c:v>284</c:v>
                </c:pt>
                <c:pt idx="6">
                  <c:v>5</c:v>
                </c:pt>
                <c:pt idx="7">
                  <c:v>344</c:v>
                </c:pt>
                <c:pt idx="8">
                  <c:v>21</c:v>
                </c:pt>
                <c:pt idx="9">
                  <c:v>150</c:v>
                </c:pt>
                <c:pt idx="10">
                  <c:v>35</c:v>
                </c:pt>
                <c:pt idx="11">
                  <c:v>38</c:v>
                </c:pt>
                <c:pt idx="12">
                  <c:v>22</c:v>
                </c:pt>
                <c:pt idx="13">
                  <c:v>18</c:v>
                </c:pt>
                <c:pt idx="14">
                  <c:v>1</c:v>
                </c:pt>
                <c:pt idx="15">
                  <c:v>6</c:v>
                </c:pt>
                <c:pt idx="16">
                  <c:v>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0.05689</cdr:x>
      <cdr:y>0.89161</cdr:y>
    </cdr:from>
    <cdr:to>
      <cdr:x>0.93217</cdr:x>
      <cdr:y>0.99615</cdr:y>
    </cdr:to>
    <cdr:sp macro="" textlink="">
      <cdr:nvSpPr>
        <cdr:cNvPr id="2" name="1 CuadroTexto"/>
        <cdr:cNvSpPr txBox="1"/>
      </cdr:nvSpPr>
      <cdr:spPr>
        <a:xfrm xmlns:a="http://schemas.openxmlformats.org/drawingml/2006/main">
          <a:off x="247651" y="2836524"/>
          <a:ext cx="3810000" cy="3325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PE" sz="1100"/>
            <a:t>  AÑOS :     2010	                    2011                              2012</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50CD-6147-40E1-B63D-60F2F0F7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Elizabeth Alcantara Castillo</dc:creator>
  <cp:lastModifiedBy>lvalera</cp:lastModifiedBy>
  <cp:revision>2</cp:revision>
  <cp:lastPrinted>2012-01-10T18:14:00Z</cp:lastPrinted>
  <dcterms:created xsi:type="dcterms:W3CDTF">2013-06-10T16:31:00Z</dcterms:created>
  <dcterms:modified xsi:type="dcterms:W3CDTF">2013-06-10T16:31:00Z</dcterms:modified>
</cp:coreProperties>
</file>