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FAE91" w14:textId="77777777" w:rsidR="00204B3B" w:rsidRDefault="00204B3B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es-ES" w:eastAsia="es-ES"/>
        </w:rPr>
      </w:pPr>
      <w:bookmarkStart w:id="0" w:name="_Hlk42027016"/>
    </w:p>
    <w:p w14:paraId="7BB1E917" w14:textId="5EF1A1C1" w:rsidR="00962FD2" w:rsidRPr="003D5EC9" w:rsidRDefault="00E70027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es-ES" w:eastAsia="es-ES"/>
        </w:rPr>
      </w:pPr>
      <w:bookmarkStart w:id="1" w:name="_GoBack"/>
      <w:r w:rsidRPr="003D5EC9">
        <w:rPr>
          <w:rFonts w:ascii="Arial" w:eastAsia="Times New Roman" w:hAnsi="Arial" w:cs="Arial"/>
          <w:b/>
          <w:color w:val="000000" w:themeColor="text1"/>
          <w:lang w:val="es-ES" w:eastAsia="es-ES"/>
        </w:rPr>
        <w:t>RESOLUCIÓN JEFATURAL Nº</w:t>
      </w:r>
      <w:r w:rsidR="00F822D5">
        <w:rPr>
          <w:rFonts w:ascii="Arial" w:eastAsia="Times New Roman" w:hAnsi="Arial" w:cs="Arial"/>
          <w:b/>
          <w:color w:val="000000" w:themeColor="text1"/>
          <w:lang w:val="es-ES" w:eastAsia="es-ES"/>
        </w:rPr>
        <w:t xml:space="preserve"> 0518</w:t>
      </w:r>
      <w:r w:rsidRPr="003D5EC9">
        <w:rPr>
          <w:rFonts w:ascii="Arial" w:eastAsia="Times New Roman" w:hAnsi="Arial" w:cs="Arial"/>
          <w:b/>
          <w:color w:val="000000" w:themeColor="text1"/>
          <w:lang w:val="es-ES" w:eastAsia="es-ES"/>
        </w:rPr>
        <w:t>-2024</w:t>
      </w:r>
      <w:r w:rsidR="00744A56">
        <w:rPr>
          <w:rFonts w:ascii="Arial" w:eastAsia="Times New Roman" w:hAnsi="Arial" w:cs="Arial"/>
          <w:b/>
          <w:color w:val="000000" w:themeColor="text1"/>
          <w:lang w:val="es-ES" w:eastAsia="es-ES"/>
        </w:rPr>
        <w:t>/</w:t>
      </w:r>
      <w:r w:rsidRPr="003D5EC9">
        <w:rPr>
          <w:rFonts w:ascii="Arial" w:eastAsia="Times New Roman" w:hAnsi="Arial" w:cs="Arial"/>
          <w:b/>
          <w:color w:val="000000" w:themeColor="text1"/>
          <w:lang w:val="es-ES" w:eastAsia="es-ES"/>
        </w:rPr>
        <w:t>DP</w:t>
      </w:r>
      <w:r w:rsidR="00744A56">
        <w:rPr>
          <w:rFonts w:ascii="Arial" w:eastAsia="Times New Roman" w:hAnsi="Arial" w:cs="Arial"/>
          <w:b/>
          <w:color w:val="000000" w:themeColor="text1"/>
          <w:lang w:val="es-ES" w:eastAsia="es-ES"/>
        </w:rPr>
        <w:t>-</w:t>
      </w:r>
      <w:r w:rsidRPr="003D5EC9">
        <w:rPr>
          <w:rFonts w:ascii="Arial" w:eastAsia="Times New Roman" w:hAnsi="Arial" w:cs="Arial"/>
          <w:b/>
          <w:color w:val="000000" w:themeColor="text1"/>
          <w:lang w:val="es-ES" w:eastAsia="es-ES"/>
        </w:rPr>
        <w:t>OAF</w:t>
      </w:r>
    </w:p>
    <w:bookmarkEnd w:id="1"/>
    <w:p w14:paraId="734824BE" w14:textId="66DE8A5C" w:rsidR="00962FD2" w:rsidRPr="003D5EC9" w:rsidRDefault="00962FD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es-ES" w:eastAsia="es-ES"/>
        </w:rPr>
      </w:pPr>
    </w:p>
    <w:p w14:paraId="31B683F0" w14:textId="567019AC" w:rsidR="00962FD2" w:rsidRPr="003D5EC9" w:rsidRDefault="00E70027">
      <w:pPr>
        <w:spacing w:after="0" w:line="240" w:lineRule="auto"/>
        <w:ind w:left="1843" w:firstLine="1559"/>
        <w:jc w:val="both"/>
        <w:rPr>
          <w:rFonts w:ascii="Arial" w:eastAsia="Times New Roman" w:hAnsi="Arial" w:cs="Arial"/>
          <w:color w:val="000000" w:themeColor="text1"/>
          <w:lang w:val="es-ES" w:eastAsia="es-ES"/>
        </w:rPr>
      </w:pPr>
      <w:r w:rsidRPr="003D5EC9">
        <w:rPr>
          <w:rFonts w:ascii="Arial" w:eastAsia="Times New Roman" w:hAnsi="Arial" w:cs="Arial"/>
          <w:color w:val="000000" w:themeColor="text1"/>
          <w:lang w:val="es-ES" w:eastAsia="es-ES"/>
        </w:rPr>
        <w:t>Lima,</w:t>
      </w:r>
      <w:r w:rsidR="00F822D5">
        <w:rPr>
          <w:rFonts w:ascii="Arial" w:eastAsia="Times New Roman" w:hAnsi="Arial" w:cs="Arial"/>
          <w:color w:val="000000" w:themeColor="text1"/>
          <w:lang w:val="es-ES" w:eastAsia="es-ES"/>
        </w:rPr>
        <w:t xml:space="preserve"> 30 de diciembre del 2024</w:t>
      </w:r>
    </w:p>
    <w:p w14:paraId="41F04BDB" w14:textId="5D7D64C7" w:rsidR="00962FD2" w:rsidRDefault="00962FD2">
      <w:pPr>
        <w:spacing w:after="0" w:line="240" w:lineRule="auto"/>
        <w:ind w:left="1843" w:firstLine="1559"/>
        <w:jc w:val="both"/>
        <w:rPr>
          <w:rFonts w:ascii="Arial" w:eastAsia="Times New Roman" w:hAnsi="Arial" w:cs="Arial"/>
          <w:color w:val="000000" w:themeColor="text1"/>
          <w:lang w:val="es-ES" w:eastAsia="es-ES"/>
        </w:rPr>
      </w:pPr>
    </w:p>
    <w:p w14:paraId="0487DEDE" w14:textId="608D1C1E" w:rsidR="00204B3B" w:rsidRPr="003D5EC9" w:rsidRDefault="00204B3B">
      <w:pPr>
        <w:spacing w:after="0" w:line="240" w:lineRule="auto"/>
        <w:ind w:left="1843" w:firstLine="1559"/>
        <w:jc w:val="both"/>
        <w:rPr>
          <w:rFonts w:ascii="Arial" w:eastAsia="Times New Roman" w:hAnsi="Arial" w:cs="Arial"/>
          <w:color w:val="000000" w:themeColor="text1"/>
          <w:lang w:val="es-ES" w:eastAsia="es-ES"/>
        </w:rPr>
      </w:pPr>
    </w:p>
    <w:p w14:paraId="3A9AD6D8" w14:textId="104FD578" w:rsidR="00962FD2" w:rsidRPr="003D5EC9" w:rsidRDefault="00E70027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  <w:r w:rsidRPr="003D5EC9">
        <w:rPr>
          <w:rFonts w:ascii="Arial" w:eastAsia="Times New Roman" w:hAnsi="Arial" w:cs="Arial"/>
          <w:b/>
          <w:color w:val="000000" w:themeColor="text1"/>
          <w:position w:val="-2"/>
          <w:lang w:val="es-ES_tradnl" w:eastAsia="es-ES"/>
        </w:rPr>
        <w:t>VISTO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:</w:t>
      </w:r>
    </w:p>
    <w:p w14:paraId="6130DE7B" w14:textId="0A57B1A5" w:rsidR="00962FD2" w:rsidRPr="003D5EC9" w:rsidRDefault="00962FD2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</w:p>
    <w:p w14:paraId="2AD3EF80" w14:textId="4B1FE815" w:rsidR="00962FD2" w:rsidRPr="003D5EC9" w:rsidRDefault="00E70027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El Memorando N° </w:t>
      </w:r>
      <w:r w:rsidR="00F64864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1168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-2024-DP/OAF-LOG, que adjunta el Informe N° 000</w:t>
      </w:r>
      <w:r w:rsidR="00F64864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16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-2024-DP/OAF-LOG-AC, relacionados con la emisión de la resolución que conforme la Comisión para la Toma de Inventario Físico de Existencias de Almacén Central de la Defensoría del Pueblo al cierre de </w:t>
      </w:r>
      <w:r w:rsidR="00F64864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diciembre de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2024; y,</w:t>
      </w:r>
    </w:p>
    <w:p w14:paraId="1F97BAAC" w14:textId="77777777" w:rsidR="00962FD2" w:rsidRPr="003D5EC9" w:rsidRDefault="00962FD2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</w:p>
    <w:p w14:paraId="1AE122AA" w14:textId="6825B629" w:rsidR="00962FD2" w:rsidRPr="003D5EC9" w:rsidRDefault="00E70027">
      <w:pPr>
        <w:spacing w:after="0" w:line="240" w:lineRule="auto"/>
        <w:ind w:firstLine="3402"/>
        <w:jc w:val="both"/>
        <w:rPr>
          <w:rFonts w:ascii="Arial" w:eastAsia="Times New Roman" w:hAnsi="Arial" w:cs="Arial"/>
          <w:b/>
          <w:color w:val="000000" w:themeColor="text1"/>
          <w:lang w:val="es-ES" w:eastAsia="es-ES"/>
        </w:rPr>
      </w:pPr>
      <w:r w:rsidRPr="003D5EC9">
        <w:rPr>
          <w:rFonts w:ascii="Arial" w:eastAsia="Times New Roman" w:hAnsi="Arial" w:cs="Arial"/>
          <w:b/>
          <w:color w:val="000000" w:themeColor="text1"/>
          <w:lang w:val="es-ES" w:eastAsia="es-ES"/>
        </w:rPr>
        <w:t xml:space="preserve">CONSIDERANDO: </w:t>
      </w:r>
    </w:p>
    <w:p w14:paraId="49FBA6DA" w14:textId="77777777" w:rsidR="00962FD2" w:rsidRPr="003D5EC9" w:rsidRDefault="00962FD2">
      <w:pPr>
        <w:spacing w:after="0" w:line="240" w:lineRule="auto"/>
        <w:ind w:firstLine="3402"/>
        <w:jc w:val="both"/>
        <w:rPr>
          <w:rFonts w:ascii="Arial" w:eastAsia="Times New Roman" w:hAnsi="Arial" w:cs="Arial"/>
          <w:b/>
          <w:color w:val="000000" w:themeColor="text1"/>
          <w:lang w:val="es-ES" w:eastAsia="es-ES"/>
        </w:rPr>
      </w:pPr>
    </w:p>
    <w:p w14:paraId="563CE3E4" w14:textId="57AEA39A" w:rsidR="00962FD2" w:rsidRPr="003D5EC9" w:rsidRDefault="00E70027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Que, el </w:t>
      </w:r>
      <w:bookmarkStart w:id="2" w:name="_Hlk173341802"/>
      <w:bookmarkStart w:id="3" w:name="_Hlk121988655"/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Decreto Legislativo N° 1439, Decreto Legislativo del Sistema Nacional de Abastecimiento </w:t>
      </w:r>
      <w:bookmarkEnd w:id="2"/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(en adelante, D. </w:t>
      </w:r>
      <w:proofErr w:type="spellStart"/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Leg</w:t>
      </w:r>
      <w:proofErr w:type="spellEnd"/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. N° 1439)</w:t>
      </w:r>
      <w:r w:rsidR="001017E1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,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indica que el referido sistema es el conjunto de principios, procesos, normas, procedimientos, técnicas e instrumentos para la provisión de los bienes, servicios y obras, a través de las actividades de la Cadena de Abastecimiento Público, orientadas al logro de los resultados, con el fin de lograr un eficiente y eficaz empleo de los recursos públicos</w:t>
      </w:r>
      <w:bookmarkEnd w:id="3"/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;</w:t>
      </w:r>
    </w:p>
    <w:p w14:paraId="78FF94D7" w14:textId="013B187B" w:rsidR="00962FD2" w:rsidRPr="003D5EC9" w:rsidRDefault="00962FD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</w:p>
    <w:p w14:paraId="7FFDF556" w14:textId="31DB0F89" w:rsidR="00962FD2" w:rsidRPr="003D5EC9" w:rsidRDefault="00866067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  <w:r w:rsidRPr="00A74032">
        <w:rPr>
          <w:rFonts w:ascii="Arial" w:hAnsi="Arial" w:cs="Arial"/>
          <w:noProof/>
          <w:color w:val="000000" w:themeColor="text1"/>
          <w:sz w:val="21"/>
          <w:szCs w:val="21"/>
          <w:lang w:eastAsia="es-PE"/>
        </w:rPr>
        <w:drawing>
          <wp:anchor distT="0" distB="0" distL="114300" distR="114300" simplePos="0" relativeHeight="251659264" behindDoc="0" locked="0" layoutInCell="1" allowOverlap="1" wp14:anchorId="2BE3A239" wp14:editId="769A65EF">
            <wp:simplePos x="0" y="0"/>
            <wp:positionH relativeFrom="leftMargin">
              <wp:posOffset>229345</wp:posOffset>
            </wp:positionH>
            <wp:positionV relativeFrom="paragraph">
              <wp:posOffset>990406</wp:posOffset>
            </wp:positionV>
            <wp:extent cx="694055" cy="694055"/>
            <wp:effectExtent l="0" t="0" r="0" b="0"/>
            <wp:wrapNone/>
            <wp:docPr id="1963803465" name="Imagen 1963803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Que, </w:t>
      </w:r>
      <w:bookmarkStart w:id="4" w:name="_Hlk121988685"/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el numeral 4.2 del artículo 4° del D. </w:t>
      </w:r>
      <w:proofErr w:type="spellStart"/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Leg</w:t>
      </w:r>
      <w:proofErr w:type="spellEnd"/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. N° 1439 señala que </w:t>
      </w:r>
      <w:r w:rsidR="00B57602" w:rsidRPr="00B57602">
        <w:rPr>
          <w:rFonts w:ascii="Arial" w:eastAsia="Times New Roman" w:hAnsi="Arial" w:cs="Arial"/>
          <w:i/>
          <w:iCs/>
          <w:color w:val="000000" w:themeColor="text1"/>
          <w:position w:val="-2"/>
          <w:lang w:val="es-ES_tradnl" w:eastAsia="es-ES"/>
        </w:rPr>
        <w:t>“</w:t>
      </w:r>
      <w:bookmarkEnd w:id="4"/>
      <w:r w:rsidR="00E60087" w:rsidRPr="00E60087">
        <w:rPr>
          <w:rFonts w:ascii="Arial" w:eastAsia="Times New Roman" w:hAnsi="Arial" w:cs="Arial"/>
          <w:i/>
          <w:iCs/>
          <w:color w:val="000000" w:themeColor="text1"/>
          <w:position w:val="-2"/>
          <w:lang w:val="es-ES_tradnl" w:eastAsia="es-ES"/>
        </w:rPr>
        <w:t>La Cadena de Abastecimiento Público es el conjunto de actividades interrelacionadas que abarca desde la programación hasta la disposición final, incluyendo las actividades involucradas en la gestión de adquisiciones y administración de bienes, servicios y ejecución de obras para el cumplimiento de la provisión de servicios y logro de resultados, en las entidades del Sector Público. No comprende lo regulado por la Ley Nº 29151, Ley General del Sistema Nacional de Bienes Estatales y sus normas complementarias y conexas</w:t>
      </w:r>
      <w:r w:rsidR="00B57602" w:rsidRPr="00B57602">
        <w:rPr>
          <w:rFonts w:ascii="Arial" w:eastAsia="Times New Roman" w:hAnsi="Arial" w:cs="Arial"/>
          <w:i/>
          <w:iCs/>
          <w:color w:val="000000" w:themeColor="text1"/>
          <w:position w:val="-2"/>
          <w:lang w:val="es-ES_tradnl" w:eastAsia="es-ES"/>
        </w:rPr>
        <w:t>.”</w:t>
      </w:r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;</w:t>
      </w:r>
    </w:p>
    <w:p w14:paraId="4CB9E08C" w14:textId="5149EDE4" w:rsidR="00962FD2" w:rsidRPr="003D5EC9" w:rsidRDefault="00962FD2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</w:p>
    <w:p w14:paraId="1AD94533" w14:textId="1C3811AE" w:rsidR="00141D98" w:rsidRDefault="00F822D5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 w:themeColor="text1"/>
          <w:lang w:eastAsia="es-PE"/>
        </w:rPr>
        <w:drawing>
          <wp:anchor distT="0" distB="0" distL="114300" distR="114300" simplePos="0" relativeHeight="251664384" behindDoc="1" locked="0" layoutInCell="1" allowOverlap="1" wp14:anchorId="071403AA" wp14:editId="5098075F">
            <wp:simplePos x="0" y="0"/>
            <wp:positionH relativeFrom="column">
              <wp:posOffset>-897255</wp:posOffset>
            </wp:positionH>
            <wp:positionV relativeFrom="paragraph">
              <wp:posOffset>748030</wp:posOffset>
            </wp:positionV>
            <wp:extent cx="966929" cy="1082040"/>
            <wp:effectExtent l="0" t="0" r="508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to bueno EL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929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Que, </w:t>
      </w:r>
      <w:r w:rsidR="00221425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por su parte, </w:t>
      </w:r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el</w:t>
      </w:r>
      <w:r w:rsidR="00141D98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numeral 4</w:t>
      </w:r>
      <w:r w:rsidR="00141D98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3</w:t>
      </w:r>
      <w:r w:rsidR="00141D98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.1 del </w:t>
      </w:r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artículo 43° de la </w:t>
      </w:r>
      <w:bookmarkStart w:id="5" w:name="_Hlk173341817"/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Directiva N° 0004-2021-EF/54.01 - “Directiva para la Gestión de Almacenamiento y Distribución de Bienes Muebles”, aprobada mediante Resolución Directoral N°</w:t>
      </w:r>
      <w:r w:rsidR="00141D98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</w:t>
      </w:r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011-2021-EF/54.01</w:t>
      </w:r>
      <w:r w:rsidR="00407836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,</w:t>
      </w:r>
      <w:bookmarkEnd w:id="5"/>
      <w:r w:rsidR="003A76E0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</w:t>
      </w:r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establece</w:t>
      </w:r>
      <w:r w:rsidR="00AC61C5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que</w:t>
      </w:r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</w:t>
      </w:r>
      <w:r w:rsidR="00E70027" w:rsidRPr="005F4A8E">
        <w:rPr>
          <w:rFonts w:ascii="Arial" w:eastAsia="Times New Roman" w:hAnsi="Arial" w:cs="Arial"/>
          <w:i/>
          <w:iCs/>
          <w:color w:val="000000" w:themeColor="text1"/>
          <w:position w:val="-2"/>
          <w:lang w:val="es-ES_tradnl" w:eastAsia="es-ES"/>
        </w:rPr>
        <w:t>“El inventario es el procedimiento que consiste en verificar físicamente los bienes muebles con que cuenta cada almacén a una determinada fecha, con el fin de contrastar las existencias en el almacén, sus cantidades y características con lo que figura en el sistema informático de soporte a la gestión del almacenamiento y distribución o cualquier otro medio físico con el que cuente, que permita la consulta del stock actual; así como, identificar las diferencias que pudieran existir y proceder con el saneamiento administrativo que corresponda.”</w:t>
      </w:r>
      <w:r w:rsidR="001017E1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;</w:t>
      </w:r>
    </w:p>
    <w:p w14:paraId="72A967C0" w14:textId="77777777" w:rsidR="00141D98" w:rsidRDefault="00141D98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</w:p>
    <w:p w14:paraId="2E388F34" w14:textId="1793FAEB" w:rsidR="00751049" w:rsidRDefault="00141D98" w:rsidP="00751049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  <w:r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Que, 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en</w:t>
      </w:r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ese sentido, el numeral 44.1 del 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artículo 4</w:t>
      </w:r>
      <w:r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4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°</w:t>
      </w:r>
      <w:r w:rsidR="00FD0182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de la </w:t>
      </w:r>
      <w:r w:rsidR="00E9218A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citada </w:t>
      </w:r>
      <w:r w:rsidR="00FD0182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Directiva</w:t>
      </w:r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señala que </w:t>
      </w:r>
      <w:r w:rsidRPr="00141D98">
        <w:rPr>
          <w:rFonts w:ascii="Arial" w:eastAsia="Times New Roman" w:hAnsi="Arial" w:cs="Arial"/>
          <w:i/>
          <w:iCs/>
          <w:color w:val="000000" w:themeColor="text1"/>
          <w:position w:val="-2"/>
          <w:lang w:val="es-ES_tradnl" w:eastAsia="es-ES"/>
        </w:rPr>
        <w:t>“C</w:t>
      </w:r>
      <w:r w:rsidR="00E70027" w:rsidRPr="00141D98">
        <w:rPr>
          <w:rFonts w:ascii="Arial" w:eastAsia="Times New Roman" w:hAnsi="Arial" w:cs="Arial"/>
          <w:i/>
          <w:iCs/>
          <w:color w:val="000000" w:themeColor="text1"/>
          <w:position w:val="-2"/>
          <w:lang w:val="es-ES_tradnl" w:eastAsia="es-ES"/>
        </w:rPr>
        <w:t>omprende la verificación de todos los bienes muebles que se encuentren físicamente en el almacén, los que deben coincidir con la información registrada en el Kardex</w:t>
      </w:r>
      <w:r w:rsidRPr="00141D98">
        <w:rPr>
          <w:rFonts w:ascii="Arial" w:eastAsia="Times New Roman" w:hAnsi="Arial" w:cs="Arial"/>
          <w:i/>
          <w:iCs/>
          <w:color w:val="000000" w:themeColor="text1"/>
          <w:position w:val="-2"/>
          <w:lang w:val="es-ES_tradnl" w:eastAsia="es-ES"/>
        </w:rPr>
        <w:t>.”</w:t>
      </w:r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;</w:t>
      </w:r>
      <w:r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asimismo, </w:t>
      </w:r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el numeral 44.2 del </w:t>
      </w:r>
      <w:r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mismo </w:t>
      </w:r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artículo señala que </w:t>
      </w:r>
      <w:r w:rsidR="00E70027" w:rsidRPr="005F4A8E">
        <w:rPr>
          <w:rFonts w:ascii="Arial" w:eastAsia="Times New Roman" w:hAnsi="Arial" w:cs="Arial"/>
          <w:i/>
          <w:iCs/>
          <w:color w:val="000000" w:themeColor="text1"/>
          <w:position w:val="-2"/>
          <w:lang w:val="es-ES_tradnl" w:eastAsia="es-ES"/>
        </w:rPr>
        <w:t xml:space="preserve">“La OGA o quien haga sus veces, mediante resolución, constituye la Comisión de Inventario que tendrá a su cargo el procedimiento de toma de inventario. Dicha Comisión es la misma que se conforma para el inventario anual de bienes </w:t>
      </w:r>
      <w:r w:rsidR="00E70027" w:rsidRPr="005F4A8E">
        <w:rPr>
          <w:rFonts w:ascii="Arial" w:eastAsia="Times New Roman" w:hAnsi="Arial" w:cs="Arial"/>
          <w:i/>
          <w:iCs/>
          <w:color w:val="000000" w:themeColor="text1"/>
          <w:position w:val="-2"/>
          <w:lang w:val="es-ES_tradnl" w:eastAsia="es-ES"/>
        </w:rPr>
        <w:lastRenderedPageBreak/>
        <w:t>muebles patrimoniales u otros bienes, la cual puede contar con un equipo de verificadores, de considerarlo necesario</w:t>
      </w:r>
      <w:r w:rsidR="005F4A8E">
        <w:rPr>
          <w:rFonts w:ascii="Arial" w:eastAsia="Times New Roman" w:hAnsi="Arial" w:cs="Arial"/>
          <w:i/>
          <w:iCs/>
          <w:color w:val="000000" w:themeColor="text1"/>
          <w:position w:val="-2"/>
          <w:lang w:val="es-ES_tradnl" w:eastAsia="es-ES"/>
        </w:rPr>
        <w:t>.</w:t>
      </w:r>
      <w:r w:rsidR="00E70027" w:rsidRPr="005F4A8E">
        <w:rPr>
          <w:rFonts w:ascii="Arial" w:eastAsia="Times New Roman" w:hAnsi="Arial" w:cs="Arial"/>
          <w:i/>
          <w:iCs/>
          <w:color w:val="000000" w:themeColor="text1"/>
          <w:position w:val="-2"/>
          <w:lang w:val="es-ES_tradnl" w:eastAsia="es-ES"/>
        </w:rPr>
        <w:t>”</w:t>
      </w:r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;</w:t>
      </w:r>
    </w:p>
    <w:p w14:paraId="3AE281CF" w14:textId="77777777" w:rsidR="00751049" w:rsidRDefault="00751049" w:rsidP="00751049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</w:p>
    <w:p w14:paraId="03003242" w14:textId="32A9BD00" w:rsidR="00962FD2" w:rsidRPr="003D5EC9" w:rsidRDefault="00E70027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Que, mediante el </w:t>
      </w:r>
      <w:bookmarkStart w:id="6" w:name="_Hlk121989000"/>
      <w:bookmarkStart w:id="7" w:name="_Hlk173341758"/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Memorando </w:t>
      </w:r>
      <w:r w:rsidR="00F64864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N° 1168-2024-DP/OAF-LOG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, la </w:t>
      </w:r>
      <w:r w:rsidR="00F64864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Oficina de 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Logística de la Oficina </w:t>
      </w:r>
      <w:r w:rsidR="00F64864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General 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de Administración y Finanzas </w:t>
      </w:r>
      <w:bookmarkEnd w:id="6"/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remite</w:t>
      </w:r>
      <w:r w:rsidR="009A7BD8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,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</w:t>
      </w:r>
      <w:r w:rsidR="00590361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a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la precitada Oficina</w:t>
      </w:r>
      <w:r w:rsidR="00434351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General</w:t>
      </w:r>
      <w:r w:rsidR="00590361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y 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al personal de</w:t>
      </w:r>
      <w:r w:rsidR="002D171E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la Oficina de Logística</w:t>
      </w:r>
      <w:r w:rsidR="009958E6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,</w:t>
      </w:r>
      <w:r w:rsidR="002D171E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</w:t>
      </w:r>
      <w:bookmarkEnd w:id="7"/>
      <w:r w:rsidR="00F64864" w:rsidRPr="00E027AC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el Informe Nº 016-2024- DP/OAF-LOG</w:t>
      </w:r>
      <w:r w:rsidR="00E027AC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-</w:t>
      </w:r>
      <w:r w:rsidR="00F64864" w:rsidRPr="00E027AC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AC emitido por la señora Maricruz </w:t>
      </w:r>
      <w:proofErr w:type="spellStart"/>
      <w:r w:rsidR="00F64864" w:rsidRPr="00E027AC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Buleje</w:t>
      </w:r>
      <w:proofErr w:type="spellEnd"/>
      <w:r w:rsidR="00F64864" w:rsidRPr="00E027AC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</w:t>
      </w:r>
      <w:proofErr w:type="spellStart"/>
      <w:r w:rsidR="00F64864" w:rsidRPr="00E027AC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Belito</w:t>
      </w:r>
      <w:proofErr w:type="spellEnd"/>
      <w:r w:rsidR="00F64864" w:rsidRPr="00E027AC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, relacionado a la Toma de Inventario Físico de Existencias de Almacén Central al cierre de diciembre de 2024</w:t>
      </w:r>
      <w:r w:rsidRPr="00E027AC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</w:t>
      </w:r>
      <w:r w:rsidR="00A27E00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y solicita </w:t>
      </w:r>
      <w:r w:rsidR="00A27E00" w:rsidRPr="00A27E00">
        <w:rPr>
          <w:rFonts w:ascii="Arial" w:eastAsia="Times New Roman" w:hAnsi="Arial" w:cs="Arial"/>
          <w:color w:val="000000" w:themeColor="text1"/>
          <w:position w:val="-2"/>
          <w:lang w:eastAsia="es-ES"/>
        </w:rPr>
        <w:t xml:space="preserve">se ejecute de acuerdo al cronograma </w:t>
      </w:r>
      <w:r w:rsidR="00A27E00">
        <w:rPr>
          <w:rFonts w:ascii="Arial" w:eastAsia="Times New Roman" w:hAnsi="Arial" w:cs="Arial"/>
          <w:color w:val="000000" w:themeColor="text1"/>
          <w:position w:val="-2"/>
          <w:lang w:eastAsia="es-ES"/>
        </w:rPr>
        <w:t xml:space="preserve">contenido en el </w:t>
      </w:r>
      <w:r w:rsidR="009C22B8">
        <w:rPr>
          <w:rFonts w:ascii="Arial" w:eastAsia="Times New Roman" w:hAnsi="Arial" w:cs="Arial"/>
          <w:color w:val="000000" w:themeColor="text1"/>
          <w:position w:val="-2"/>
          <w:lang w:eastAsia="es-ES"/>
        </w:rPr>
        <w:t>dicho</w:t>
      </w:r>
      <w:r w:rsidR="00A27E00">
        <w:rPr>
          <w:rFonts w:ascii="Arial" w:eastAsia="Times New Roman" w:hAnsi="Arial" w:cs="Arial"/>
          <w:color w:val="000000" w:themeColor="text1"/>
          <w:position w:val="-2"/>
          <w:lang w:eastAsia="es-ES"/>
        </w:rPr>
        <w:t xml:space="preserve"> informe, en el marco de lo</w:t>
      </w:r>
      <w:r w:rsidR="00A27E00" w:rsidRPr="00A27E00">
        <w:rPr>
          <w:rFonts w:ascii="Arial" w:eastAsia="Times New Roman" w:hAnsi="Arial" w:cs="Arial"/>
          <w:color w:val="000000" w:themeColor="text1"/>
          <w:position w:val="-2"/>
          <w:lang w:eastAsia="es-ES"/>
        </w:rPr>
        <w:t xml:space="preserve"> establecido en</w:t>
      </w:r>
      <w:r w:rsidR="00A27E00">
        <w:rPr>
          <w:rFonts w:ascii="Arial" w:eastAsia="Times New Roman" w:hAnsi="Arial" w:cs="Arial"/>
          <w:color w:val="000000" w:themeColor="text1"/>
          <w:position w:val="-2"/>
          <w:lang w:eastAsia="es-ES"/>
        </w:rPr>
        <w:t xml:space="preserve"> el</w:t>
      </w:r>
      <w:r w:rsidR="00A27E00" w:rsidRPr="00A27E00">
        <w:rPr>
          <w:rFonts w:ascii="Arial" w:eastAsia="Times New Roman" w:hAnsi="Arial" w:cs="Arial"/>
          <w:color w:val="000000" w:themeColor="text1"/>
          <w:position w:val="-2"/>
          <w:lang w:eastAsia="es-ES"/>
        </w:rPr>
        <w:t xml:space="preserve"> numeral 7.3</w:t>
      </w:r>
      <w:r w:rsidR="00A27E00">
        <w:rPr>
          <w:rFonts w:ascii="Arial" w:eastAsia="Times New Roman" w:hAnsi="Arial" w:cs="Arial"/>
          <w:color w:val="000000" w:themeColor="text1"/>
          <w:position w:val="-2"/>
          <w:lang w:eastAsia="es-ES"/>
        </w:rPr>
        <w:t xml:space="preserve"> de </w:t>
      </w:r>
      <w:r w:rsidR="00A27E00" w:rsidRPr="00A27E00">
        <w:rPr>
          <w:rFonts w:ascii="Arial" w:eastAsia="Times New Roman" w:hAnsi="Arial" w:cs="Arial"/>
          <w:color w:val="000000" w:themeColor="text1"/>
          <w:position w:val="-2"/>
          <w:lang w:eastAsia="es-ES"/>
        </w:rPr>
        <w:t>la Directiva Nº 003-2019/DP-OAF “Directiva que regula los procedimientos del Almacén Central en la Defensoría del Pueblo”</w:t>
      </w:r>
      <w:r w:rsidR="005552D2">
        <w:rPr>
          <w:rFonts w:ascii="Arial" w:eastAsia="Times New Roman" w:hAnsi="Arial" w:cs="Arial"/>
          <w:color w:val="000000" w:themeColor="text1"/>
          <w:position w:val="-2"/>
          <w:lang w:eastAsia="es-ES"/>
        </w:rPr>
        <w:t xml:space="preserve">, aprobada por </w:t>
      </w:r>
      <w:r w:rsidR="005552D2" w:rsidRPr="00751049">
        <w:rPr>
          <w:rFonts w:ascii="Arial" w:eastAsia="Times New Roman" w:hAnsi="Arial" w:cs="Arial"/>
          <w:color w:val="000000" w:themeColor="text1"/>
          <w:position w:val="-2"/>
          <w:lang w:eastAsia="es-ES"/>
        </w:rPr>
        <w:t>Resolución Jefatural N° 0240-2019/DP-OAF</w:t>
      </w:r>
      <w:r w:rsidRPr="00A27E00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;</w:t>
      </w:r>
    </w:p>
    <w:p w14:paraId="3994B910" w14:textId="77777777" w:rsidR="00962FD2" w:rsidRPr="003D5EC9" w:rsidRDefault="00962FD2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</w:p>
    <w:p w14:paraId="198C5F4D" w14:textId="62FC0810" w:rsidR="00962FD2" w:rsidRPr="003D5EC9" w:rsidRDefault="00E70027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Que, el artículo 5</w:t>
      </w:r>
      <w:r w:rsidR="00F64864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7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° del Reglamento de Organización y Funciones establece que l</w:t>
      </w:r>
      <w:r w:rsidR="00F64864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a Oficina 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de Logística es la unidad orgánica de apoyo que depende de la Oficina </w:t>
      </w:r>
      <w:r w:rsidR="00F64864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General 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de Administración y Finanzas. Tiene como función principal programar, dirigir, ejecutar y coordinar los procesos del Sistema de Abastecimiento, almacén, transportes y servicios generales. Asimismo, realiza sus funciones en concordancia con la normativa vigente y aplicable al Sistema Nacional de Abastecimiento;</w:t>
      </w:r>
    </w:p>
    <w:p w14:paraId="3930D834" w14:textId="77777777" w:rsidR="00962FD2" w:rsidRPr="003D5EC9" w:rsidRDefault="00962FD2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</w:p>
    <w:p w14:paraId="21E30474" w14:textId="2B9D8FAF" w:rsidR="00962FD2" w:rsidRPr="003D5EC9" w:rsidRDefault="00F822D5" w:rsidP="003A76E0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 w:themeColor="text1"/>
          <w:lang w:eastAsia="es-PE"/>
        </w:rPr>
        <w:drawing>
          <wp:anchor distT="0" distB="0" distL="114300" distR="114300" simplePos="0" relativeHeight="251666432" behindDoc="1" locked="0" layoutInCell="1" allowOverlap="1" wp14:anchorId="47F068B1" wp14:editId="600AF3F1">
            <wp:simplePos x="0" y="0"/>
            <wp:positionH relativeFrom="column">
              <wp:posOffset>-952500</wp:posOffset>
            </wp:positionH>
            <wp:positionV relativeFrom="paragraph">
              <wp:posOffset>1429385</wp:posOffset>
            </wp:positionV>
            <wp:extent cx="966929" cy="1082040"/>
            <wp:effectExtent l="0" t="0" r="508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to bueno EL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929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067" w:rsidRPr="00A74032">
        <w:rPr>
          <w:rFonts w:ascii="Arial" w:hAnsi="Arial" w:cs="Arial"/>
          <w:noProof/>
          <w:color w:val="000000" w:themeColor="text1"/>
          <w:sz w:val="21"/>
          <w:szCs w:val="21"/>
          <w:lang w:eastAsia="es-PE"/>
        </w:rPr>
        <w:drawing>
          <wp:anchor distT="0" distB="0" distL="114300" distR="114300" simplePos="0" relativeHeight="251661312" behindDoc="0" locked="0" layoutInCell="1" allowOverlap="1" wp14:anchorId="3ADD3F10" wp14:editId="0620EAA2">
            <wp:simplePos x="0" y="0"/>
            <wp:positionH relativeFrom="leftMargin">
              <wp:posOffset>213443</wp:posOffset>
            </wp:positionH>
            <wp:positionV relativeFrom="paragraph">
              <wp:posOffset>301901</wp:posOffset>
            </wp:positionV>
            <wp:extent cx="694055" cy="694055"/>
            <wp:effectExtent l="0" t="0" r="0" b="0"/>
            <wp:wrapNone/>
            <wp:docPr id="1967809483" name="Imagen 196780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Que, </w:t>
      </w:r>
      <w:r w:rsidR="003A76E0" w:rsidRPr="003A76E0">
        <w:rPr>
          <w:rFonts w:ascii="Arial" w:eastAsia="Times New Roman" w:hAnsi="Arial" w:cs="Arial"/>
          <w:color w:val="000000" w:themeColor="text1"/>
          <w:position w:val="-2"/>
          <w:lang w:eastAsia="es-ES"/>
        </w:rPr>
        <w:t>estando a los considerandos expuestos, y habiéndose cumplido con el procedimiento y requisitos previstos en el Decreto Legislativo N° 1439, Decreto Legislativo del Sistema Nacional de Abastecimiento, Decreto Supremo N° 217-2019- EF que aprueba el Reglamento del Decreto Legislativo N° 1439, Directiva N° 0004-2021- EF/54.01 - Directiva para la Gestión de Almacenamiento y Distribución de Bienes Muebles y</w:t>
      </w:r>
      <w:r w:rsidR="003A76E0">
        <w:rPr>
          <w:rFonts w:ascii="Arial" w:eastAsia="Times New Roman" w:hAnsi="Arial" w:cs="Arial"/>
          <w:color w:val="000000" w:themeColor="text1"/>
          <w:position w:val="-2"/>
          <w:lang w:eastAsia="es-ES"/>
        </w:rPr>
        <w:t xml:space="preserve"> sus</w:t>
      </w:r>
      <w:r w:rsidR="003A76E0" w:rsidRPr="003A76E0">
        <w:rPr>
          <w:rFonts w:ascii="Arial" w:eastAsia="Times New Roman" w:hAnsi="Arial" w:cs="Arial"/>
          <w:color w:val="000000" w:themeColor="text1"/>
          <w:position w:val="-2"/>
          <w:lang w:eastAsia="es-ES"/>
        </w:rPr>
        <w:t xml:space="preserve"> modificatoria</w:t>
      </w:r>
      <w:r w:rsidR="003A76E0">
        <w:rPr>
          <w:rFonts w:ascii="Arial" w:eastAsia="Times New Roman" w:hAnsi="Arial" w:cs="Arial"/>
          <w:color w:val="000000" w:themeColor="text1"/>
          <w:position w:val="-2"/>
          <w:lang w:eastAsia="es-ES"/>
        </w:rPr>
        <w:t>s</w:t>
      </w:r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, corresponde atender el requerimiento solicitado por l</w:t>
      </w:r>
      <w:r w:rsidR="00F64864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a Oficina </w:t>
      </w:r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de Logística</w:t>
      </w:r>
      <w:r w:rsidR="00F64864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de la Oficina General de Administración y Finanzas</w:t>
      </w:r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, a efectos de cumplir con lo dispuesto por el Sistema Nacional de Abastecimiento;</w:t>
      </w:r>
    </w:p>
    <w:p w14:paraId="1D2EAD82" w14:textId="06349DFC" w:rsidR="00962FD2" w:rsidRPr="003D5EC9" w:rsidRDefault="00962FD2" w:rsidP="00F64864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</w:p>
    <w:p w14:paraId="22C32620" w14:textId="29E5BA06" w:rsidR="00962FD2" w:rsidRPr="003D5EC9" w:rsidRDefault="00E70027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Con el visado de la Oficina</w:t>
      </w:r>
      <w:r w:rsidR="001F2523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General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de Asesoría Jurídica; y,</w:t>
      </w:r>
    </w:p>
    <w:p w14:paraId="339A618F" w14:textId="77777777" w:rsidR="00962FD2" w:rsidRPr="003D5EC9" w:rsidRDefault="00962FD2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</w:p>
    <w:p w14:paraId="449D6CD0" w14:textId="6C7D657F" w:rsidR="00962FD2" w:rsidRPr="003D5EC9" w:rsidRDefault="00E70027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En uso de las facultades conferidas por los literales d), i) y n) del artículo 5</w:t>
      </w:r>
      <w:r w:rsidR="00F64864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1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º del Reglamento de Organización y Funciones de la Defensoría del Pueblo, aprobado mediante Resolución Defensorial Nº 00</w:t>
      </w:r>
      <w:r w:rsidR="00F64864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21-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2024/DP; </w:t>
      </w:r>
    </w:p>
    <w:p w14:paraId="2D3C9477" w14:textId="77777777" w:rsidR="00962FD2" w:rsidRPr="003D5EC9" w:rsidRDefault="00962FD2">
      <w:pPr>
        <w:spacing w:after="0" w:line="240" w:lineRule="auto"/>
        <w:ind w:firstLine="3402"/>
        <w:jc w:val="both"/>
        <w:rPr>
          <w:rFonts w:ascii="Arial" w:eastAsia="Times New Roman" w:hAnsi="Arial" w:cs="Arial"/>
          <w:b/>
          <w:color w:val="000000" w:themeColor="text1"/>
          <w:position w:val="-2"/>
          <w:lang w:val="es-ES_tradnl" w:eastAsia="es-ES"/>
        </w:rPr>
      </w:pPr>
    </w:p>
    <w:p w14:paraId="081862AA" w14:textId="77777777" w:rsidR="00962FD2" w:rsidRPr="003D5EC9" w:rsidRDefault="00E70027">
      <w:pPr>
        <w:spacing w:after="0" w:line="240" w:lineRule="auto"/>
        <w:ind w:firstLine="3402"/>
        <w:jc w:val="both"/>
        <w:rPr>
          <w:rFonts w:ascii="Arial" w:eastAsia="Times New Roman" w:hAnsi="Arial" w:cs="Arial"/>
          <w:b/>
          <w:color w:val="000000" w:themeColor="text1"/>
          <w:position w:val="-2"/>
          <w:lang w:val="es-ES_tradnl" w:eastAsia="es-ES"/>
        </w:rPr>
      </w:pPr>
      <w:r w:rsidRPr="003D5EC9">
        <w:rPr>
          <w:rFonts w:ascii="Arial" w:eastAsia="Times New Roman" w:hAnsi="Arial" w:cs="Arial"/>
          <w:b/>
          <w:color w:val="000000" w:themeColor="text1"/>
          <w:position w:val="-2"/>
          <w:lang w:val="es-ES_tradnl" w:eastAsia="es-ES"/>
        </w:rPr>
        <w:t xml:space="preserve">SE RESUELVE: </w:t>
      </w:r>
    </w:p>
    <w:p w14:paraId="2A8DC789" w14:textId="77777777" w:rsidR="00962FD2" w:rsidRPr="003D5EC9" w:rsidRDefault="00962FD2">
      <w:pPr>
        <w:spacing w:after="0" w:line="240" w:lineRule="auto"/>
        <w:ind w:firstLine="3402"/>
        <w:jc w:val="both"/>
        <w:rPr>
          <w:rFonts w:ascii="Arial" w:eastAsia="Times New Roman" w:hAnsi="Arial" w:cs="Arial"/>
          <w:b/>
          <w:color w:val="000000" w:themeColor="text1"/>
          <w:position w:val="-2"/>
          <w:lang w:val="es-ES_tradnl" w:eastAsia="es-ES"/>
        </w:rPr>
      </w:pPr>
    </w:p>
    <w:p w14:paraId="1C2C99F4" w14:textId="4ACA8223" w:rsidR="00962FD2" w:rsidRPr="003D5EC9" w:rsidRDefault="00E70027">
      <w:pPr>
        <w:spacing w:after="0" w:line="240" w:lineRule="auto"/>
        <w:ind w:firstLine="3402"/>
        <w:jc w:val="both"/>
        <w:rPr>
          <w:rFonts w:ascii="Arial" w:eastAsia="Times New Roman" w:hAnsi="Arial" w:cs="Arial"/>
          <w:bCs/>
          <w:color w:val="000000" w:themeColor="text1"/>
          <w:position w:val="-2"/>
          <w:lang w:val="es-ES_tradnl" w:eastAsia="es-ES"/>
        </w:rPr>
      </w:pPr>
      <w:r w:rsidRPr="003D5EC9">
        <w:rPr>
          <w:rFonts w:ascii="Arial" w:eastAsia="Times New Roman" w:hAnsi="Arial" w:cs="Arial"/>
          <w:b/>
          <w:color w:val="000000" w:themeColor="text1"/>
          <w:position w:val="-2"/>
          <w:u w:val="single"/>
          <w:lang w:val="es-ES_tradnl" w:eastAsia="es-ES"/>
        </w:rPr>
        <w:t xml:space="preserve">Artículo </w:t>
      </w:r>
      <w:bookmarkStart w:id="8" w:name="_Hlk31813858"/>
      <w:r w:rsidR="00B36C6C" w:rsidRPr="003D5EC9">
        <w:rPr>
          <w:rFonts w:ascii="Arial" w:eastAsia="Times New Roman" w:hAnsi="Arial" w:cs="Arial"/>
          <w:b/>
          <w:color w:val="000000" w:themeColor="text1"/>
          <w:position w:val="-2"/>
          <w:u w:val="single"/>
          <w:lang w:val="es-ES_tradnl" w:eastAsia="es-ES"/>
        </w:rPr>
        <w:t>Primero</w:t>
      </w:r>
      <w:r w:rsidR="00B36C6C" w:rsidRPr="003D5EC9">
        <w:rPr>
          <w:rFonts w:ascii="Arial" w:eastAsia="Times New Roman" w:hAnsi="Arial" w:cs="Arial"/>
          <w:b/>
          <w:color w:val="000000" w:themeColor="text1"/>
          <w:position w:val="-2"/>
          <w:lang w:val="es-ES_tradnl" w:eastAsia="es-ES"/>
        </w:rPr>
        <w:t>. –</w:t>
      </w:r>
      <w:r w:rsidRPr="003D5EC9">
        <w:rPr>
          <w:rFonts w:ascii="Arial" w:eastAsia="Times New Roman" w:hAnsi="Arial" w:cs="Arial"/>
          <w:b/>
          <w:color w:val="000000" w:themeColor="text1"/>
          <w:position w:val="-2"/>
          <w:lang w:val="es-ES_tradnl" w:eastAsia="es-ES"/>
        </w:rPr>
        <w:t xml:space="preserve"> </w:t>
      </w:r>
      <w:bookmarkStart w:id="9" w:name="_Hlk121989363"/>
      <w:bookmarkStart w:id="10" w:name="_Hlk42026749"/>
      <w:r w:rsidRPr="003D5EC9">
        <w:rPr>
          <w:rFonts w:ascii="Arial" w:eastAsia="Times New Roman" w:hAnsi="Arial" w:cs="Arial"/>
          <w:b/>
          <w:color w:val="000000" w:themeColor="text1"/>
          <w:position w:val="-2"/>
          <w:lang w:val="es-ES_tradnl" w:eastAsia="es-ES"/>
        </w:rPr>
        <w:t xml:space="preserve">CONFORMAR </w:t>
      </w:r>
      <w:r w:rsidRPr="003D5EC9">
        <w:rPr>
          <w:rFonts w:ascii="Arial" w:eastAsia="Times New Roman" w:hAnsi="Arial" w:cs="Arial"/>
          <w:bCs/>
          <w:color w:val="000000" w:themeColor="text1"/>
          <w:position w:val="-2"/>
          <w:lang w:val="es-ES_tradnl" w:eastAsia="es-ES"/>
        </w:rPr>
        <w:t xml:space="preserve">la Comisión para la </w:t>
      </w:r>
      <w:bookmarkEnd w:id="9"/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Toma de Inventario Físico de Existencias de Almacén Central al cierre de </w:t>
      </w:r>
      <w:r w:rsidR="00F64864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Diciembre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de 2024, </w:t>
      </w:r>
      <w:r w:rsidRPr="003D5EC9">
        <w:rPr>
          <w:rFonts w:ascii="Arial" w:eastAsia="Times New Roman" w:hAnsi="Arial" w:cs="Arial"/>
          <w:bCs/>
          <w:color w:val="000000" w:themeColor="text1"/>
          <w:position w:val="-2"/>
          <w:lang w:val="es-ES_tradnl" w:eastAsia="es-ES"/>
        </w:rPr>
        <w:t>la misma que se encontrará integrada por:</w:t>
      </w:r>
    </w:p>
    <w:bookmarkEnd w:id="8"/>
    <w:bookmarkEnd w:id="10"/>
    <w:p w14:paraId="761AEE8B" w14:textId="77777777" w:rsidR="00962FD2" w:rsidRPr="003D5EC9" w:rsidRDefault="00962FD2">
      <w:pPr>
        <w:spacing w:after="0" w:line="240" w:lineRule="auto"/>
        <w:ind w:firstLine="3402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</w:p>
    <w:p w14:paraId="023E4096" w14:textId="77777777" w:rsidR="00962FD2" w:rsidRPr="003D5EC9" w:rsidRDefault="00E70027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  <w:r w:rsidRPr="003D5EC9">
        <w:rPr>
          <w:rFonts w:ascii="Arial" w:hAnsi="Arial" w:cs="Arial"/>
          <w:b/>
          <w:color w:val="000000" w:themeColor="text1"/>
        </w:rPr>
        <w:t>Ronaldo VILLEGAS CAMPOS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, representante de la Oficina </w:t>
      </w:r>
      <w:r w:rsidR="00F64864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General 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de Administración y Finanzas. </w:t>
      </w:r>
    </w:p>
    <w:p w14:paraId="29407829" w14:textId="7659EB20" w:rsidR="00962FD2" w:rsidRPr="003D5EC9" w:rsidRDefault="00F64864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  <w:proofErr w:type="spellStart"/>
      <w:r w:rsidRPr="003D5EC9">
        <w:rPr>
          <w:rFonts w:ascii="Arial" w:hAnsi="Arial" w:cs="Arial"/>
          <w:b/>
          <w:color w:val="000000" w:themeColor="text1"/>
        </w:rPr>
        <w:t>Hanny</w:t>
      </w:r>
      <w:proofErr w:type="spellEnd"/>
      <w:r w:rsidRPr="003D5EC9">
        <w:rPr>
          <w:rFonts w:ascii="Arial" w:hAnsi="Arial" w:cs="Arial"/>
          <w:b/>
          <w:color w:val="000000" w:themeColor="text1"/>
        </w:rPr>
        <w:t xml:space="preserve"> Ventura LLERENA CÁRDENAS</w:t>
      </w:r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, representante de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la Oficina de C</w:t>
      </w:r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ontabilidad de la Oficina </w:t>
      </w:r>
      <w:r w:rsidR="00684498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General </w:t>
      </w:r>
      <w:r w:rsidR="00E70027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de Administración y Finanzas. </w:t>
      </w:r>
    </w:p>
    <w:p w14:paraId="294E832E" w14:textId="65936D6D" w:rsidR="00962FD2" w:rsidRPr="003D5EC9" w:rsidRDefault="00E70027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  <w:proofErr w:type="spellStart"/>
      <w:r w:rsidRPr="003D5EC9">
        <w:rPr>
          <w:rFonts w:ascii="Arial" w:hAnsi="Arial" w:cs="Arial"/>
          <w:b/>
          <w:color w:val="000000" w:themeColor="text1"/>
        </w:rPr>
        <w:t>Yris</w:t>
      </w:r>
      <w:proofErr w:type="spellEnd"/>
      <w:r w:rsidRPr="003D5EC9">
        <w:rPr>
          <w:rFonts w:ascii="Arial" w:hAnsi="Arial" w:cs="Arial"/>
          <w:b/>
          <w:color w:val="000000" w:themeColor="text1"/>
        </w:rPr>
        <w:t xml:space="preserve"> Yolanda SÁNCHEZ VILLANUEVA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>, representante de</w:t>
      </w:r>
      <w:r w:rsidR="00F64864"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 la Oficina 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de Logística de la Oficina </w:t>
      </w:r>
      <w:r w:rsidR="00684498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General </w:t>
      </w:r>
      <w:r w:rsidRPr="003D5EC9"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  <w:t xml:space="preserve">de Administración y Finanzas. </w:t>
      </w:r>
    </w:p>
    <w:p w14:paraId="440B54BA" w14:textId="77777777" w:rsidR="00962FD2" w:rsidRPr="003D5EC9" w:rsidRDefault="00962FD2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position w:val="-2"/>
          <w:lang w:val="es-ES_tradnl" w:eastAsia="es-ES"/>
        </w:rPr>
      </w:pPr>
    </w:p>
    <w:p w14:paraId="01BE3552" w14:textId="54EAAA6B" w:rsidR="00962FD2" w:rsidRDefault="00E70027">
      <w:pPr>
        <w:spacing w:after="0" w:line="240" w:lineRule="auto"/>
        <w:ind w:firstLine="3402"/>
        <w:jc w:val="both"/>
        <w:rPr>
          <w:rFonts w:ascii="Arial" w:eastAsia="Times New Roman" w:hAnsi="Arial" w:cs="Arial"/>
          <w:bCs/>
          <w:color w:val="000000" w:themeColor="text1"/>
          <w:position w:val="-2"/>
          <w:lang w:val="es-ES_tradnl" w:eastAsia="es-ES"/>
        </w:rPr>
      </w:pPr>
      <w:r w:rsidRPr="003D5EC9">
        <w:rPr>
          <w:rFonts w:ascii="Arial" w:eastAsia="Times New Roman" w:hAnsi="Arial" w:cs="Arial"/>
          <w:b/>
          <w:color w:val="000000" w:themeColor="text1"/>
          <w:position w:val="-2"/>
          <w:u w:val="single"/>
          <w:lang w:val="es-ES_tradnl" w:eastAsia="es-ES"/>
        </w:rPr>
        <w:t xml:space="preserve">Artículo </w:t>
      </w:r>
      <w:r w:rsidR="00B36C6C" w:rsidRPr="003D5EC9">
        <w:rPr>
          <w:rFonts w:ascii="Arial" w:eastAsia="Times New Roman" w:hAnsi="Arial" w:cs="Arial"/>
          <w:b/>
          <w:color w:val="000000" w:themeColor="text1"/>
          <w:position w:val="-2"/>
          <w:u w:val="single"/>
          <w:lang w:val="es-ES_tradnl" w:eastAsia="es-ES"/>
        </w:rPr>
        <w:t>Segundo</w:t>
      </w:r>
      <w:r w:rsidR="00B36C6C" w:rsidRPr="003D5EC9">
        <w:rPr>
          <w:rFonts w:ascii="Arial" w:eastAsia="Times New Roman" w:hAnsi="Arial" w:cs="Arial"/>
          <w:b/>
          <w:color w:val="000000" w:themeColor="text1"/>
          <w:position w:val="-2"/>
          <w:lang w:val="es-ES_tradnl" w:eastAsia="es-ES"/>
        </w:rPr>
        <w:t>. –</w:t>
      </w:r>
      <w:r w:rsidRPr="003D5EC9">
        <w:rPr>
          <w:rFonts w:ascii="Arial" w:eastAsia="Times New Roman" w:hAnsi="Arial" w:cs="Arial"/>
          <w:b/>
          <w:color w:val="000000" w:themeColor="text1"/>
          <w:position w:val="-2"/>
          <w:lang w:val="es-ES_tradnl" w:eastAsia="es-ES"/>
        </w:rPr>
        <w:t xml:space="preserve"> NOTIFICAR </w:t>
      </w:r>
      <w:r w:rsidRPr="003D5EC9">
        <w:rPr>
          <w:rFonts w:ascii="Arial" w:eastAsia="Times New Roman" w:hAnsi="Arial" w:cs="Arial"/>
          <w:bCs/>
          <w:color w:val="000000" w:themeColor="text1"/>
          <w:position w:val="-2"/>
          <w:lang w:val="es-ES_tradnl" w:eastAsia="es-ES"/>
        </w:rPr>
        <w:t>la presente resolución a los/las integrantes señalados en el Artículo Primero de la presente Resolución.</w:t>
      </w:r>
    </w:p>
    <w:p w14:paraId="4C74829F" w14:textId="77777777" w:rsidR="00B36C6C" w:rsidRPr="003D5EC9" w:rsidRDefault="00B36C6C">
      <w:pPr>
        <w:spacing w:after="0" w:line="240" w:lineRule="auto"/>
        <w:ind w:firstLine="3402"/>
        <w:jc w:val="both"/>
        <w:rPr>
          <w:rFonts w:ascii="Arial" w:eastAsia="Times New Roman" w:hAnsi="Arial" w:cs="Arial"/>
          <w:bCs/>
          <w:color w:val="000000" w:themeColor="text1"/>
          <w:position w:val="-2"/>
          <w:lang w:val="es-ES_tradnl" w:eastAsia="es-ES"/>
        </w:rPr>
      </w:pPr>
    </w:p>
    <w:p w14:paraId="002B9D21" w14:textId="5E7EE336" w:rsidR="00962FD2" w:rsidRPr="003D5EC9" w:rsidRDefault="00E70027">
      <w:pPr>
        <w:spacing w:after="0" w:line="240" w:lineRule="auto"/>
        <w:ind w:firstLine="3402"/>
        <w:jc w:val="both"/>
        <w:rPr>
          <w:rFonts w:ascii="Arial" w:eastAsia="Times New Roman" w:hAnsi="Arial" w:cs="Arial"/>
          <w:bCs/>
          <w:color w:val="000000" w:themeColor="text1"/>
          <w:position w:val="-2"/>
          <w:lang w:val="es-ES_tradnl" w:eastAsia="es-ES"/>
        </w:rPr>
      </w:pPr>
      <w:r w:rsidRPr="003D5EC9">
        <w:rPr>
          <w:rFonts w:ascii="Arial" w:eastAsia="Times New Roman" w:hAnsi="Arial" w:cs="Arial"/>
          <w:b/>
          <w:color w:val="000000" w:themeColor="text1"/>
          <w:position w:val="-2"/>
          <w:u w:val="single"/>
          <w:lang w:val="es-ES_tradnl" w:eastAsia="es-ES"/>
        </w:rPr>
        <w:t xml:space="preserve">Artículo </w:t>
      </w:r>
      <w:r w:rsidR="00B36C6C" w:rsidRPr="003D5EC9">
        <w:rPr>
          <w:rFonts w:ascii="Arial" w:eastAsia="Times New Roman" w:hAnsi="Arial" w:cs="Arial"/>
          <w:b/>
          <w:color w:val="000000" w:themeColor="text1"/>
          <w:position w:val="-2"/>
          <w:u w:val="single"/>
          <w:lang w:val="es-ES_tradnl" w:eastAsia="es-ES"/>
        </w:rPr>
        <w:t>Tercero</w:t>
      </w:r>
      <w:r w:rsidR="00B36C6C" w:rsidRPr="003D5EC9">
        <w:rPr>
          <w:rFonts w:ascii="Arial" w:eastAsia="Times New Roman" w:hAnsi="Arial" w:cs="Arial"/>
          <w:b/>
          <w:color w:val="000000" w:themeColor="text1"/>
          <w:position w:val="-2"/>
          <w:lang w:val="es-ES_tradnl" w:eastAsia="es-ES"/>
        </w:rPr>
        <w:t>. –</w:t>
      </w:r>
      <w:r w:rsidRPr="003D5EC9">
        <w:rPr>
          <w:rFonts w:ascii="Arial" w:eastAsia="Times New Roman" w:hAnsi="Arial" w:cs="Arial"/>
          <w:b/>
          <w:color w:val="000000" w:themeColor="text1"/>
          <w:position w:val="-2"/>
          <w:lang w:val="es-ES_tradnl" w:eastAsia="es-ES"/>
        </w:rPr>
        <w:t xml:space="preserve"> DISPONER </w:t>
      </w:r>
      <w:r w:rsidRPr="003D5EC9">
        <w:rPr>
          <w:rFonts w:ascii="Arial" w:eastAsia="Times New Roman" w:hAnsi="Arial" w:cs="Arial"/>
          <w:bCs/>
          <w:color w:val="000000" w:themeColor="text1"/>
          <w:position w:val="-2"/>
          <w:lang w:val="es-ES_tradnl" w:eastAsia="es-ES"/>
        </w:rPr>
        <w:t>la publicación de la presente Resolución en el Portal Institucional de la Defensoría del Pueblo</w:t>
      </w:r>
    </w:p>
    <w:p w14:paraId="2437B7C2" w14:textId="1EE98B2D" w:rsidR="00962FD2" w:rsidRPr="003D5EC9" w:rsidRDefault="00866067">
      <w:pPr>
        <w:spacing w:after="0" w:line="240" w:lineRule="auto"/>
        <w:ind w:firstLine="3402"/>
        <w:jc w:val="both"/>
        <w:rPr>
          <w:rFonts w:ascii="Arial" w:eastAsia="Times New Roman" w:hAnsi="Arial" w:cs="Arial"/>
          <w:bCs/>
          <w:color w:val="000000" w:themeColor="text1"/>
          <w:position w:val="-2"/>
          <w:lang w:val="es-ES_tradnl" w:eastAsia="es-ES"/>
        </w:rPr>
      </w:pPr>
      <w:r w:rsidRPr="00A74032">
        <w:rPr>
          <w:rFonts w:ascii="Arial" w:hAnsi="Arial" w:cs="Arial"/>
          <w:noProof/>
          <w:color w:val="000000" w:themeColor="text1"/>
          <w:sz w:val="21"/>
          <w:szCs w:val="21"/>
          <w:lang w:eastAsia="es-PE"/>
        </w:rPr>
        <w:drawing>
          <wp:anchor distT="0" distB="0" distL="114300" distR="114300" simplePos="0" relativeHeight="251663360" behindDoc="0" locked="0" layoutInCell="1" allowOverlap="1" wp14:anchorId="57C829C1" wp14:editId="157A8C49">
            <wp:simplePos x="0" y="0"/>
            <wp:positionH relativeFrom="leftMargin">
              <wp:posOffset>102125</wp:posOffset>
            </wp:positionH>
            <wp:positionV relativeFrom="paragraph">
              <wp:posOffset>5881</wp:posOffset>
            </wp:positionV>
            <wp:extent cx="694055" cy="694055"/>
            <wp:effectExtent l="0" t="0" r="0" b="0"/>
            <wp:wrapNone/>
            <wp:docPr id="1916329861" name="Imagen 1916329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EBC23" w14:textId="77777777" w:rsidR="00962FD2" w:rsidRPr="003D5EC9" w:rsidRDefault="00E70027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position w:val="-2"/>
          <w:lang w:val="es-ES_tradnl" w:eastAsia="es-ES"/>
        </w:rPr>
      </w:pPr>
      <w:r w:rsidRPr="003D5EC9">
        <w:rPr>
          <w:rFonts w:ascii="Arial" w:eastAsia="Times New Roman" w:hAnsi="Arial" w:cs="Arial"/>
          <w:b/>
          <w:color w:val="000000" w:themeColor="text1"/>
          <w:position w:val="-2"/>
          <w:lang w:val="es-ES_tradnl" w:eastAsia="es-ES"/>
        </w:rPr>
        <w:t>Regístrese, comuníquese y publíquese.</w:t>
      </w:r>
    </w:p>
    <w:p w14:paraId="06C45C3E" w14:textId="77777777" w:rsidR="00962FD2" w:rsidRPr="003D5EC9" w:rsidRDefault="00962FD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position w:val="-2"/>
          <w:lang w:val="es-ES_tradnl" w:eastAsia="es-ES"/>
        </w:rPr>
      </w:pPr>
    </w:p>
    <w:p w14:paraId="36135B9D" w14:textId="52A7DC13" w:rsidR="00962FD2" w:rsidRDefault="00F822D5">
      <w:pPr>
        <w:spacing w:after="0" w:line="240" w:lineRule="auto"/>
        <w:rPr>
          <w:rFonts w:ascii="Arial" w:eastAsia="Times New Roman" w:hAnsi="Arial" w:cs="Arial"/>
          <w:color w:val="000000" w:themeColor="text1"/>
          <w:lang w:val="es-ES_tradnl" w:eastAsia="es-ES"/>
        </w:rPr>
      </w:pPr>
      <w:r>
        <w:rPr>
          <w:rFonts w:ascii="Arial" w:eastAsia="Times New Roman" w:hAnsi="Arial" w:cs="Arial"/>
          <w:noProof/>
          <w:color w:val="000000" w:themeColor="text1"/>
          <w:lang w:eastAsia="es-PE"/>
        </w:rPr>
        <w:drawing>
          <wp:anchor distT="0" distB="0" distL="114300" distR="114300" simplePos="0" relativeHeight="251667456" behindDoc="1" locked="0" layoutInCell="1" allowOverlap="1" wp14:anchorId="5E7BF017" wp14:editId="5E49F605">
            <wp:simplePos x="0" y="0"/>
            <wp:positionH relativeFrom="column">
              <wp:posOffset>1236345</wp:posOffset>
            </wp:positionH>
            <wp:positionV relativeFrom="paragraph">
              <wp:posOffset>114300</wp:posOffset>
            </wp:positionV>
            <wp:extent cx="2910840" cy="614327"/>
            <wp:effectExtent l="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EL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614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B0A94" w14:textId="37B5C087" w:rsidR="003D5EC9" w:rsidRDefault="003D5EC9">
      <w:pPr>
        <w:spacing w:after="0" w:line="240" w:lineRule="auto"/>
        <w:rPr>
          <w:rFonts w:ascii="Arial" w:eastAsia="Times New Roman" w:hAnsi="Arial" w:cs="Arial"/>
          <w:color w:val="000000" w:themeColor="text1"/>
          <w:lang w:val="es-ES_tradnl" w:eastAsia="es-ES"/>
        </w:rPr>
      </w:pPr>
    </w:p>
    <w:p w14:paraId="28B0EF60" w14:textId="77777777" w:rsidR="003D5EC9" w:rsidRPr="003D5EC9" w:rsidRDefault="003D5EC9">
      <w:pPr>
        <w:spacing w:after="0" w:line="240" w:lineRule="auto"/>
        <w:rPr>
          <w:rFonts w:ascii="Arial" w:eastAsia="Times New Roman" w:hAnsi="Arial" w:cs="Arial"/>
          <w:color w:val="000000" w:themeColor="text1"/>
          <w:lang w:val="es-ES_tradnl" w:eastAsia="es-ES"/>
        </w:rPr>
      </w:pPr>
    </w:p>
    <w:p w14:paraId="1FAE6C81" w14:textId="77777777" w:rsidR="00962FD2" w:rsidRPr="003D5EC9" w:rsidRDefault="00962FD2">
      <w:pPr>
        <w:spacing w:after="0" w:line="240" w:lineRule="auto"/>
        <w:rPr>
          <w:rFonts w:ascii="Arial" w:eastAsia="Times New Roman" w:hAnsi="Arial" w:cs="Arial"/>
          <w:color w:val="000000" w:themeColor="text1"/>
          <w:lang w:val="es-ES_tradnl" w:eastAsia="es-ES"/>
        </w:rPr>
      </w:pPr>
    </w:p>
    <w:bookmarkEnd w:id="0"/>
    <w:p w14:paraId="01855BDF" w14:textId="77777777" w:rsidR="00962FD2" w:rsidRPr="003D5EC9" w:rsidRDefault="00E70027">
      <w:pPr>
        <w:keepNext/>
        <w:tabs>
          <w:tab w:val="center" w:pos="9360"/>
          <w:tab w:val="center" w:pos="954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lang w:val="es-ES" w:eastAsia="es-ES"/>
        </w:rPr>
      </w:pPr>
      <w:proofErr w:type="spellStart"/>
      <w:r w:rsidRPr="003D5EC9">
        <w:rPr>
          <w:rFonts w:ascii="Arial" w:hAnsi="Arial" w:cs="Arial"/>
          <w:b/>
          <w:color w:val="000000" w:themeColor="text1"/>
        </w:rPr>
        <w:t>Erwing</w:t>
      </w:r>
      <w:proofErr w:type="spellEnd"/>
      <w:r w:rsidRPr="003D5EC9">
        <w:rPr>
          <w:rFonts w:ascii="Arial" w:hAnsi="Arial" w:cs="Arial"/>
          <w:b/>
          <w:color w:val="000000" w:themeColor="text1"/>
        </w:rPr>
        <w:t xml:space="preserve"> López Calvo</w:t>
      </w:r>
    </w:p>
    <w:p w14:paraId="742226AB" w14:textId="77777777" w:rsidR="00962FD2" w:rsidRPr="003D5EC9" w:rsidRDefault="00E70027">
      <w:pPr>
        <w:keepNext/>
        <w:tabs>
          <w:tab w:val="center" w:pos="9360"/>
          <w:tab w:val="center" w:pos="954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lang w:val="es-ES" w:eastAsia="es-ES"/>
        </w:rPr>
      </w:pPr>
      <w:r w:rsidRPr="003D5EC9">
        <w:rPr>
          <w:rFonts w:ascii="Arial" w:eastAsia="Times New Roman" w:hAnsi="Arial" w:cs="Arial"/>
          <w:b/>
          <w:color w:val="000000" w:themeColor="text1"/>
          <w:lang w:val="es-ES" w:eastAsia="es-ES"/>
        </w:rPr>
        <w:t>Jefe</w:t>
      </w:r>
    </w:p>
    <w:p w14:paraId="5D3251DA" w14:textId="77777777" w:rsidR="00962FD2" w:rsidRPr="003D5EC9" w:rsidRDefault="00E70027">
      <w:pPr>
        <w:keepNext/>
        <w:tabs>
          <w:tab w:val="center" w:pos="9360"/>
          <w:tab w:val="center" w:pos="954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lang w:val="es-ES" w:eastAsia="es-ES"/>
        </w:rPr>
      </w:pPr>
      <w:r w:rsidRPr="003D5EC9">
        <w:rPr>
          <w:rFonts w:ascii="Arial" w:eastAsia="Times New Roman" w:hAnsi="Arial" w:cs="Arial"/>
          <w:b/>
          <w:color w:val="000000" w:themeColor="text1"/>
          <w:lang w:val="es-ES" w:eastAsia="es-ES"/>
        </w:rPr>
        <w:t xml:space="preserve">Oficina </w:t>
      </w:r>
      <w:r w:rsidR="00F64864" w:rsidRPr="003D5EC9">
        <w:rPr>
          <w:rFonts w:ascii="Arial" w:eastAsia="Times New Roman" w:hAnsi="Arial" w:cs="Arial"/>
          <w:b/>
          <w:color w:val="000000" w:themeColor="text1"/>
          <w:lang w:val="es-ES" w:eastAsia="es-ES"/>
        </w:rPr>
        <w:t xml:space="preserve">General </w:t>
      </w:r>
      <w:r w:rsidRPr="003D5EC9">
        <w:rPr>
          <w:rFonts w:ascii="Arial" w:eastAsia="Times New Roman" w:hAnsi="Arial" w:cs="Arial"/>
          <w:b/>
          <w:color w:val="000000" w:themeColor="text1"/>
          <w:lang w:val="es-ES" w:eastAsia="es-ES"/>
        </w:rPr>
        <w:t>de Administración y Finanzas</w:t>
      </w:r>
    </w:p>
    <w:p w14:paraId="6E7AF494" w14:textId="77777777" w:rsidR="00962FD2" w:rsidRPr="003D5EC9" w:rsidRDefault="00E7002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val="es-ES" w:eastAsia="es-ES"/>
        </w:rPr>
      </w:pPr>
      <w:r w:rsidRPr="003D5EC9">
        <w:rPr>
          <w:rFonts w:ascii="Arial" w:eastAsia="Times New Roman" w:hAnsi="Arial" w:cs="Arial"/>
          <w:b/>
          <w:color w:val="000000" w:themeColor="text1"/>
          <w:lang w:val="es-ES" w:eastAsia="es-ES"/>
        </w:rPr>
        <w:t>DEFENSORÍA DEL PUEBLO</w:t>
      </w:r>
    </w:p>
    <w:p w14:paraId="7E05D08A" w14:textId="77777777" w:rsidR="00962FD2" w:rsidRPr="003D5EC9" w:rsidRDefault="00962FD2">
      <w:pPr>
        <w:keepNext/>
        <w:tabs>
          <w:tab w:val="center" w:pos="9360"/>
          <w:tab w:val="center" w:pos="9540"/>
        </w:tabs>
        <w:spacing w:after="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lang w:val="es-ES" w:eastAsia="es-ES"/>
        </w:rPr>
      </w:pPr>
    </w:p>
    <w:p w14:paraId="401E4B39" w14:textId="77777777" w:rsidR="00962FD2" w:rsidRPr="003D5EC9" w:rsidRDefault="00962FD2">
      <w:pPr>
        <w:rPr>
          <w:rFonts w:ascii="Arial" w:hAnsi="Arial" w:cs="Arial"/>
          <w:color w:val="000000" w:themeColor="text1"/>
        </w:rPr>
      </w:pPr>
    </w:p>
    <w:sectPr w:rsidR="00962FD2" w:rsidRPr="003D5EC9">
      <w:headerReference w:type="default" r:id="rId10"/>
      <w:footerReference w:type="default" r:id="rId11"/>
      <w:headerReference w:type="first" r:id="rId12"/>
      <w:pgSz w:w="11907" w:h="16840" w:code="9"/>
      <w:pgMar w:top="2835" w:right="170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BAE16" w14:textId="77777777" w:rsidR="00A1010C" w:rsidRDefault="00A1010C">
      <w:pPr>
        <w:spacing w:after="0" w:line="240" w:lineRule="auto"/>
      </w:pPr>
      <w:r>
        <w:separator/>
      </w:r>
    </w:p>
  </w:endnote>
  <w:endnote w:type="continuationSeparator" w:id="0">
    <w:p w14:paraId="77D89D61" w14:textId="77777777" w:rsidR="00A1010C" w:rsidRDefault="00A1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709723"/>
      <w:docPartObj>
        <w:docPartGallery w:val="Page Numbers (Bottom of Page)"/>
        <w:docPartUnique/>
      </w:docPartObj>
    </w:sdtPr>
    <w:sdtEndPr/>
    <w:sdtContent>
      <w:p w14:paraId="291F4BED" w14:textId="77777777" w:rsidR="00962FD2" w:rsidRDefault="00E7002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2D5">
          <w:rPr>
            <w:noProof/>
          </w:rPr>
          <w:t>3</w:t>
        </w:r>
        <w:r>
          <w:fldChar w:fldCharType="end"/>
        </w:r>
      </w:p>
    </w:sdtContent>
  </w:sdt>
  <w:p w14:paraId="30B07B4C" w14:textId="77777777" w:rsidR="00962FD2" w:rsidRDefault="00962F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96AB5" w14:textId="77777777" w:rsidR="00A1010C" w:rsidRDefault="00A1010C">
      <w:pPr>
        <w:spacing w:after="0" w:line="240" w:lineRule="auto"/>
      </w:pPr>
      <w:r>
        <w:separator/>
      </w:r>
    </w:p>
  </w:footnote>
  <w:footnote w:type="continuationSeparator" w:id="0">
    <w:p w14:paraId="32831539" w14:textId="77777777" w:rsidR="00A1010C" w:rsidRDefault="00A10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217A4" w14:textId="77777777" w:rsidR="00962FD2" w:rsidRDefault="00E70027">
    <w:pPr>
      <w:pStyle w:val="Encabezado"/>
    </w:pPr>
    <w:r>
      <w:rPr>
        <w:noProof/>
        <w:lang w:val="es-PE" w:eastAsia="es-PE"/>
      </w:rPr>
      <w:drawing>
        <wp:inline distT="0" distB="0" distL="0" distR="0" wp14:anchorId="43E22633" wp14:editId="55E05655">
          <wp:extent cx="1295400" cy="125730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71D35B" w14:textId="77777777" w:rsidR="00962FD2" w:rsidRDefault="00962F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3C67" w14:textId="77777777" w:rsidR="00962FD2" w:rsidRDefault="00E70027">
    <w:pPr>
      <w:pStyle w:val="Encabezado"/>
    </w:pPr>
    <w:r>
      <w:rPr>
        <w:noProof/>
        <w:lang w:val="es-PE" w:eastAsia="es-PE"/>
      </w:rPr>
      <w:drawing>
        <wp:inline distT="0" distB="0" distL="0" distR="0" wp14:anchorId="1A5CD29F" wp14:editId="7608EC22">
          <wp:extent cx="1295400" cy="125730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A4784"/>
    <w:multiLevelType w:val="hybridMultilevel"/>
    <w:tmpl w:val="90DAA078"/>
    <w:lvl w:ilvl="0" w:tplc="280A000F">
      <w:start w:val="1"/>
      <w:numFmt w:val="decimal"/>
      <w:lvlText w:val="%1."/>
      <w:lvlJc w:val="left"/>
      <w:pPr>
        <w:ind w:left="4122" w:hanging="360"/>
      </w:pPr>
    </w:lvl>
    <w:lvl w:ilvl="1" w:tplc="B2C27076">
      <w:numFmt w:val="bullet"/>
      <w:lvlText w:val="•"/>
      <w:lvlJc w:val="left"/>
      <w:pPr>
        <w:ind w:left="4842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5562" w:hanging="180"/>
      </w:pPr>
    </w:lvl>
    <w:lvl w:ilvl="3" w:tplc="280A000F" w:tentative="1">
      <w:start w:val="1"/>
      <w:numFmt w:val="decimal"/>
      <w:lvlText w:val="%4."/>
      <w:lvlJc w:val="left"/>
      <w:pPr>
        <w:ind w:left="6282" w:hanging="360"/>
      </w:pPr>
    </w:lvl>
    <w:lvl w:ilvl="4" w:tplc="280A0019" w:tentative="1">
      <w:start w:val="1"/>
      <w:numFmt w:val="lowerLetter"/>
      <w:lvlText w:val="%5."/>
      <w:lvlJc w:val="left"/>
      <w:pPr>
        <w:ind w:left="7002" w:hanging="360"/>
      </w:pPr>
    </w:lvl>
    <w:lvl w:ilvl="5" w:tplc="280A001B" w:tentative="1">
      <w:start w:val="1"/>
      <w:numFmt w:val="lowerRoman"/>
      <w:lvlText w:val="%6."/>
      <w:lvlJc w:val="right"/>
      <w:pPr>
        <w:ind w:left="7722" w:hanging="180"/>
      </w:pPr>
    </w:lvl>
    <w:lvl w:ilvl="6" w:tplc="280A000F" w:tentative="1">
      <w:start w:val="1"/>
      <w:numFmt w:val="decimal"/>
      <w:lvlText w:val="%7."/>
      <w:lvlJc w:val="left"/>
      <w:pPr>
        <w:ind w:left="8442" w:hanging="360"/>
      </w:pPr>
    </w:lvl>
    <w:lvl w:ilvl="7" w:tplc="280A0019" w:tentative="1">
      <w:start w:val="1"/>
      <w:numFmt w:val="lowerLetter"/>
      <w:lvlText w:val="%8."/>
      <w:lvlJc w:val="left"/>
      <w:pPr>
        <w:ind w:left="9162" w:hanging="360"/>
      </w:pPr>
    </w:lvl>
    <w:lvl w:ilvl="8" w:tplc="280A001B" w:tentative="1">
      <w:start w:val="1"/>
      <w:numFmt w:val="lowerRoman"/>
      <w:lvlText w:val="%9."/>
      <w:lvlJc w:val="right"/>
      <w:pPr>
        <w:ind w:left="98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D2"/>
    <w:rsid w:val="001017E1"/>
    <w:rsid w:val="00141D98"/>
    <w:rsid w:val="00164986"/>
    <w:rsid w:val="00190142"/>
    <w:rsid w:val="001A7657"/>
    <w:rsid w:val="001F2523"/>
    <w:rsid w:val="00204B3B"/>
    <w:rsid w:val="00221425"/>
    <w:rsid w:val="00225D97"/>
    <w:rsid w:val="002D171E"/>
    <w:rsid w:val="003A0EDF"/>
    <w:rsid w:val="003A76E0"/>
    <w:rsid w:val="003D5EC9"/>
    <w:rsid w:val="00407836"/>
    <w:rsid w:val="00423D99"/>
    <w:rsid w:val="00434351"/>
    <w:rsid w:val="0045501C"/>
    <w:rsid w:val="004B0F8B"/>
    <w:rsid w:val="005552D2"/>
    <w:rsid w:val="00590361"/>
    <w:rsid w:val="005F4A8E"/>
    <w:rsid w:val="00684498"/>
    <w:rsid w:val="00687B40"/>
    <w:rsid w:val="00744A56"/>
    <w:rsid w:val="00751049"/>
    <w:rsid w:val="00771E8F"/>
    <w:rsid w:val="007C352D"/>
    <w:rsid w:val="00823E1D"/>
    <w:rsid w:val="00866067"/>
    <w:rsid w:val="008950EE"/>
    <w:rsid w:val="008D0277"/>
    <w:rsid w:val="00906233"/>
    <w:rsid w:val="00962FD2"/>
    <w:rsid w:val="009814E6"/>
    <w:rsid w:val="00993B4D"/>
    <w:rsid w:val="009958E6"/>
    <w:rsid w:val="009A4B84"/>
    <w:rsid w:val="009A7BD8"/>
    <w:rsid w:val="009C22B8"/>
    <w:rsid w:val="00A1010C"/>
    <w:rsid w:val="00A27E00"/>
    <w:rsid w:val="00AC61C5"/>
    <w:rsid w:val="00B36C6C"/>
    <w:rsid w:val="00B57602"/>
    <w:rsid w:val="00C95746"/>
    <w:rsid w:val="00CC32A1"/>
    <w:rsid w:val="00D94DF2"/>
    <w:rsid w:val="00E027AC"/>
    <w:rsid w:val="00E60087"/>
    <w:rsid w:val="00E70027"/>
    <w:rsid w:val="00E9218A"/>
    <w:rsid w:val="00F64864"/>
    <w:rsid w:val="00F67DB4"/>
    <w:rsid w:val="00F822D5"/>
    <w:rsid w:val="00FD0182"/>
    <w:rsid w:val="00FD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5D97"/>
  <w15:chartTrackingRefBased/>
  <w15:docId w15:val="{EFC9D3BC-8060-4D1D-A983-FB1AB62C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Clementina Ugaz Ramirez</dc:creator>
  <cp:keywords/>
  <dc:description/>
  <cp:lastModifiedBy>Gissela Sipan Urbina</cp:lastModifiedBy>
  <cp:revision>2</cp:revision>
  <cp:lastPrinted>2023-12-20T21:58:00Z</cp:lastPrinted>
  <dcterms:created xsi:type="dcterms:W3CDTF">2024-12-30T21:12:00Z</dcterms:created>
  <dcterms:modified xsi:type="dcterms:W3CDTF">2024-12-30T21:12:00Z</dcterms:modified>
</cp:coreProperties>
</file>