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Video tutorial: ¿Cómo completar la Matriz PDP para gobiernos locales de hasta 20 servidores civiles?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hyperlink r:id="rId6">
        <w:r w:rsidDel="00000000" w:rsidR="00000000" w:rsidRPr="00000000">
          <w:rPr>
            <w:b w:val="1"/>
            <w:color w:val="1155cc"/>
            <w:sz w:val="44"/>
            <w:szCs w:val="44"/>
            <w:u w:val="single"/>
            <w:rtl w:val="0"/>
          </w:rPr>
          <w:t xml:space="preserve">https://bit.ly/4fU1fLd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4fU1f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