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color w:val="0000ff"/>
          <w:sz w:val="32"/>
          <w:szCs w:val="32"/>
        </w:rPr>
      </w:pPr>
      <w:r w:rsidDel="00000000" w:rsidR="00000000" w:rsidRPr="00000000">
        <w:rPr>
          <w:b w:val="1"/>
          <w:sz w:val="32"/>
          <w:szCs w:val="32"/>
          <w:rtl w:val="0"/>
        </w:rPr>
        <w:t xml:space="preserve">RESOLUCIÓN DE </w:t>
      </w:r>
      <w:r w:rsidDel="00000000" w:rsidR="00000000" w:rsidRPr="00000000">
        <w:rPr>
          <w:b w:val="1"/>
          <w:color w:val="0000ff"/>
          <w:sz w:val="32"/>
          <w:szCs w:val="32"/>
          <w:rtl w:val="0"/>
        </w:rPr>
        <w:t xml:space="preserve">(TITULAR DE LA ENTIDAD)</w:t>
      </w:r>
    </w:p>
    <w:p w:rsidR="00000000" w:rsidDel="00000000" w:rsidP="00000000" w:rsidRDefault="00000000" w:rsidRPr="00000000" w14:paraId="00000002">
      <w:pPr>
        <w:spacing w:after="0" w:line="240" w:lineRule="auto"/>
        <w:jc w:val="center"/>
        <w:rPr>
          <w:b w:val="1"/>
          <w:color w:val="0000ff"/>
        </w:rPr>
      </w:pPr>
      <w:r w:rsidDel="00000000" w:rsidR="00000000" w:rsidRPr="00000000">
        <w:rPr>
          <w:b w:val="1"/>
          <w:rtl w:val="0"/>
        </w:rPr>
        <w:t xml:space="preserve">N°…. – 2025 – </w:t>
      </w:r>
      <w:r w:rsidDel="00000000" w:rsidR="00000000" w:rsidRPr="00000000">
        <w:rPr>
          <w:b w:val="1"/>
          <w:color w:val="0000ff"/>
          <w:rtl w:val="0"/>
        </w:rPr>
        <w:t xml:space="preserve">(ENTIDAD)</w:t>
      </w:r>
    </w:p>
    <w:p w:rsidR="00000000" w:rsidDel="00000000" w:rsidP="00000000" w:rsidRDefault="00000000" w:rsidRPr="00000000" w14:paraId="00000003">
      <w:pPr>
        <w:jc w:val="right"/>
        <w:rPr>
          <w:b w:val="1"/>
        </w:rPr>
      </w:pPr>
      <w:r w:rsidDel="00000000" w:rsidR="00000000" w:rsidRPr="00000000">
        <w:rPr>
          <w:rtl w:val="0"/>
        </w:rPr>
      </w:r>
    </w:p>
    <w:p w:rsidR="00000000" w:rsidDel="00000000" w:rsidP="00000000" w:rsidRDefault="00000000" w:rsidRPr="00000000" w14:paraId="00000004">
      <w:pPr>
        <w:jc w:val="right"/>
        <w:rPr>
          <w:b w:val="1"/>
        </w:rPr>
      </w:pPr>
      <w:r w:rsidDel="00000000" w:rsidR="00000000" w:rsidRPr="00000000">
        <w:rPr>
          <w:b w:val="1"/>
          <w:color w:val="0000ff"/>
          <w:rtl w:val="0"/>
        </w:rPr>
        <w:t xml:space="preserve">Ciudad</w:t>
      </w:r>
      <w:r w:rsidDel="00000000" w:rsidR="00000000" w:rsidRPr="00000000">
        <w:rPr>
          <w:b w:val="1"/>
          <w:rtl w:val="0"/>
        </w:rPr>
        <w:t xml:space="preserve">,</w:t>
      </w:r>
      <w:r w:rsidDel="00000000" w:rsidR="00000000" w:rsidRPr="00000000">
        <w:rPr>
          <w:b w:val="1"/>
          <w:color w:val="0000ff"/>
          <w:rtl w:val="0"/>
        </w:rPr>
        <w:t xml:space="preserve">                 </w:t>
      </w:r>
      <w:r w:rsidDel="00000000" w:rsidR="00000000" w:rsidRPr="00000000">
        <w:rPr>
          <w:b w:val="1"/>
          <w:rtl w:val="0"/>
        </w:rPr>
        <w:t xml:space="preserve">de </w:t>
      </w:r>
      <w:r w:rsidDel="00000000" w:rsidR="00000000" w:rsidRPr="00000000">
        <w:rPr>
          <w:b w:val="1"/>
          <w:color w:val="0000ff"/>
          <w:rtl w:val="0"/>
        </w:rPr>
        <w:t xml:space="preserve">               </w:t>
      </w:r>
      <w:r w:rsidDel="00000000" w:rsidR="00000000" w:rsidRPr="00000000">
        <w:rPr>
          <w:b w:val="1"/>
          <w:rtl w:val="0"/>
        </w:rPr>
        <w:t xml:space="preserve">de 2025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color w:val="0000ff"/>
        </w:rPr>
      </w:pPr>
      <w:r w:rsidDel="00000000" w:rsidR="00000000" w:rsidRPr="00000000">
        <w:rPr>
          <w:rtl w:val="0"/>
        </w:rPr>
        <w:t xml:space="preserve">Vistos, el expediente N°</w:t>
      </w:r>
      <w:r w:rsidDel="00000000" w:rsidR="00000000" w:rsidRPr="00000000">
        <w:rPr>
          <w:color w:val="0000ff"/>
          <w:rtl w:val="0"/>
        </w:rPr>
        <w:t xml:space="preserve">…….</w:t>
      </w:r>
      <w:r w:rsidDel="00000000" w:rsidR="00000000" w:rsidRPr="00000000">
        <w:rPr>
          <w:rtl w:val="0"/>
        </w:rPr>
        <w:t xml:space="preserve">, el informe N°</w:t>
      </w:r>
      <w:r w:rsidDel="00000000" w:rsidR="00000000" w:rsidRPr="00000000">
        <w:rPr>
          <w:color w:val="0000ff"/>
          <w:rtl w:val="0"/>
        </w:rPr>
        <w:t xml:space="preserve">……..</w:t>
      </w:r>
      <w:r w:rsidDel="00000000" w:rsidR="00000000" w:rsidRPr="00000000">
        <w:rPr>
          <w:rtl w:val="0"/>
        </w:rPr>
        <w:t xml:space="preserve">, de la Oficina de Recursos Humanos; y,</w:t>
      </w:r>
      <w:r w:rsidDel="00000000" w:rsidR="00000000" w:rsidRPr="00000000">
        <w:rPr>
          <w:color w:val="0000ff"/>
          <w:rtl w:val="0"/>
        </w:rPr>
        <w:t xml:space="preserve">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b w:val="1"/>
          <w:rtl w:val="0"/>
        </w:rPr>
        <w:t xml:space="preserve">CONSIDERANDO: </w:t>
      </w:r>
    </w:p>
    <w:p w:rsidR="00000000" w:rsidDel="00000000" w:rsidP="00000000" w:rsidRDefault="00000000" w:rsidRPr="00000000" w14:paraId="00000009">
      <w:pPr>
        <w:jc w:val="both"/>
        <w:rPr>
          <w:b w:val="1"/>
        </w:rPr>
      </w:pPr>
      <w:r w:rsidDel="00000000" w:rsidR="00000000" w:rsidRPr="00000000">
        <w:rPr>
          <w:rtl w:val="0"/>
        </w:rPr>
        <w:t xml:space="preserve">Que, el artículo 194° de la Constitución Política del Perú, modificado por la Ley Nº 30305,  Ley de Reforma Constitucional, establece que las Municipalidades son órganos de gobierno local con autonomía política, económica y administrativa en asuntos de sus competencia, concordante con el artículo II del Título Preliminar de la Ley Nº 27972, Ley Orgánica de Municipalidades, en tanto dicha autonomía radica en la facultad de ejercer actos de gobierno, administrativos y de administración con sujeción al ordenamiento jurídico;</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Que, el artículo VIII, del Título Preliminar de la Ley Orgánica de Municipalidades establece que los gobiernos locales están sujetos a las leyes y disposiciones que de manera general y de conformidad con la Constitución regulan las actividades y funcionamiento del Sector Público; así como las normas técnicas referidas a los servicios y bienes públicos a los sistemas administrativos del Estado que por su naturaleza son de observancia y cumplimiento obligatorio;</w:t>
      </w:r>
    </w:p>
    <w:p w:rsidR="00000000" w:rsidDel="00000000" w:rsidP="00000000" w:rsidRDefault="00000000" w:rsidRPr="00000000" w14:paraId="0000000B">
      <w:pPr>
        <w:jc w:val="both"/>
        <w:rPr/>
      </w:pPr>
      <w:r w:rsidDel="00000000" w:rsidR="00000000" w:rsidRPr="00000000">
        <w:rPr>
          <w:rtl w:val="0"/>
        </w:rPr>
        <w:t xml:space="preserve">Que, el numeral 1) del artículo 46° de la Ley N° 29158, Ley Orgánica del Poder Ejecutivo, señala como uno de los sistemas administrativos que rige el funcionamiento del Estado al de Gestión de Recursos Humanos, sistema que está regulado por la Ley del Servicio Civil - Ley Nº 30057, por su Reglamento General aprobado por Decreto Supremo Nº 040-2014-PCM - y sus modificatorias - y el Decreto Legislativo que crea la Autoridad Nacional del Servicio Civil, rectora del Sistema Administrativo de Gestión de Recursos Humanos - Decreto Legislativo Nº 1023.</w:t>
      </w:r>
    </w:p>
    <w:p w:rsidR="00000000" w:rsidDel="00000000" w:rsidP="00000000" w:rsidRDefault="00000000" w:rsidRPr="00000000" w14:paraId="0000000C">
      <w:pPr>
        <w:jc w:val="both"/>
        <w:rPr/>
      </w:pPr>
      <w:r w:rsidDel="00000000" w:rsidR="00000000" w:rsidRPr="00000000">
        <w:rPr>
          <w:rtl w:val="0"/>
        </w:rPr>
        <w:t xml:space="preserve">Que, el Capítulo II del Título III de la acotada Ley Nº 30057, regula la gestión de la capacitación estableciendo, a través del artículo 10, que la finalidad del proceso de capacitación es buscar la mejora del desempeño de los servidores civiles para brindar servicios de calidad a los ciudadanos. Asimismo, busca fortalecer y mejorar las capacidades de los servidores civiles para el buen desempeño, siendo una estrategia fundamental para alcanzar el logro de los objetivos institucionales; </w:t>
      </w:r>
    </w:p>
    <w:p w:rsidR="00000000" w:rsidDel="00000000" w:rsidP="00000000" w:rsidRDefault="00000000" w:rsidRPr="00000000" w14:paraId="0000000D">
      <w:pPr>
        <w:jc w:val="both"/>
        <w:rPr/>
      </w:pPr>
      <w:r w:rsidDel="00000000" w:rsidR="00000000" w:rsidRPr="00000000">
        <w:rPr>
          <w:rtl w:val="0"/>
        </w:rPr>
        <w:t xml:space="preserve">Que, el artículo 9 del Reglamento General de la Ley Nº 30057, establece que la capacitación tiene como finalidad cerrar las brechas identificadas en los servidores civiles, fortaleciendo sus competencias y capacidades para contribuir a la mejora de la calidad de los servicios brindados a los ciudadanos y las acciones del Estado y alcanzar el logro de los objetivos institucionales; </w:t>
      </w:r>
    </w:p>
    <w:p w:rsidR="00000000" w:rsidDel="00000000" w:rsidP="00000000" w:rsidRDefault="00000000" w:rsidRPr="00000000" w14:paraId="0000000E">
      <w:pPr>
        <w:jc w:val="both"/>
        <w:rPr/>
      </w:pPr>
      <w:r w:rsidDel="00000000" w:rsidR="00000000" w:rsidRPr="00000000">
        <w:rPr>
          <w:rtl w:val="0"/>
        </w:rPr>
        <w:t xml:space="preserve">Que, mediante Resolución de Presidencia Ejecutiva Nº 141-2016-SERVIR-PE, se aprueba la Directiva “Normas para la gestión del proceso de capacitación en las entidades públicas”, la cual tiene por finalidad desarrollar los procedimientos, reglas e instrumentos para la gestión del proceso de capacitación, mejorando así el desempeño de los servidores civiles para brindar servicios de calidad a los ciudadanos;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el Reglamento del Régimen Especial para Gobiernos Locales, aprobado por Decreto Supremo N° 041-2014-PCM, tiene por objeto desarrollar las regulaciones específicas aplicables a la gestión del Servicio Civil para las municipalidades que cuentan hasta con veinte (20) servidores; precisando, en su artículo 8, que en las entidades públicas del régimen especial se aplican las disposiciones contenidas en el Título III del Libro I del Reglamento General, para la gestión de la capacitación;</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asimismo, la Quinta Disposición Complementaria Final del Reglamento del Régimen Especial para Gobiernos Locales, señala que SERVIR establecerá lineamientos y metodologías especiales y simplificadas para las entidades del régimen especial a efectos que las etapas, procesos, documentos de gestión contemplados en el Reglamento General, respondan a sus características y condiciones;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mediante Resolución de Presidencia Ejecutiva N° 148-2023-SERVIR-PE, se aprueba la incorporación de la Sétima Disposición Complementaria Final de la Directiva “Normas para la Gestión del Proceso de Capacitación en las entidades públicas” la cual </w:t>
      </w:r>
      <w:r w:rsidDel="00000000" w:rsidR="00000000" w:rsidRPr="00000000">
        <w:rPr>
          <w:i w:val="0"/>
          <w:smallCaps w:val="0"/>
          <w:strike w:val="0"/>
          <w:color w:val="000000"/>
          <w:sz w:val="22"/>
          <w:szCs w:val="22"/>
          <w:u w:val="none"/>
          <w:shd w:fill="auto" w:val="clear"/>
          <w:vertAlign w:val="baseline"/>
          <w:rtl w:val="0"/>
        </w:rPr>
        <w:t xml:space="preserve">establece que las municipalidades que se encuentran en el ámbito del Reglamento del Régimen Especial para los Gobiernos Locales, aprobado por Decreto Supremo N° 041-2014-PCM, están exceptuadas de implementar las fases 1) Conformación del Comité de Planificación de la Capacitación, 2) Sensibilización sobre la importancia de la capacitación, y 3) Desarrollo del 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iagnóstico de Necesidades de Capacitación, de la etapa de Planificación del ciclo del proceso de Capacitación. Así también, respecto de la fase 4) Elaboración del Plan de Desarrollo de las Personas,  solo les corresponde elaborar la matriz PDP que SERVIR publica en su web para tal fin.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pPr>
      <w:r w:rsidDel="00000000" w:rsidR="00000000" w:rsidRPr="00000000">
        <w:rPr>
          <w:rtl w:val="0"/>
        </w:rPr>
        <w:t xml:space="preserve">Que, mediante la Resolución de Presidencia Ejecutiva N.° 029-2024-SERVIR-PE, se aprueban las materias de capacitación prioritarias para el desarrollo del Servicio Civil, correspondientes al ciclo 2024-2026. Esta disposición identifica seis materias de capacitación prioritarias que buscan fortalecer los conocimientos y capacidades de todos los servidores civiles del país. Las materias aprobadas son las siguientes: modernización de la gestión pública, gestión de recursos humanos, planeamiento estratégico, presupuesto público, gobierno y transformación digital, e integridad.</w:t>
      </w:r>
      <w:r w:rsidDel="00000000" w:rsidR="00000000" w:rsidRPr="00000000">
        <w:rPr>
          <w:rtl w:val="0"/>
        </w:rPr>
      </w:r>
    </w:p>
    <w:p w:rsidR="00000000" w:rsidDel="00000000" w:rsidP="00000000" w:rsidRDefault="00000000" w:rsidRPr="00000000" w14:paraId="00000014">
      <w:pPr>
        <w:jc w:val="both"/>
        <w:rPr>
          <w:color w:val="000000"/>
        </w:rPr>
      </w:pPr>
      <w:r w:rsidDel="00000000" w:rsidR="00000000" w:rsidRPr="00000000">
        <w:rPr>
          <w:color w:val="000000"/>
          <w:rtl w:val="0"/>
        </w:rPr>
        <w:t xml:space="preserve">Que, la </w:t>
      </w:r>
      <w:r w:rsidDel="00000000" w:rsidR="00000000" w:rsidRPr="00000000">
        <w:rPr>
          <w:color w:val="0000ff"/>
          <w:rtl w:val="0"/>
        </w:rPr>
        <w:t xml:space="preserve">Oficina de Recursos Humanos </w:t>
      </w:r>
      <w:r w:rsidDel="00000000" w:rsidR="00000000" w:rsidRPr="00000000">
        <w:rPr>
          <w:i w:val="1"/>
          <w:color w:val="0000ff"/>
          <w:rtl w:val="0"/>
        </w:rPr>
        <w:t xml:space="preserve">(modificar si corresponde por la denominación exacta de la oficina que haga sus veces)</w:t>
      </w:r>
      <w:r w:rsidDel="00000000" w:rsidR="00000000" w:rsidRPr="00000000">
        <w:rPr>
          <w:color w:val="000000"/>
          <w:rtl w:val="0"/>
        </w:rPr>
        <w:t xml:space="preserve">, a través del Informe</w:t>
      </w:r>
      <w:r w:rsidDel="00000000" w:rsidR="00000000" w:rsidRPr="00000000">
        <w:rPr>
          <w:color w:val="0000ff"/>
          <w:rtl w:val="0"/>
        </w:rPr>
        <w:t xml:space="preserve"> Nº …… de fecha ……..</w:t>
      </w:r>
      <w:r w:rsidDel="00000000" w:rsidR="00000000" w:rsidRPr="00000000">
        <w:rPr>
          <w:color w:val="000000"/>
          <w:rtl w:val="0"/>
        </w:rPr>
        <w:t xml:space="preserve">, concluye que i) se tiene la responsabilidad de aprobar el Plan de Desarrollo de las Personas 202</w:t>
      </w:r>
      <w:r w:rsidDel="00000000" w:rsidR="00000000" w:rsidRPr="00000000">
        <w:rPr>
          <w:rtl w:val="0"/>
        </w:rPr>
        <w:t xml:space="preserve">5</w:t>
      </w:r>
      <w:r w:rsidDel="00000000" w:rsidR="00000000" w:rsidRPr="00000000">
        <w:rPr>
          <w:i w:val="1"/>
          <w:color w:val="000000"/>
          <w:rtl w:val="0"/>
        </w:rPr>
        <w:t xml:space="preserve"> </w:t>
      </w:r>
      <w:r w:rsidDel="00000000" w:rsidR="00000000" w:rsidRPr="00000000">
        <w:rPr>
          <w:color w:val="000000"/>
          <w:rtl w:val="0"/>
        </w:rPr>
        <w:t xml:space="preserve">con el objetivo de asegurar la planificación de las actividades de capacitación del presente año fiscal, ii) que el Plan de Desarrollo de las Personas 202</w:t>
      </w:r>
      <w:r w:rsidDel="00000000" w:rsidR="00000000" w:rsidRPr="00000000">
        <w:rPr>
          <w:rtl w:val="0"/>
        </w:rPr>
        <w:t xml:space="preserve">5</w:t>
      </w:r>
      <w:r w:rsidDel="00000000" w:rsidR="00000000" w:rsidRPr="00000000">
        <w:rPr>
          <w:color w:val="000000"/>
          <w:rtl w:val="0"/>
        </w:rPr>
        <w:t xml:space="preserve"> tiene como finalidad garantizar el cierre de brechas de competencias y capacidades identificadas en los servidores civiles y, de esta manera, contribuir al logro de los objetivos institucionales de la Municipalidad; y iii) que el Plan de Desarrollo de las Personas 202</w:t>
      </w:r>
      <w:r w:rsidDel="00000000" w:rsidR="00000000" w:rsidRPr="00000000">
        <w:rPr>
          <w:rtl w:val="0"/>
        </w:rPr>
        <w:t xml:space="preserve">5</w:t>
      </w:r>
      <w:r w:rsidDel="00000000" w:rsidR="00000000" w:rsidRPr="00000000">
        <w:rPr>
          <w:color w:val="000000"/>
          <w:rtl w:val="0"/>
        </w:rPr>
        <w:t xml:space="preserve"> consiste en la matriz PDP que contiene las acciones de capacitación prioritarias identificadas por SERVIR en base a la problemática de los gobiernos locales.</w:t>
      </w:r>
    </w:p>
    <w:p w:rsidR="00000000" w:rsidDel="00000000" w:rsidP="00000000" w:rsidRDefault="00000000" w:rsidRPr="00000000" w14:paraId="00000015">
      <w:pPr>
        <w:jc w:val="both"/>
        <w:rPr/>
      </w:pPr>
      <w:r w:rsidDel="00000000" w:rsidR="00000000" w:rsidRPr="00000000">
        <w:rPr>
          <w:rtl w:val="0"/>
        </w:rPr>
        <w:t xml:space="preserve">Que, el numeral 6.4.1.4. de la Directiva “Norma para la Gestión del Proceso de Capacitación en las Entidades Públicas” (en adelante, Directiva), aprobada por Resolución de Presidencia Ejecutiva N°141-2016-SERVIR-PE establece como fecha límite para la aprobación y presentación del Plan de Desarrollo de las Personas (PDP) el 31 de marzo de cada año;</w:t>
      </w:r>
    </w:p>
    <w:p w:rsidR="00000000" w:rsidDel="00000000" w:rsidP="00000000" w:rsidRDefault="00000000" w:rsidRPr="00000000" w14:paraId="00000016">
      <w:pPr>
        <w:jc w:val="both"/>
        <w:rPr/>
      </w:pPr>
      <w:r w:rsidDel="00000000" w:rsidR="00000000" w:rsidRPr="00000000">
        <w:rPr>
          <w:rtl w:val="0"/>
        </w:rPr>
        <w:t xml:space="preserve">Que, para el Sistema Administrativo de Gestión de Recursos Humanos se entiende por titular de la entidad a la máxima autoridad administrativa, siendo el Gerente Municipal para el caso de los gobiernos locales, quien aprueba el Plan de Desarrollo de las Personas, de conformidad a lo establecido en el numeral 5.2.7. de las Disposiciones Generales de la Directiva; </w:t>
      </w:r>
    </w:p>
    <w:p w:rsidR="00000000" w:rsidDel="00000000" w:rsidP="00000000" w:rsidRDefault="00000000" w:rsidRPr="00000000" w14:paraId="00000017">
      <w:pPr>
        <w:jc w:val="both"/>
        <w:rPr/>
      </w:pPr>
      <w:r w:rsidDel="00000000" w:rsidR="00000000" w:rsidRPr="00000000">
        <w:rPr>
          <w:rtl w:val="0"/>
        </w:rPr>
        <w:t xml:space="preserve">Que, mediante Informe </w:t>
      </w:r>
      <w:r w:rsidDel="00000000" w:rsidR="00000000" w:rsidRPr="00000000">
        <w:rPr>
          <w:color w:val="0000ff"/>
          <w:rtl w:val="0"/>
        </w:rPr>
        <w:t xml:space="preserve">N° …., de fecha………</w:t>
      </w:r>
      <w:r w:rsidDel="00000000" w:rsidR="00000000" w:rsidRPr="00000000">
        <w:rPr>
          <w:rtl w:val="0"/>
        </w:rPr>
        <w:t xml:space="preserve">, la Oficina de</w:t>
      </w:r>
      <w:r w:rsidDel="00000000" w:rsidR="00000000" w:rsidRPr="00000000">
        <w:rPr>
          <w:color w:val="0000ff"/>
          <w:rtl w:val="0"/>
        </w:rPr>
        <w:t xml:space="preserve"> </w:t>
      </w:r>
      <w:r w:rsidDel="00000000" w:rsidR="00000000" w:rsidRPr="00000000">
        <w:rPr>
          <w:i w:val="1"/>
          <w:color w:val="0000ff"/>
          <w:rtl w:val="0"/>
        </w:rPr>
        <w:t xml:space="preserve">(incluir el nombre del órgano o unidad orgánica responsable de asuntos jurídicos)</w:t>
      </w:r>
      <w:r w:rsidDel="00000000" w:rsidR="00000000" w:rsidRPr="00000000">
        <w:rPr>
          <w:rtl w:val="0"/>
        </w:rPr>
        <w:t xml:space="preserve"> concluye que resulta conforme a la normativa vigente, la aprobación del Plan de Desarrollo de las Personas 2025 de la Municipalidad </w:t>
      </w:r>
      <w:r w:rsidDel="00000000" w:rsidR="00000000" w:rsidRPr="00000000">
        <w:rPr>
          <w:color w:val="0000ff"/>
          <w:rtl w:val="0"/>
        </w:rPr>
        <w:t xml:space="preserve">Provincial/Distrital…</w:t>
      </w:r>
      <w:r w:rsidDel="00000000" w:rsidR="00000000" w:rsidRPr="00000000">
        <w:rPr>
          <w:i w:val="1"/>
          <w:color w:val="0000ff"/>
          <w:rtl w:val="0"/>
        </w:rPr>
        <w:t xml:space="preserve">(señale el nombre de la municipalidad)</w:t>
      </w:r>
      <w:r w:rsidDel="00000000" w:rsidR="00000000" w:rsidRPr="00000000">
        <w:rPr>
          <w:rtl w:val="0"/>
        </w:rPr>
        <w:t xml:space="preserve">;</w:t>
      </w:r>
    </w:p>
    <w:p w:rsidR="00000000" w:rsidDel="00000000" w:rsidP="00000000" w:rsidRDefault="00000000" w:rsidRPr="00000000" w14:paraId="00000018">
      <w:pPr>
        <w:jc w:val="both"/>
        <w:rPr/>
      </w:pPr>
      <w:r w:rsidDel="00000000" w:rsidR="00000000" w:rsidRPr="00000000">
        <w:rPr>
          <w:rtl w:val="0"/>
        </w:rPr>
        <w:t xml:space="preserve">Estando de conformidad con la Ley N° 27972, Ley Orgánica de Municipalidades; la Ley del Servicio Civil, aprobada por la Ley N° 30057; el Reglamento general de la Ley del Servicio Civil, aprobado mediante Decreto Supremo N° 040-2014-PCM; el Decreto Legislativo N° 1023 que crea la Autoridad Nacional del Servicio Civil; y la Directiva.</w:t>
      </w:r>
    </w:p>
    <w:p w:rsidR="00000000" w:rsidDel="00000000" w:rsidP="00000000" w:rsidRDefault="00000000" w:rsidRPr="00000000" w14:paraId="00000019">
      <w:pPr>
        <w:jc w:val="both"/>
        <w:rPr>
          <w:b w:val="1"/>
        </w:rPr>
      </w:pPr>
      <w:r w:rsidDel="00000000" w:rsidR="00000000" w:rsidRPr="00000000">
        <w:rPr>
          <w:b w:val="1"/>
          <w:rtl w:val="0"/>
        </w:rPr>
        <w:t xml:space="preserve">SE RESUELVE: </w:t>
      </w:r>
    </w:p>
    <w:p w:rsidR="00000000" w:rsidDel="00000000" w:rsidP="00000000" w:rsidRDefault="00000000" w:rsidRPr="00000000" w14:paraId="0000001A">
      <w:pPr>
        <w:jc w:val="both"/>
        <w:rPr/>
      </w:pPr>
      <w:bookmarkStart w:colFirst="0" w:colLast="0" w:name="_heading=h.gjdgxs" w:id="0"/>
      <w:bookmarkEnd w:id="0"/>
      <w:r w:rsidDel="00000000" w:rsidR="00000000" w:rsidRPr="00000000">
        <w:rPr>
          <w:b w:val="1"/>
          <w:rtl w:val="0"/>
        </w:rPr>
        <w:t xml:space="preserve">Artículo Primero.-</w:t>
      </w:r>
      <w:r w:rsidDel="00000000" w:rsidR="00000000" w:rsidRPr="00000000">
        <w:rPr>
          <w:rtl w:val="0"/>
        </w:rPr>
        <w:t xml:space="preserve"> Aprobar el Plan de Desarrollo de las Personas 2025, de la Municipalidad </w:t>
      </w:r>
      <w:r w:rsidDel="00000000" w:rsidR="00000000" w:rsidRPr="00000000">
        <w:rPr>
          <w:color w:val="0000ff"/>
          <w:rtl w:val="0"/>
        </w:rPr>
        <w:t xml:space="preserve">Provincial/Distrital </w:t>
      </w:r>
      <w:r w:rsidDel="00000000" w:rsidR="00000000" w:rsidRPr="00000000">
        <w:rPr>
          <w:i w:val="1"/>
          <w:color w:val="0000ff"/>
          <w:rtl w:val="0"/>
        </w:rPr>
        <w:t xml:space="preserve">(señale el nombre de la municipalidad)</w:t>
      </w:r>
      <w:r w:rsidDel="00000000" w:rsidR="00000000" w:rsidRPr="00000000">
        <w:rPr>
          <w:rtl w:val="0"/>
        </w:rPr>
        <w:t xml:space="preserve">; elaborado por la </w:t>
      </w:r>
      <w:r w:rsidDel="00000000" w:rsidR="00000000" w:rsidRPr="00000000">
        <w:rPr>
          <w:color w:val="0000ff"/>
          <w:rtl w:val="0"/>
        </w:rPr>
        <w:t xml:space="preserve">Oficina de Recursos</w:t>
      </w:r>
      <w:r w:rsidDel="00000000" w:rsidR="00000000" w:rsidRPr="00000000">
        <w:rPr>
          <w:rtl w:val="0"/>
        </w:rPr>
        <w:t xml:space="preserve">, el mismo que se encuentra adjunto como anexo a la presente resolución. </w:t>
      </w:r>
    </w:p>
    <w:p w:rsidR="00000000" w:rsidDel="00000000" w:rsidP="00000000" w:rsidRDefault="00000000" w:rsidRPr="00000000" w14:paraId="0000001B">
      <w:pPr>
        <w:jc w:val="both"/>
        <w:rPr/>
      </w:pPr>
      <w:r w:rsidDel="00000000" w:rsidR="00000000" w:rsidRPr="00000000">
        <w:rPr>
          <w:b w:val="1"/>
          <w:rtl w:val="0"/>
        </w:rPr>
        <w:t xml:space="preserve">Artículo Segundo.-</w:t>
      </w:r>
      <w:r w:rsidDel="00000000" w:rsidR="00000000" w:rsidRPr="00000000">
        <w:rPr>
          <w:rtl w:val="0"/>
        </w:rPr>
        <w:t xml:space="preserve"> Encargar a la </w:t>
      </w:r>
      <w:r w:rsidDel="00000000" w:rsidR="00000000" w:rsidRPr="00000000">
        <w:rPr>
          <w:color w:val="0000ff"/>
          <w:rtl w:val="0"/>
        </w:rPr>
        <w:t xml:space="preserve">Oficina de Recursos Humanos </w:t>
      </w:r>
      <w:r w:rsidDel="00000000" w:rsidR="00000000" w:rsidRPr="00000000">
        <w:rPr>
          <w:i w:val="1"/>
          <w:color w:val="0000ff"/>
          <w:rtl w:val="0"/>
        </w:rPr>
        <w:t xml:space="preserve">(modificar si corresponde por la denominación exacta de la oficina que haga sus veces)</w:t>
      </w:r>
      <w:r w:rsidDel="00000000" w:rsidR="00000000" w:rsidRPr="00000000">
        <w:rPr>
          <w:color w:val="0000ff"/>
          <w:rtl w:val="0"/>
        </w:rPr>
        <w:t xml:space="preserve"> </w:t>
      </w:r>
      <w:r w:rsidDel="00000000" w:rsidR="00000000" w:rsidRPr="00000000">
        <w:rPr>
          <w:rtl w:val="0"/>
        </w:rPr>
        <w:t xml:space="preserve">, la ejecución y evaluación del Plan de Desarrollo de las Personas 2025 aprobado en el artículo primero de la presente resolución.</w:t>
      </w:r>
    </w:p>
    <w:p w:rsidR="00000000" w:rsidDel="00000000" w:rsidP="00000000" w:rsidRDefault="00000000" w:rsidRPr="00000000" w14:paraId="0000001C">
      <w:pPr>
        <w:jc w:val="both"/>
        <w:rPr/>
      </w:pPr>
      <w:r w:rsidDel="00000000" w:rsidR="00000000" w:rsidRPr="00000000">
        <w:rPr>
          <w:b w:val="1"/>
          <w:rtl w:val="0"/>
        </w:rPr>
        <w:t xml:space="preserve">Artículo Tercero.-</w:t>
      </w:r>
      <w:r w:rsidDel="00000000" w:rsidR="00000000" w:rsidRPr="00000000">
        <w:rPr>
          <w:rtl w:val="0"/>
        </w:rPr>
        <w:t xml:space="preserve"> Disponer que la </w:t>
      </w:r>
      <w:r w:rsidDel="00000000" w:rsidR="00000000" w:rsidRPr="00000000">
        <w:rPr>
          <w:color w:val="0000ff"/>
          <w:rtl w:val="0"/>
        </w:rPr>
        <w:t xml:space="preserve">Oficina de Recursos Humanos </w:t>
      </w:r>
      <w:r w:rsidDel="00000000" w:rsidR="00000000" w:rsidRPr="00000000">
        <w:rPr>
          <w:i w:val="1"/>
          <w:color w:val="0000ff"/>
          <w:rtl w:val="0"/>
        </w:rPr>
        <w:t xml:space="preserve">(modificar si corresponde por la denominación exacta de la oficina que haga sus veces)</w:t>
      </w:r>
      <w:r w:rsidDel="00000000" w:rsidR="00000000" w:rsidRPr="00000000">
        <w:rPr>
          <w:rtl w:val="0"/>
        </w:rPr>
        <w:t xml:space="preserve">, presente a la Autoridad Nacional del Servicio Civil – SERVIR a través del correo pdp@servir.gob.pe, el Plan de Desarrollo de las Personas 2025 aprobado, dentro del plazo de ley. </w:t>
      </w:r>
    </w:p>
    <w:p w:rsidR="00000000" w:rsidDel="00000000" w:rsidP="00000000" w:rsidRDefault="00000000" w:rsidRPr="00000000" w14:paraId="0000001D">
      <w:pPr>
        <w:jc w:val="both"/>
        <w:rPr/>
      </w:pPr>
      <w:r w:rsidDel="00000000" w:rsidR="00000000" w:rsidRPr="00000000">
        <w:rPr>
          <w:b w:val="1"/>
          <w:rtl w:val="0"/>
        </w:rPr>
        <w:t xml:space="preserve">Artículo Cuarto.-</w:t>
      </w:r>
      <w:r w:rsidDel="00000000" w:rsidR="00000000" w:rsidRPr="00000000">
        <w:rPr>
          <w:rtl w:val="0"/>
        </w:rPr>
        <w:t xml:space="preserve"> Encargar a la </w:t>
      </w:r>
      <w:r w:rsidDel="00000000" w:rsidR="00000000" w:rsidRPr="00000000">
        <w:rPr>
          <w:color w:val="0000ff"/>
          <w:rtl w:val="0"/>
        </w:rPr>
        <w:t xml:space="preserve">Gerencia de …. </w:t>
      </w:r>
      <w:r w:rsidDel="00000000" w:rsidR="00000000" w:rsidRPr="00000000">
        <w:rPr>
          <w:i w:val="1"/>
          <w:color w:val="0000ff"/>
          <w:rtl w:val="0"/>
        </w:rPr>
        <w:t xml:space="preserve">(ingrese el nombre del órgano o unidad orgánica competente) </w:t>
      </w:r>
      <w:r w:rsidDel="00000000" w:rsidR="00000000" w:rsidRPr="00000000">
        <w:rPr>
          <w:rtl w:val="0"/>
        </w:rPr>
        <w:t xml:space="preserve">la publicación de la presente Resolución y Anexo, en el Portal Institucional de la Municipalidad </w:t>
      </w:r>
      <w:r w:rsidDel="00000000" w:rsidR="00000000" w:rsidRPr="00000000">
        <w:rPr>
          <w:color w:val="0000ff"/>
          <w:rtl w:val="0"/>
        </w:rPr>
        <w:t xml:space="preserve">Provincial/Distrital de ....</w:t>
      </w:r>
      <w:r w:rsidDel="00000000" w:rsidR="00000000" w:rsidRPr="00000000">
        <w:rPr>
          <w:i w:val="1"/>
          <w:color w:val="0000ff"/>
          <w:rtl w:val="0"/>
        </w:rPr>
        <w:t xml:space="preserve">(señale el nombre de la municipalidad)</w:t>
      </w:r>
      <w:r w:rsidDel="00000000" w:rsidR="00000000" w:rsidRPr="00000000">
        <w:rPr>
          <w:rtl w:val="0"/>
        </w:rPr>
        <w:t xml:space="preserve">. </w:t>
      </w:r>
    </w:p>
    <w:p w:rsidR="00000000" w:rsidDel="00000000" w:rsidP="00000000" w:rsidRDefault="00000000" w:rsidRPr="00000000" w14:paraId="0000001E">
      <w:pPr>
        <w:jc w:val="both"/>
        <w:rPr>
          <w:b w:val="1"/>
        </w:rPr>
      </w:pPr>
      <w:r w:rsidDel="00000000" w:rsidR="00000000" w:rsidRPr="00000000">
        <w:rPr>
          <w:b w:val="1"/>
          <w:rtl w:val="0"/>
        </w:rPr>
        <w:t xml:space="preserve">Regístrese, comuníquese, publíquese y cúmplase. </w:t>
      </w:r>
    </w:p>
    <w:p w:rsidR="00000000" w:rsidDel="00000000" w:rsidP="00000000" w:rsidRDefault="00000000" w:rsidRPr="00000000" w14:paraId="0000001F">
      <w:pPr>
        <w:jc w:val="both"/>
        <w:rPr>
          <w:b w:val="1"/>
        </w:rPr>
      </w:pPr>
      <w:r w:rsidDel="00000000" w:rsidR="00000000" w:rsidRPr="00000000">
        <w:rPr>
          <w:rtl w:val="0"/>
        </w:rPr>
      </w:r>
    </w:p>
    <w:p w:rsidR="00000000" w:rsidDel="00000000" w:rsidP="00000000" w:rsidRDefault="00000000" w:rsidRPr="00000000" w14:paraId="00000020">
      <w:pPr>
        <w:jc w:val="both"/>
        <w:rPr>
          <w:b w:val="1"/>
          <w:sz w:val="32"/>
          <w:szCs w:val="32"/>
        </w:rPr>
      </w:pPr>
      <w:r w:rsidDel="00000000" w:rsidR="00000000" w:rsidRPr="00000000">
        <w:rPr>
          <w:b w:val="1"/>
          <w:rtl w:val="0"/>
        </w:rPr>
        <w:t xml:space="preserve">(FIRMA DEL TITULAR DE LA ENTIDAD)</w:t>
      </w: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hIOtcxCJhcoePWxmG8OBp5kngA==">CgMxLjAyCGguZ2pkZ3hzOAByITFiVVFXc0RyRi13VDJwS180SW4wRGIwdThfbTd5eFA1MA==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