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5E918" w14:textId="77777777" w:rsidR="00EC477B" w:rsidRPr="00EC477B" w:rsidRDefault="00EC477B" w:rsidP="00EC477B">
      <w:pPr>
        <w:tabs>
          <w:tab w:val="left" w:pos="11416"/>
        </w:tabs>
        <w:jc w:val="center"/>
        <w:rPr>
          <w:rFonts w:ascii="Calibri" w:eastAsia="Calibri" w:hAnsi="Calibri" w:cs="Times New Roman"/>
          <w:b/>
          <w:kern w:val="0"/>
          <w:lang w:eastAsia="es-PE"/>
          <w14:ligatures w14:val="none"/>
        </w:rPr>
      </w:pPr>
      <w:r w:rsidRPr="00EC477B">
        <w:rPr>
          <w:rFonts w:ascii="Calibri" w:eastAsia="Calibri" w:hAnsi="Calibri" w:cs="Times New Roman"/>
          <w:b/>
          <w:kern w:val="0"/>
          <w:lang w:eastAsia="es-PE"/>
          <w14:ligatures w14:val="none"/>
        </w:rPr>
        <w:t xml:space="preserve">Anexo </w:t>
      </w:r>
      <w:proofErr w:type="spellStart"/>
      <w:r w:rsidRPr="00EC477B">
        <w:rPr>
          <w:rFonts w:ascii="Calibri" w:eastAsia="Calibri" w:hAnsi="Calibri" w:cs="Times New Roman"/>
          <w:b/>
          <w:kern w:val="0"/>
          <w:lang w:eastAsia="es-PE"/>
          <w14:ligatures w14:val="none"/>
        </w:rPr>
        <w:t>N°</w:t>
      </w:r>
      <w:proofErr w:type="spellEnd"/>
      <w:r w:rsidRPr="00EC477B">
        <w:rPr>
          <w:rFonts w:ascii="Calibri" w:eastAsia="Calibri" w:hAnsi="Calibri" w:cs="Times New Roman"/>
          <w:b/>
          <w:kern w:val="0"/>
          <w:lang w:eastAsia="es-PE"/>
          <w14:ligatures w14:val="none"/>
        </w:rPr>
        <w:t xml:space="preserve"> 5</w:t>
      </w:r>
    </w:p>
    <w:p w14:paraId="0CEBF88A" w14:textId="77777777" w:rsidR="00EC477B" w:rsidRPr="00EC477B" w:rsidRDefault="00EC477B" w:rsidP="00EC477B">
      <w:pPr>
        <w:pBdr>
          <w:top w:val="nil"/>
          <w:left w:val="nil"/>
          <w:bottom w:val="nil"/>
          <w:right w:val="nil"/>
          <w:between w:val="nil"/>
        </w:pBdr>
        <w:spacing w:after="0" w:line="240" w:lineRule="auto"/>
        <w:jc w:val="center"/>
        <w:rPr>
          <w:rFonts w:ascii="Calibri" w:eastAsia="Calibri" w:hAnsi="Calibri" w:cs="Times New Roman"/>
          <w:b/>
          <w:color w:val="000000"/>
          <w:kern w:val="0"/>
          <w:lang w:eastAsia="es-PE"/>
          <w14:ligatures w14:val="none"/>
        </w:rPr>
      </w:pPr>
      <w:r w:rsidRPr="00EC477B">
        <w:rPr>
          <w:rFonts w:ascii="Calibri" w:eastAsia="Calibri" w:hAnsi="Calibri" w:cs="Times New Roman"/>
          <w:b/>
          <w:color w:val="000000"/>
          <w:kern w:val="0"/>
          <w:lang w:eastAsia="es-PE"/>
          <w14:ligatures w14:val="none"/>
        </w:rPr>
        <w:t>SUPUESTOS PARA LA ACTUALIZACIÓN DE INFORMACIÓN LEGAL</w:t>
      </w:r>
    </w:p>
    <w:p w14:paraId="53AA9029" w14:textId="77777777" w:rsidR="00EC477B" w:rsidRPr="00EC477B" w:rsidRDefault="00EC477B" w:rsidP="00EC477B">
      <w:pPr>
        <w:pBdr>
          <w:top w:val="nil"/>
          <w:left w:val="nil"/>
          <w:bottom w:val="nil"/>
          <w:right w:val="nil"/>
          <w:between w:val="nil"/>
        </w:pBdr>
        <w:spacing w:after="0" w:line="240" w:lineRule="auto"/>
        <w:jc w:val="center"/>
        <w:rPr>
          <w:rFonts w:ascii="Calibri" w:eastAsia="Calibri" w:hAnsi="Calibri" w:cs="Times New Roman"/>
          <w:b/>
          <w:color w:val="000000"/>
          <w:kern w:val="0"/>
          <w:lang w:eastAsia="es-PE"/>
          <w14:ligatures w14:val="none"/>
        </w:rPr>
      </w:pPr>
    </w:p>
    <w:tbl>
      <w:tblPr>
        <w:tblW w:w="8799" w:type="dxa"/>
        <w:tblInd w:w="27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000" w:firstRow="0" w:lastRow="0" w:firstColumn="0" w:lastColumn="0" w:noHBand="0" w:noVBand="0"/>
      </w:tblPr>
      <w:tblGrid>
        <w:gridCol w:w="1996"/>
        <w:gridCol w:w="2534"/>
        <w:gridCol w:w="1888"/>
        <w:gridCol w:w="2381"/>
      </w:tblGrid>
      <w:tr w:rsidR="00EC477B" w:rsidRPr="00EC477B" w14:paraId="52A4B572" w14:textId="77777777" w:rsidTr="00FB2A3C">
        <w:trPr>
          <w:trHeight w:val="373"/>
        </w:trPr>
        <w:tc>
          <w:tcPr>
            <w:tcW w:w="8799" w:type="dxa"/>
            <w:gridSpan w:val="4"/>
            <w:shd w:val="clear" w:color="auto" w:fill="auto"/>
          </w:tcPr>
          <w:p w14:paraId="5169606A" w14:textId="77777777" w:rsidR="00EC477B" w:rsidRPr="00EC477B" w:rsidRDefault="00EC477B" w:rsidP="00EC477B">
            <w:pPr>
              <w:widowControl w:val="0"/>
              <w:pBdr>
                <w:top w:val="nil"/>
                <w:left w:val="nil"/>
                <w:bottom w:val="nil"/>
                <w:right w:val="nil"/>
                <w:between w:val="nil"/>
              </w:pBdr>
              <w:spacing w:after="0" w:line="205" w:lineRule="auto"/>
              <w:ind w:left="3679" w:right="3678"/>
              <w:jc w:val="center"/>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PERSONA NATURAL</w:t>
            </w:r>
          </w:p>
        </w:tc>
      </w:tr>
      <w:tr w:rsidR="00EC477B" w:rsidRPr="00EC477B" w14:paraId="5DE47CED" w14:textId="77777777" w:rsidTr="00FB2A3C">
        <w:trPr>
          <w:trHeight w:val="595"/>
        </w:trPr>
        <w:tc>
          <w:tcPr>
            <w:tcW w:w="1996" w:type="dxa"/>
            <w:shd w:val="clear" w:color="auto" w:fill="auto"/>
          </w:tcPr>
          <w:p w14:paraId="13D1C8AF" w14:textId="77777777" w:rsidR="00EC477B" w:rsidRPr="00EC477B" w:rsidRDefault="00EC477B" w:rsidP="00EC477B">
            <w:pPr>
              <w:widowControl w:val="0"/>
              <w:pBdr>
                <w:top w:val="nil"/>
                <w:left w:val="nil"/>
                <w:bottom w:val="nil"/>
                <w:right w:val="nil"/>
                <w:between w:val="nil"/>
              </w:pBdr>
              <w:spacing w:after="0"/>
              <w:ind w:left="597" w:right="368" w:hanging="215"/>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Información a ser actualizada</w:t>
            </w:r>
          </w:p>
        </w:tc>
        <w:tc>
          <w:tcPr>
            <w:tcW w:w="2534" w:type="dxa"/>
            <w:shd w:val="clear" w:color="auto" w:fill="auto"/>
          </w:tcPr>
          <w:p w14:paraId="720C951F" w14:textId="77777777" w:rsidR="00EC477B" w:rsidRPr="00EC477B" w:rsidRDefault="00EC477B" w:rsidP="00EC477B">
            <w:pPr>
              <w:widowControl w:val="0"/>
              <w:pBdr>
                <w:top w:val="nil"/>
                <w:left w:val="nil"/>
                <w:bottom w:val="nil"/>
                <w:right w:val="nil"/>
                <w:between w:val="nil"/>
              </w:pBdr>
              <w:spacing w:after="0" w:line="205" w:lineRule="auto"/>
              <w:ind w:left="936" w:right="929"/>
              <w:jc w:val="center"/>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Nacional</w:t>
            </w:r>
          </w:p>
        </w:tc>
        <w:tc>
          <w:tcPr>
            <w:tcW w:w="1888" w:type="dxa"/>
            <w:shd w:val="clear" w:color="auto" w:fill="auto"/>
          </w:tcPr>
          <w:p w14:paraId="67C1C543" w14:textId="77777777" w:rsidR="00EC477B" w:rsidRPr="00EC477B" w:rsidRDefault="00EC477B" w:rsidP="00EC477B">
            <w:pPr>
              <w:widowControl w:val="0"/>
              <w:pBdr>
                <w:top w:val="nil"/>
                <w:left w:val="nil"/>
                <w:bottom w:val="nil"/>
                <w:right w:val="nil"/>
                <w:between w:val="nil"/>
              </w:pBdr>
              <w:spacing w:after="0" w:line="205" w:lineRule="auto"/>
              <w:ind w:left="146"/>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Extranjero domiciliado</w:t>
            </w:r>
          </w:p>
        </w:tc>
        <w:tc>
          <w:tcPr>
            <w:tcW w:w="2381" w:type="dxa"/>
            <w:shd w:val="clear" w:color="auto" w:fill="auto"/>
          </w:tcPr>
          <w:p w14:paraId="0FB9970D" w14:textId="77777777" w:rsidR="00EC477B" w:rsidRPr="00EC477B" w:rsidRDefault="00EC477B" w:rsidP="00EC477B">
            <w:pPr>
              <w:widowControl w:val="0"/>
              <w:pBdr>
                <w:top w:val="nil"/>
                <w:left w:val="nil"/>
                <w:bottom w:val="nil"/>
                <w:right w:val="nil"/>
                <w:between w:val="nil"/>
              </w:pBdr>
              <w:spacing w:after="0" w:line="205" w:lineRule="auto"/>
              <w:ind w:left="281"/>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Extranjero no domiciliado</w:t>
            </w:r>
          </w:p>
        </w:tc>
      </w:tr>
      <w:tr w:rsidR="00EC477B" w:rsidRPr="00EC477B" w14:paraId="45ED5A4D" w14:textId="77777777" w:rsidTr="00FB2A3C">
        <w:trPr>
          <w:trHeight w:val="597"/>
        </w:trPr>
        <w:tc>
          <w:tcPr>
            <w:tcW w:w="1996" w:type="dxa"/>
            <w:shd w:val="clear" w:color="auto" w:fill="auto"/>
          </w:tcPr>
          <w:p w14:paraId="21997A93" w14:textId="77777777" w:rsidR="00EC477B" w:rsidRPr="00EC477B" w:rsidRDefault="00EC477B" w:rsidP="00EC477B">
            <w:pPr>
              <w:widowControl w:val="0"/>
              <w:pBdr>
                <w:top w:val="nil"/>
                <w:left w:val="nil"/>
                <w:bottom w:val="nil"/>
                <w:right w:val="nil"/>
                <w:between w:val="nil"/>
              </w:pBdr>
              <w:spacing w:after="0" w:line="205" w:lineRule="auto"/>
              <w:ind w:left="101"/>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Condición en la SUNAT</w:t>
            </w:r>
          </w:p>
        </w:tc>
        <w:tc>
          <w:tcPr>
            <w:tcW w:w="4422" w:type="dxa"/>
            <w:gridSpan w:val="2"/>
            <w:shd w:val="clear" w:color="auto" w:fill="auto"/>
          </w:tcPr>
          <w:p w14:paraId="18001127" w14:textId="77777777" w:rsidR="00EC477B" w:rsidRPr="00EC477B" w:rsidRDefault="00EC477B" w:rsidP="00EC477B">
            <w:pPr>
              <w:widowControl w:val="0"/>
              <w:pBdr>
                <w:top w:val="nil"/>
                <w:left w:val="nil"/>
                <w:bottom w:val="nil"/>
                <w:right w:val="nil"/>
                <w:between w:val="nil"/>
              </w:pBdr>
              <w:spacing w:after="0"/>
              <w:ind w:left="101" w:right="88"/>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con la condición de activo, habido u otros, ante la SUNAT.</w:t>
            </w:r>
          </w:p>
        </w:tc>
        <w:tc>
          <w:tcPr>
            <w:tcW w:w="2381" w:type="dxa"/>
            <w:shd w:val="clear" w:color="auto" w:fill="auto"/>
          </w:tcPr>
          <w:p w14:paraId="559EBE0A"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r>
      <w:tr w:rsidR="00EC477B" w:rsidRPr="00EC477B" w14:paraId="05E82B7C" w14:textId="77777777" w:rsidTr="00FB2A3C">
        <w:trPr>
          <w:trHeight w:val="2364"/>
        </w:trPr>
        <w:tc>
          <w:tcPr>
            <w:tcW w:w="1996" w:type="dxa"/>
            <w:shd w:val="clear" w:color="auto" w:fill="auto"/>
          </w:tcPr>
          <w:p w14:paraId="3DAE1F8E" w14:textId="77777777" w:rsidR="00EC477B" w:rsidRPr="00EC477B" w:rsidRDefault="00EC477B" w:rsidP="00EC477B">
            <w:pPr>
              <w:widowControl w:val="0"/>
              <w:pBdr>
                <w:top w:val="nil"/>
                <w:left w:val="nil"/>
                <w:bottom w:val="nil"/>
                <w:right w:val="nil"/>
                <w:between w:val="nil"/>
              </w:pBdr>
              <w:spacing w:after="0" w:line="205" w:lineRule="auto"/>
              <w:ind w:left="101"/>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Nombres</w:t>
            </w:r>
          </w:p>
        </w:tc>
        <w:tc>
          <w:tcPr>
            <w:tcW w:w="2534" w:type="dxa"/>
            <w:shd w:val="clear" w:color="auto" w:fill="auto"/>
          </w:tcPr>
          <w:p w14:paraId="5BFD4D6C" w14:textId="77777777" w:rsidR="00EC477B" w:rsidRPr="00EC477B" w:rsidRDefault="00EC477B" w:rsidP="00EC477B">
            <w:pPr>
              <w:widowControl w:val="0"/>
              <w:pBdr>
                <w:top w:val="nil"/>
                <w:left w:val="nil"/>
                <w:bottom w:val="nil"/>
                <w:right w:val="nil"/>
                <w:between w:val="nil"/>
              </w:pBdr>
              <w:spacing w:after="0" w:line="256" w:lineRule="auto"/>
              <w:ind w:left="101"/>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ante el RENIEC y la SUNAT.</w:t>
            </w:r>
          </w:p>
        </w:tc>
        <w:tc>
          <w:tcPr>
            <w:tcW w:w="1888" w:type="dxa"/>
            <w:shd w:val="clear" w:color="auto" w:fill="auto"/>
          </w:tcPr>
          <w:p w14:paraId="1F9002FA" w14:textId="77777777" w:rsidR="00EC477B" w:rsidRPr="00EC477B" w:rsidRDefault="00EC477B" w:rsidP="00EC477B">
            <w:pPr>
              <w:widowControl w:val="0"/>
              <w:pBdr>
                <w:top w:val="nil"/>
                <w:left w:val="nil"/>
                <w:bottom w:val="nil"/>
                <w:right w:val="nil"/>
                <w:between w:val="nil"/>
              </w:pBdr>
              <w:spacing w:after="0" w:line="256" w:lineRule="auto"/>
              <w:ind w:left="100"/>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ante la SUNAT.</w:t>
            </w:r>
          </w:p>
        </w:tc>
        <w:tc>
          <w:tcPr>
            <w:tcW w:w="2381" w:type="dxa"/>
            <w:shd w:val="clear" w:color="auto" w:fill="auto"/>
          </w:tcPr>
          <w:p w14:paraId="72CEE305" w14:textId="77777777" w:rsidR="00EC477B" w:rsidRPr="00EC477B" w:rsidRDefault="00EC477B" w:rsidP="00EC477B">
            <w:pPr>
              <w:widowControl w:val="0"/>
              <w:pBdr>
                <w:top w:val="nil"/>
                <w:left w:val="nil"/>
                <w:bottom w:val="nil"/>
                <w:right w:val="nil"/>
                <w:between w:val="nil"/>
              </w:pBdr>
              <w:spacing w:after="0" w:line="256" w:lineRule="auto"/>
              <w:ind w:left="100" w:right="95"/>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Copia del documento oficial emitido por autoridad registral, institución o autoridad competente en su país de origen, o, en su defecto, copia de la escritura pública, donde conste su inscripción ante entidad similar a RENIEC o ante autoridad competente en su país de origen.</w:t>
            </w:r>
          </w:p>
        </w:tc>
      </w:tr>
      <w:tr w:rsidR="00EC477B" w:rsidRPr="00EC477B" w14:paraId="36FEDAEA" w14:textId="77777777" w:rsidTr="00FB2A3C">
        <w:trPr>
          <w:trHeight w:val="1997"/>
        </w:trPr>
        <w:tc>
          <w:tcPr>
            <w:tcW w:w="1996" w:type="dxa"/>
            <w:shd w:val="clear" w:color="auto" w:fill="auto"/>
          </w:tcPr>
          <w:p w14:paraId="36D8E07B" w14:textId="77777777" w:rsidR="00EC477B" w:rsidRPr="00EC477B" w:rsidRDefault="00EC477B" w:rsidP="00EC477B">
            <w:pPr>
              <w:widowControl w:val="0"/>
              <w:pBdr>
                <w:top w:val="nil"/>
                <w:left w:val="nil"/>
                <w:bottom w:val="nil"/>
                <w:right w:val="nil"/>
                <w:between w:val="nil"/>
              </w:pBdr>
              <w:spacing w:after="0" w:line="205" w:lineRule="auto"/>
              <w:ind w:left="101"/>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Domicilio fiscal</w:t>
            </w:r>
          </w:p>
        </w:tc>
        <w:tc>
          <w:tcPr>
            <w:tcW w:w="4422" w:type="dxa"/>
            <w:gridSpan w:val="2"/>
            <w:shd w:val="clear" w:color="auto" w:fill="auto"/>
          </w:tcPr>
          <w:p w14:paraId="39289D82"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662F615C"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42B6FE28"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0141286A"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3"/>
                <w:szCs w:val="13"/>
                <w:lang w:eastAsia="es-PE"/>
                <w14:ligatures w14:val="none"/>
              </w:rPr>
            </w:pPr>
          </w:p>
          <w:p w14:paraId="3BB822DB" w14:textId="77777777" w:rsidR="00EC477B" w:rsidRPr="00EC477B" w:rsidRDefault="00EC477B" w:rsidP="00EC477B">
            <w:pPr>
              <w:widowControl w:val="0"/>
              <w:pBdr>
                <w:top w:val="nil"/>
                <w:left w:val="nil"/>
                <w:bottom w:val="nil"/>
                <w:right w:val="nil"/>
                <w:between w:val="nil"/>
              </w:pBdr>
              <w:spacing w:after="0" w:line="240" w:lineRule="auto"/>
              <w:ind w:left="869"/>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ante la SUNAT.</w:t>
            </w:r>
          </w:p>
        </w:tc>
        <w:tc>
          <w:tcPr>
            <w:tcW w:w="2381" w:type="dxa"/>
            <w:tcBorders>
              <w:top w:val="nil"/>
            </w:tcBorders>
            <w:shd w:val="clear" w:color="auto" w:fill="auto"/>
          </w:tcPr>
          <w:p w14:paraId="221DF5D1" w14:textId="77777777" w:rsidR="00EC477B" w:rsidRPr="00EC477B" w:rsidRDefault="00EC477B" w:rsidP="00EC477B">
            <w:pPr>
              <w:widowControl w:val="0"/>
              <w:pBdr>
                <w:top w:val="nil"/>
                <w:left w:val="nil"/>
                <w:bottom w:val="nil"/>
                <w:right w:val="nil"/>
                <w:between w:val="nil"/>
              </w:pBdr>
              <w:spacing w:after="0" w:line="256" w:lineRule="auto"/>
              <w:ind w:left="100" w:right="95"/>
              <w:jc w:val="both"/>
              <w:rPr>
                <w:rFonts w:ascii="Calibri" w:eastAsia="Calibri" w:hAnsi="Calibri" w:cs="Times New Roman"/>
                <w:color w:val="221F1F"/>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Copia del documento oficial emitido por autoridad registral, institución o autoridad competente en su país de origen, o, en su defecto, copia de la escritura pública, donde conste su inscripción ante entidad similar a SUNAT o ante autoridad competente en su país de origen.</w:t>
            </w:r>
          </w:p>
          <w:p w14:paraId="726C1216" w14:textId="77777777" w:rsidR="00EC477B" w:rsidRPr="00EC477B" w:rsidRDefault="00EC477B" w:rsidP="00EC477B">
            <w:pPr>
              <w:widowControl w:val="0"/>
              <w:ind w:firstLine="708"/>
              <w:rPr>
                <w:rFonts w:ascii="Calibri" w:eastAsia="Calibri" w:hAnsi="Calibri" w:cs="Times New Roman"/>
                <w:kern w:val="0"/>
                <w:sz w:val="2"/>
                <w:szCs w:val="2"/>
                <w:lang w:eastAsia="es-PE"/>
                <w14:ligatures w14:val="none"/>
              </w:rPr>
            </w:pPr>
          </w:p>
        </w:tc>
      </w:tr>
      <w:tr w:rsidR="00EC477B" w:rsidRPr="00EC477B" w14:paraId="10090B23" w14:textId="77777777" w:rsidTr="00FB2A3C">
        <w:trPr>
          <w:trHeight w:val="1265"/>
        </w:trPr>
        <w:tc>
          <w:tcPr>
            <w:tcW w:w="1996" w:type="dxa"/>
            <w:shd w:val="clear" w:color="auto" w:fill="auto"/>
          </w:tcPr>
          <w:p w14:paraId="6A2125D6" w14:textId="77777777" w:rsidR="00EC477B" w:rsidRPr="00EC477B" w:rsidRDefault="00EC477B" w:rsidP="00EC477B">
            <w:pPr>
              <w:widowControl w:val="0"/>
              <w:pBdr>
                <w:top w:val="nil"/>
                <w:left w:val="nil"/>
                <w:bottom w:val="nil"/>
                <w:right w:val="nil"/>
                <w:between w:val="nil"/>
              </w:pBdr>
              <w:spacing w:after="0" w:line="205" w:lineRule="auto"/>
              <w:ind w:left="101"/>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Profesión</w:t>
            </w:r>
          </w:p>
        </w:tc>
        <w:tc>
          <w:tcPr>
            <w:tcW w:w="6803" w:type="dxa"/>
            <w:gridSpan w:val="3"/>
            <w:shd w:val="clear" w:color="auto" w:fill="auto"/>
          </w:tcPr>
          <w:p w14:paraId="14B572FD" w14:textId="77777777" w:rsidR="00EC477B" w:rsidRPr="00EC477B" w:rsidRDefault="00EC477B" w:rsidP="00EC477B">
            <w:pPr>
              <w:widowControl w:val="0"/>
              <w:pBdr>
                <w:top w:val="nil"/>
                <w:left w:val="nil"/>
                <w:bottom w:val="nil"/>
                <w:right w:val="nil"/>
                <w:between w:val="nil"/>
              </w:pBdr>
              <w:spacing w:after="0"/>
              <w:ind w:left="101" w:right="97"/>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 xml:space="preserve">Previamente inscrito en el Colegio de Ingenieros del Perú o Colegio de Arquitectos del Perú (Consejos Nacionales respectivos) y corresponder a algunas de las profesiones indicadas en el Anexo </w:t>
            </w:r>
            <w:proofErr w:type="spellStart"/>
            <w:r w:rsidRPr="00EC477B">
              <w:rPr>
                <w:rFonts w:ascii="Calibri" w:eastAsia="Calibri" w:hAnsi="Calibri" w:cs="Times New Roman"/>
                <w:color w:val="221F1F"/>
                <w:kern w:val="0"/>
                <w:sz w:val="17"/>
                <w:szCs w:val="17"/>
                <w:lang w:eastAsia="es-PE"/>
                <w14:ligatures w14:val="none"/>
              </w:rPr>
              <w:t>N°</w:t>
            </w:r>
            <w:proofErr w:type="spellEnd"/>
            <w:r w:rsidRPr="00EC477B">
              <w:rPr>
                <w:rFonts w:ascii="Calibri" w:eastAsia="Calibri" w:hAnsi="Calibri" w:cs="Times New Roman"/>
                <w:color w:val="221F1F"/>
                <w:kern w:val="0"/>
                <w:sz w:val="17"/>
                <w:szCs w:val="17"/>
                <w:lang w:eastAsia="es-PE"/>
                <w14:ligatures w14:val="none"/>
              </w:rPr>
              <w:t xml:space="preserve"> 1 de la presente Directiva. Cuando no se visualice la fecha de incorporación, profesión y especialidad en la página web de los referidos colegios profesionales, debe presentar copia del documento expedido por el Colegio Profesional correspondiente.</w:t>
            </w:r>
          </w:p>
        </w:tc>
      </w:tr>
      <w:tr w:rsidR="00EC477B" w:rsidRPr="00EC477B" w14:paraId="236790FB" w14:textId="77777777" w:rsidTr="00FB2A3C">
        <w:trPr>
          <w:trHeight w:val="1042"/>
        </w:trPr>
        <w:tc>
          <w:tcPr>
            <w:tcW w:w="1996" w:type="dxa"/>
            <w:shd w:val="clear" w:color="auto" w:fill="auto"/>
          </w:tcPr>
          <w:p w14:paraId="45FCEC2C" w14:textId="77777777" w:rsidR="00EC477B" w:rsidRPr="00EC477B" w:rsidRDefault="00EC477B" w:rsidP="00EC477B">
            <w:pPr>
              <w:widowControl w:val="0"/>
              <w:pBdr>
                <w:top w:val="nil"/>
                <w:left w:val="nil"/>
                <w:bottom w:val="nil"/>
                <w:right w:val="nil"/>
                <w:between w:val="nil"/>
              </w:pBdr>
              <w:spacing w:after="0"/>
              <w:ind w:left="101" w:right="91"/>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Representante legal o apoderado de la persona natural extranjera no domiciliada</w:t>
            </w:r>
          </w:p>
        </w:tc>
        <w:tc>
          <w:tcPr>
            <w:tcW w:w="2534" w:type="dxa"/>
            <w:shd w:val="clear" w:color="auto" w:fill="auto"/>
          </w:tcPr>
          <w:p w14:paraId="12FD1F24"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c>
          <w:tcPr>
            <w:tcW w:w="4269" w:type="dxa"/>
            <w:gridSpan w:val="2"/>
            <w:shd w:val="clear" w:color="auto" w:fill="auto"/>
          </w:tcPr>
          <w:p w14:paraId="13A062AD" w14:textId="77777777" w:rsidR="00EC477B" w:rsidRPr="00EC477B" w:rsidRDefault="00EC477B" w:rsidP="00EC477B">
            <w:pPr>
              <w:widowControl w:val="0"/>
              <w:pBdr>
                <w:top w:val="nil"/>
                <w:left w:val="nil"/>
                <w:bottom w:val="nil"/>
                <w:right w:val="nil"/>
                <w:between w:val="nil"/>
              </w:pBdr>
              <w:spacing w:after="0"/>
              <w:ind w:left="100" w:right="96"/>
              <w:jc w:val="both"/>
              <w:rPr>
                <w:rFonts w:ascii="Calibri" w:eastAsia="Calibri" w:hAnsi="Calibri" w:cs="Times New Roman"/>
                <w:color w:val="221F1F"/>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en la SUNARP con las facultades de representación en procedimientos administrativos ante entidades públicas.</w:t>
            </w:r>
          </w:p>
          <w:p w14:paraId="0AF63BFA" w14:textId="77777777" w:rsidR="00EC477B" w:rsidRPr="00EC477B" w:rsidRDefault="00EC477B" w:rsidP="00EC477B">
            <w:pPr>
              <w:widowControl w:val="0"/>
              <w:pBdr>
                <w:top w:val="nil"/>
                <w:left w:val="nil"/>
                <w:bottom w:val="nil"/>
                <w:right w:val="nil"/>
                <w:between w:val="nil"/>
              </w:pBdr>
              <w:spacing w:after="0"/>
              <w:ind w:left="100" w:right="96"/>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000000"/>
                <w:kern w:val="0"/>
                <w:sz w:val="17"/>
                <w:szCs w:val="17"/>
                <w:lang w:eastAsia="es-PE"/>
                <w14:ligatures w14:val="none"/>
              </w:rPr>
              <w:t>Copia de la escritura pública inscrita en Registros Públicos o ante autoridad competente en su país de origen o copia del documento oficial emitido por la autoridad registral, institución o autoridad competente en su país de origen, que acredite que su representante legal o apoderado cuenta con la facultad de representación en procedimientos administrativos ante entidades públicas fuera de su país de origen, en la cual debe encontrarse comprendido el Perú, cuando la persona natural extranjera actúe con representante legal o apoderado desde su país de origen.</w:t>
            </w:r>
          </w:p>
        </w:tc>
      </w:tr>
    </w:tbl>
    <w:p w14:paraId="5731B8A3" w14:textId="77777777" w:rsidR="00EC477B" w:rsidRPr="00EC477B" w:rsidRDefault="00EC477B" w:rsidP="00EC477B">
      <w:pPr>
        <w:jc w:val="center"/>
        <w:rPr>
          <w:rFonts w:ascii="Calibri" w:eastAsia="Calibri" w:hAnsi="Calibri" w:cs="Times New Roman"/>
          <w:kern w:val="0"/>
          <w:lang w:eastAsia="es-PE"/>
          <w14:ligatures w14:val="none"/>
        </w:rPr>
      </w:pPr>
    </w:p>
    <w:tbl>
      <w:tblPr>
        <w:tblW w:w="8797" w:type="dxa"/>
        <w:tblInd w:w="27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000" w:firstRow="0" w:lastRow="0" w:firstColumn="0" w:lastColumn="0" w:noHBand="0" w:noVBand="0"/>
      </w:tblPr>
      <w:tblGrid>
        <w:gridCol w:w="1996"/>
        <w:gridCol w:w="2267"/>
        <w:gridCol w:w="2154"/>
        <w:gridCol w:w="2380"/>
      </w:tblGrid>
      <w:tr w:rsidR="00EC477B" w:rsidRPr="00EC477B" w14:paraId="7283D393" w14:textId="77777777" w:rsidTr="00FB2A3C">
        <w:trPr>
          <w:trHeight w:val="371"/>
        </w:trPr>
        <w:tc>
          <w:tcPr>
            <w:tcW w:w="8797" w:type="dxa"/>
            <w:gridSpan w:val="4"/>
            <w:shd w:val="clear" w:color="auto" w:fill="auto"/>
          </w:tcPr>
          <w:p w14:paraId="29851BAF" w14:textId="77777777" w:rsidR="00EC477B" w:rsidRPr="00EC477B" w:rsidRDefault="00EC477B" w:rsidP="00EC477B">
            <w:pPr>
              <w:widowControl w:val="0"/>
              <w:pBdr>
                <w:top w:val="nil"/>
                <w:left w:val="nil"/>
                <w:bottom w:val="nil"/>
                <w:right w:val="nil"/>
                <w:between w:val="nil"/>
              </w:pBdr>
              <w:spacing w:after="0" w:line="205" w:lineRule="auto"/>
              <w:ind w:left="3692" w:right="3688"/>
              <w:jc w:val="center"/>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PERSONA JURÍDICA</w:t>
            </w:r>
          </w:p>
        </w:tc>
      </w:tr>
      <w:tr w:rsidR="00EC477B" w:rsidRPr="00EC477B" w14:paraId="0AAEA9AA" w14:textId="77777777" w:rsidTr="00FB2A3C">
        <w:trPr>
          <w:trHeight w:val="597"/>
        </w:trPr>
        <w:tc>
          <w:tcPr>
            <w:tcW w:w="1996" w:type="dxa"/>
            <w:shd w:val="clear" w:color="auto" w:fill="auto"/>
          </w:tcPr>
          <w:p w14:paraId="4658A7C9" w14:textId="77777777" w:rsidR="00EC477B" w:rsidRPr="00EC477B" w:rsidRDefault="00EC477B" w:rsidP="00EC477B">
            <w:pPr>
              <w:widowControl w:val="0"/>
              <w:pBdr>
                <w:top w:val="nil"/>
                <w:left w:val="nil"/>
                <w:bottom w:val="nil"/>
                <w:right w:val="nil"/>
                <w:between w:val="nil"/>
              </w:pBdr>
              <w:spacing w:after="0"/>
              <w:ind w:left="597" w:right="368" w:hanging="215"/>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Información a ser actualizada</w:t>
            </w:r>
          </w:p>
        </w:tc>
        <w:tc>
          <w:tcPr>
            <w:tcW w:w="2267" w:type="dxa"/>
            <w:shd w:val="clear" w:color="auto" w:fill="auto"/>
          </w:tcPr>
          <w:p w14:paraId="5229ADC0" w14:textId="77777777" w:rsidR="00EC477B" w:rsidRPr="00EC477B" w:rsidRDefault="00EC477B" w:rsidP="00EC477B">
            <w:pPr>
              <w:widowControl w:val="0"/>
              <w:pBdr>
                <w:top w:val="nil"/>
                <w:left w:val="nil"/>
                <w:bottom w:val="nil"/>
                <w:right w:val="nil"/>
                <w:between w:val="nil"/>
              </w:pBdr>
              <w:spacing w:after="0" w:line="206" w:lineRule="auto"/>
              <w:ind w:left="141" w:right="133"/>
              <w:jc w:val="center"/>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Nacional</w:t>
            </w:r>
          </w:p>
        </w:tc>
        <w:tc>
          <w:tcPr>
            <w:tcW w:w="2154" w:type="dxa"/>
            <w:shd w:val="clear" w:color="auto" w:fill="auto"/>
          </w:tcPr>
          <w:p w14:paraId="23FB6F86" w14:textId="77777777" w:rsidR="00EC477B" w:rsidRPr="00EC477B" w:rsidRDefault="00EC477B" w:rsidP="00EC477B">
            <w:pPr>
              <w:widowControl w:val="0"/>
              <w:pBdr>
                <w:top w:val="nil"/>
                <w:left w:val="nil"/>
                <w:bottom w:val="nil"/>
                <w:right w:val="nil"/>
                <w:between w:val="nil"/>
              </w:pBdr>
              <w:spacing w:after="0" w:line="206" w:lineRule="auto"/>
              <w:ind w:left="279"/>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Extranjero domiciliado</w:t>
            </w:r>
          </w:p>
        </w:tc>
        <w:tc>
          <w:tcPr>
            <w:tcW w:w="2380" w:type="dxa"/>
            <w:shd w:val="clear" w:color="auto" w:fill="auto"/>
          </w:tcPr>
          <w:p w14:paraId="7FF23A2C" w14:textId="77777777" w:rsidR="00EC477B" w:rsidRPr="00EC477B" w:rsidRDefault="00EC477B" w:rsidP="00EC477B">
            <w:pPr>
              <w:widowControl w:val="0"/>
              <w:pBdr>
                <w:top w:val="nil"/>
                <w:left w:val="nil"/>
                <w:bottom w:val="nil"/>
                <w:right w:val="nil"/>
                <w:between w:val="nil"/>
              </w:pBdr>
              <w:spacing w:after="0" w:line="206" w:lineRule="auto"/>
              <w:ind w:left="282"/>
              <w:rPr>
                <w:rFonts w:ascii="Calibri" w:eastAsia="Calibri" w:hAnsi="Calibri" w:cs="Times New Roman"/>
                <w:b/>
                <w:color w:val="000000"/>
                <w:kern w:val="0"/>
                <w:sz w:val="17"/>
                <w:szCs w:val="17"/>
                <w:lang w:eastAsia="es-PE"/>
                <w14:ligatures w14:val="none"/>
              </w:rPr>
            </w:pPr>
            <w:r w:rsidRPr="00EC477B">
              <w:rPr>
                <w:rFonts w:ascii="Calibri" w:eastAsia="Calibri" w:hAnsi="Calibri" w:cs="Times New Roman"/>
                <w:b/>
                <w:color w:val="221F1F"/>
                <w:kern w:val="0"/>
                <w:sz w:val="17"/>
                <w:szCs w:val="17"/>
                <w:lang w:eastAsia="es-PE"/>
                <w14:ligatures w14:val="none"/>
              </w:rPr>
              <w:t>Extranjero no domiciliado</w:t>
            </w:r>
          </w:p>
        </w:tc>
      </w:tr>
      <w:tr w:rsidR="00EC477B" w:rsidRPr="00EC477B" w14:paraId="4F00AC4D" w14:textId="77777777" w:rsidTr="00FB2A3C">
        <w:trPr>
          <w:trHeight w:val="595"/>
        </w:trPr>
        <w:tc>
          <w:tcPr>
            <w:tcW w:w="1996" w:type="dxa"/>
            <w:shd w:val="clear" w:color="auto" w:fill="auto"/>
          </w:tcPr>
          <w:p w14:paraId="69AFA603" w14:textId="77777777" w:rsidR="00EC477B" w:rsidRPr="00EC477B" w:rsidRDefault="00EC477B" w:rsidP="00EC477B">
            <w:pPr>
              <w:widowControl w:val="0"/>
              <w:pBdr>
                <w:top w:val="nil"/>
                <w:left w:val="nil"/>
                <w:bottom w:val="nil"/>
                <w:right w:val="nil"/>
                <w:between w:val="nil"/>
              </w:pBdr>
              <w:spacing w:after="0" w:line="205" w:lineRule="auto"/>
              <w:ind w:left="101"/>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Condición en la SUNAT</w:t>
            </w:r>
          </w:p>
        </w:tc>
        <w:tc>
          <w:tcPr>
            <w:tcW w:w="4421" w:type="dxa"/>
            <w:gridSpan w:val="2"/>
            <w:shd w:val="clear" w:color="auto" w:fill="auto"/>
          </w:tcPr>
          <w:p w14:paraId="1280B754" w14:textId="77777777" w:rsidR="00EC477B" w:rsidRPr="00EC477B" w:rsidRDefault="00EC477B" w:rsidP="00EC477B">
            <w:pPr>
              <w:widowControl w:val="0"/>
              <w:pBdr>
                <w:top w:val="nil"/>
                <w:left w:val="nil"/>
                <w:bottom w:val="nil"/>
                <w:right w:val="nil"/>
                <w:between w:val="nil"/>
              </w:pBdr>
              <w:spacing w:after="0"/>
              <w:ind w:left="101" w:right="190"/>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con la condición de activo, habido u otros, ante la SUNAT.</w:t>
            </w:r>
          </w:p>
        </w:tc>
        <w:tc>
          <w:tcPr>
            <w:tcW w:w="2380" w:type="dxa"/>
            <w:shd w:val="clear" w:color="auto" w:fill="auto"/>
          </w:tcPr>
          <w:p w14:paraId="6F05DD1E"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r>
      <w:tr w:rsidR="00EC477B" w:rsidRPr="00EC477B" w14:paraId="1300CE61" w14:textId="77777777" w:rsidTr="00FB2A3C">
        <w:trPr>
          <w:trHeight w:val="2232"/>
        </w:trPr>
        <w:tc>
          <w:tcPr>
            <w:tcW w:w="1996" w:type="dxa"/>
            <w:shd w:val="clear" w:color="auto" w:fill="auto"/>
          </w:tcPr>
          <w:p w14:paraId="67DEEF18" w14:textId="77777777" w:rsidR="00EC477B" w:rsidRPr="00EC477B" w:rsidRDefault="00EC477B" w:rsidP="00EC477B">
            <w:pPr>
              <w:widowControl w:val="0"/>
              <w:pBdr>
                <w:top w:val="nil"/>
                <w:left w:val="nil"/>
                <w:bottom w:val="nil"/>
                <w:right w:val="nil"/>
                <w:between w:val="nil"/>
              </w:pBdr>
              <w:spacing w:after="0"/>
              <w:ind w:left="101" w:right="321"/>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lastRenderedPageBreak/>
              <w:t>Denominación o razón social</w:t>
            </w:r>
          </w:p>
        </w:tc>
        <w:tc>
          <w:tcPr>
            <w:tcW w:w="4421" w:type="dxa"/>
            <w:gridSpan w:val="2"/>
            <w:shd w:val="clear" w:color="auto" w:fill="auto"/>
          </w:tcPr>
          <w:p w14:paraId="6E8765D9"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5B5B38E1"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55A2041A"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438436A8"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4231A35F"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05555346" w14:textId="77777777" w:rsidR="00EC477B" w:rsidRPr="00EC477B" w:rsidRDefault="00EC477B" w:rsidP="00EC477B">
            <w:pPr>
              <w:widowControl w:val="0"/>
              <w:pBdr>
                <w:top w:val="nil"/>
                <w:left w:val="nil"/>
                <w:bottom w:val="nil"/>
                <w:right w:val="nil"/>
                <w:between w:val="nil"/>
              </w:pBdr>
              <w:spacing w:before="143" w:after="0" w:line="240" w:lineRule="auto"/>
              <w:ind w:left="426"/>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ante la SUNARP y la SUNAT.</w:t>
            </w:r>
          </w:p>
        </w:tc>
        <w:tc>
          <w:tcPr>
            <w:tcW w:w="2380" w:type="dxa"/>
            <w:shd w:val="clear" w:color="auto" w:fill="auto"/>
          </w:tcPr>
          <w:p w14:paraId="35685D27" w14:textId="77777777" w:rsidR="00EC477B" w:rsidRPr="00EC477B" w:rsidRDefault="00EC477B" w:rsidP="00EC477B">
            <w:pPr>
              <w:widowControl w:val="0"/>
              <w:pBdr>
                <w:top w:val="nil"/>
                <w:left w:val="nil"/>
                <w:bottom w:val="nil"/>
                <w:right w:val="nil"/>
                <w:between w:val="nil"/>
              </w:pBdr>
              <w:spacing w:after="0"/>
              <w:ind w:left="101" w:right="93"/>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Copia del documento oficial emitido por autoridad registral, institución o autoridad competente en su país de origen, o, en su defecto, copia de la escritura pública, donde conste su inscripción ante entidad similar a Registros Públicos    o    ante    autoridad</w:t>
            </w:r>
          </w:p>
          <w:p w14:paraId="7FCA67E6" w14:textId="77777777" w:rsidR="00EC477B" w:rsidRPr="00EC477B" w:rsidRDefault="00EC477B" w:rsidP="00EC477B">
            <w:pPr>
              <w:widowControl w:val="0"/>
              <w:pBdr>
                <w:top w:val="nil"/>
                <w:left w:val="nil"/>
                <w:bottom w:val="nil"/>
                <w:right w:val="nil"/>
                <w:between w:val="nil"/>
              </w:pBdr>
              <w:spacing w:after="0" w:line="197" w:lineRule="auto"/>
              <w:ind w:left="101"/>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competente   en   su   país   de</w:t>
            </w:r>
          </w:p>
        </w:tc>
      </w:tr>
    </w:tbl>
    <w:p w14:paraId="20FA2167" w14:textId="77777777" w:rsidR="00EC477B" w:rsidRPr="00EC477B" w:rsidRDefault="00EC477B" w:rsidP="00EC477B">
      <w:pPr>
        <w:jc w:val="center"/>
        <w:rPr>
          <w:rFonts w:ascii="Calibri" w:eastAsia="Calibri" w:hAnsi="Calibri" w:cs="Times New Roman"/>
          <w:kern w:val="0"/>
          <w:lang w:eastAsia="es-PE"/>
          <w14:ligatures w14:val="none"/>
        </w:rPr>
      </w:pPr>
    </w:p>
    <w:tbl>
      <w:tblPr>
        <w:tblW w:w="8797" w:type="dxa"/>
        <w:tblInd w:w="27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000" w:firstRow="0" w:lastRow="0" w:firstColumn="0" w:lastColumn="0" w:noHBand="0" w:noVBand="0"/>
      </w:tblPr>
      <w:tblGrid>
        <w:gridCol w:w="1996"/>
        <w:gridCol w:w="2267"/>
        <w:gridCol w:w="2154"/>
        <w:gridCol w:w="2380"/>
      </w:tblGrid>
      <w:tr w:rsidR="00EC477B" w:rsidRPr="00EC477B" w14:paraId="178A1B6D" w14:textId="77777777" w:rsidTr="00FB2A3C">
        <w:trPr>
          <w:trHeight w:val="373"/>
        </w:trPr>
        <w:tc>
          <w:tcPr>
            <w:tcW w:w="1996" w:type="dxa"/>
            <w:shd w:val="clear" w:color="auto" w:fill="auto"/>
          </w:tcPr>
          <w:p w14:paraId="36E02ECE"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c>
          <w:tcPr>
            <w:tcW w:w="4421" w:type="dxa"/>
            <w:gridSpan w:val="2"/>
            <w:shd w:val="clear" w:color="auto" w:fill="auto"/>
          </w:tcPr>
          <w:p w14:paraId="51706C20"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c>
          <w:tcPr>
            <w:tcW w:w="2380" w:type="dxa"/>
            <w:shd w:val="clear" w:color="auto" w:fill="auto"/>
          </w:tcPr>
          <w:p w14:paraId="60F0F8EA" w14:textId="77777777" w:rsidR="00EC477B" w:rsidRPr="00EC477B" w:rsidRDefault="00EC477B" w:rsidP="00EC477B">
            <w:pPr>
              <w:widowControl w:val="0"/>
              <w:pBdr>
                <w:top w:val="nil"/>
                <w:left w:val="nil"/>
                <w:bottom w:val="nil"/>
                <w:right w:val="nil"/>
                <w:between w:val="nil"/>
              </w:pBdr>
              <w:spacing w:after="0" w:line="205" w:lineRule="auto"/>
              <w:ind w:left="101"/>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origen.</w:t>
            </w:r>
          </w:p>
        </w:tc>
      </w:tr>
      <w:tr w:rsidR="00EC477B" w:rsidRPr="00EC477B" w14:paraId="33F0D240" w14:textId="77777777" w:rsidTr="00FB2A3C">
        <w:trPr>
          <w:trHeight w:val="1322"/>
        </w:trPr>
        <w:tc>
          <w:tcPr>
            <w:tcW w:w="1996"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284AE616" w14:textId="77777777" w:rsidR="00EC477B" w:rsidRPr="00EC477B" w:rsidRDefault="00EC477B" w:rsidP="00EC477B">
            <w:pPr>
              <w:widowControl w:val="0"/>
              <w:pBdr>
                <w:top w:val="nil"/>
                <w:left w:val="nil"/>
                <w:bottom w:val="nil"/>
                <w:right w:val="nil"/>
                <w:between w:val="nil"/>
              </w:pBdr>
              <w:spacing w:after="0" w:line="205" w:lineRule="auto"/>
              <w:ind w:left="101"/>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Domicilio fiscal</w:t>
            </w:r>
          </w:p>
        </w:tc>
        <w:tc>
          <w:tcPr>
            <w:tcW w:w="4421" w:type="dxa"/>
            <w:gridSpan w:val="2"/>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5C69AA64" w14:textId="77777777" w:rsidR="00EC477B" w:rsidRPr="00EC477B" w:rsidRDefault="00EC477B" w:rsidP="00EC477B">
            <w:pPr>
              <w:widowControl w:val="0"/>
              <w:pBdr>
                <w:top w:val="nil"/>
                <w:left w:val="nil"/>
                <w:bottom w:val="nil"/>
                <w:right w:val="nil"/>
                <w:between w:val="nil"/>
              </w:pBdr>
              <w:spacing w:after="0" w:line="240" w:lineRule="auto"/>
              <w:rPr>
                <w:rFonts w:ascii="Calibri" w:eastAsia="Calibri" w:hAnsi="Calibri" w:cs="Times New Roman"/>
                <w:b/>
                <w:color w:val="000000"/>
                <w:kern w:val="0"/>
                <w:sz w:val="16"/>
                <w:szCs w:val="16"/>
                <w:lang w:eastAsia="es-PE"/>
                <w14:ligatures w14:val="none"/>
              </w:rPr>
            </w:pPr>
          </w:p>
          <w:p w14:paraId="5CBA9458" w14:textId="77777777" w:rsidR="00EC477B" w:rsidRPr="00EC477B" w:rsidRDefault="00EC477B" w:rsidP="00EC477B">
            <w:pPr>
              <w:widowControl w:val="0"/>
              <w:pBdr>
                <w:top w:val="nil"/>
                <w:left w:val="nil"/>
                <w:bottom w:val="nil"/>
                <w:right w:val="nil"/>
                <w:between w:val="nil"/>
              </w:pBdr>
              <w:spacing w:before="4" w:after="0" w:line="240" w:lineRule="auto"/>
              <w:rPr>
                <w:rFonts w:ascii="Calibri" w:eastAsia="Calibri" w:hAnsi="Calibri" w:cs="Times New Roman"/>
                <w:b/>
                <w:color w:val="000000"/>
                <w:kern w:val="0"/>
                <w:sz w:val="14"/>
                <w:szCs w:val="14"/>
                <w:lang w:eastAsia="es-PE"/>
                <w14:ligatures w14:val="none"/>
              </w:rPr>
            </w:pPr>
          </w:p>
          <w:p w14:paraId="7CD9E1E3" w14:textId="77777777" w:rsidR="00EC477B" w:rsidRPr="00EC477B" w:rsidRDefault="00EC477B" w:rsidP="00EC477B">
            <w:pPr>
              <w:widowControl w:val="0"/>
              <w:pBdr>
                <w:top w:val="nil"/>
                <w:left w:val="nil"/>
                <w:bottom w:val="nil"/>
                <w:right w:val="nil"/>
                <w:between w:val="nil"/>
              </w:pBdr>
              <w:spacing w:after="0" w:line="240" w:lineRule="auto"/>
              <w:ind w:left="869"/>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ante la SUNAT.</w:t>
            </w:r>
          </w:p>
        </w:tc>
        <w:tc>
          <w:tcPr>
            <w:tcW w:w="2380"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4DBBAD36" w14:textId="77777777" w:rsidR="00EC477B" w:rsidRPr="00EC477B" w:rsidRDefault="00EC477B" w:rsidP="00EC477B">
            <w:pPr>
              <w:widowControl w:val="0"/>
              <w:pBdr>
                <w:top w:val="nil"/>
                <w:left w:val="nil"/>
                <w:bottom w:val="nil"/>
                <w:right w:val="nil"/>
                <w:between w:val="nil"/>
              </w:pBdr>
              <w:spacing w:after="0" w:line="256" w:lineRule="auto"/>
              <w:ind w:left="101" w:right="93"/>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Copia del documento oficial expedido por la autoridad competente en su país de origen.</w:t>
            </w:r>
          </w:p>
        </w:tc>
      </w:tr>
      <w:tr w:rsidR="00EC477B" w:rsidRPr="00EC477B" w14:paraId="2F6B318C" w14:textId="77777777" w:rsidTr="00FB2A3C">
        <w:trPr>
          <w:trHeight w:val="3273"/>
        </w:trPr>
        <w:tc>
          <w:tcPr>
            <w:tcW w:w="1996" w:type="dxa"/>
            <w:shd w:val="clear" w:color="auto" w:fill="auto"/>
          </w:tcPr>
          <w:p w14:paraId="38BEAEBA" w14:textId="77777777" w:rsidR="00EC477B" w:rsidRPr="00EC477B" w:rsidRDefault="00EC477B" w:rsidP="00EC477B">
            <w:pPr>
              <w:widowControl w:val="0"/>
              <w:pBdr>
                <w:top w:val="nil"/>
                <w:left w:val="nil"/>
                <w:bottom w:val="nil"/>
                <w:right w:val="nil"/>
                <w:between w:val="nil"/>
              </w:pBdr>
              <w:spacing w:after="0" w:line="256" w:lineRule="auto"/>
              <w:ind w:left="101" w:right="150"/>
              <w:rPr>
                <w:rFonts w:ascii="Calibri" w:eastAsia="Calibri" w:hAnsi="Calibri" w:cs="Times New Roman"/>
                <w:color w:val="000000"/>
                <w:kern w:val="0"/>
                <w:sz w:val="17"/>
                <w:szCs w:val="17"/>
                <w:lang w:eastAsia="es-PE"/>
                <w14:ligatures w14:val="none"/>
              </w:rPr>
            </w:pPr>
            <w:commentRangeStart w:id="0"/>
            <w:commentRangeStart w:id="1"/>
            <w:r w:rsidRPr="00EC477B">
              <w:rPr>
                <w:rFonts w:ascii="Calibri" w:eastAsia="Calibri" w:hAnsi="Calibri" w:cs="Times New Roman"/>
                <w:color w:val="221F1F"/>
                <w:kern w:val="0"/>
                <w:sz w:val="17"/>
                <w:szCs w:val="17"/>
                <w:lang w:eastAsia="es-PE"/>
                <w14:ligatures w14:val="none"/>
              </w:rPr>
              <w:t xml:space="preserve">Capital social suscrito </w:t>
            </w:r>
            <w:commentRangeEnd w:id="0"/>
            <w:r w:rsidRPr="00EC477B">
              <w:rPr>
                <w:rFonts w:ascii="Calibri" w:eastAsia="Calibri" w:hAnsi="Calibri" w:cs="Times New Roman"/>
                <w:kern w:val="0"/>
                <w:lang w:eastAsia="es-PE"/>
                <w14:ligatures w14:val="none"/>
              </w:rPr>
              <w:commentReference w:id="0"/>
            </w:r>
            <w:commentRangeEnd w:id="1"/>
            <w:r w:rsidRPr="00EC477B">
              <w:rPr>
                <w:rFonts w:ascii="Times New Roman" w:eastAsia="Times New Roman" w:hAnsi="Times New Roman" w:cs="Times New Roman"/>
                <w:kern w:val="0"/>
                <w:sz w:val="16"/>
                <w:szCs w:val="16"/>
                <w:lang w:eastAsia="es-PE"/>
                <w14:ligatures w14:val="none"/>
              </w:rPr>
              <w:commentReference w:id="1"/>
            </w:r>
            <w:r w:rsidRPr="00EC477B">
              <w:rPr>
                <w:rFonts w:ascii="Calibri" w:eastAsia="Calibri" w:hAnsi="Calibri" w:cs="Times New Roman"/>
                <w:color w:val="221F1F"/>
                <w:kern w:val="0"/>
                <w:sz w:val="17"/>
                <w:szCs w:val="17"/>
                <w:lang w:eastAsia="es-PE"/>
                <w14:ligatures w14:val="none"/>
              </w:rPr>
              <w:t xml:space="preserve">y pagado, número total de acciones o participaciones, valor nominal, objeto social, fecha de designación de los miembros de los órganos de administración, representante legal, apoderado y fecha de adquisición de la condición de socio, </w:t>
            </w:r>
            <w:proofErr w:type="spellStart"/>
            <w:r w:rsidRPr="00EC477B">
              <w:rPr>
                <w:rFonts w:ascii="Calibri" w:eastAsia="Calibri" w:hAnsi="Calibri" w:cs="Times New Roman"/>
                <w:color w:val="221F1F"/>
                <w:kern w:val="0"/>
                <w:sz w:val="17"/>
                <w:szCs w:val="17"/>
                <w:lang w:eastAsia="es-PE"/>
                <w14:ligatures w14:val="none"/>
              </w:rPr>
              <w:t>participacionista</w:t>
            </w:r>
            <w:proofErr w:type="spellEnd"/>
            <w:r w:rsidRPr="00EC477B">
              <w:rPr>
                <w:rFonts w:ascii="Calibri" w:eastAsia="Calibri" w:hAnsi="Calibri" w:cs="Times New Roman"/>
                <w:color w:val="221F1F"/>
                <w:kern w:val="0"/>
                <w:sz w:val="17"/>
                <w:szCs w:val="17"/>
                <w:lang w:eastAsia="es-PE"/>
                <w14:ligatures w14:val="none"/>
              </w:rPr>
              <w:t xml:space="preserve"> o titular</w:t>
            </w:r>
          </w:p>
        </w:tc>
        <w:tc>
          <w:tcPr>
            <w:tcW w:w="2267" w:type="dxa"/>
            <w:shd w:val="clear" w:color="auto" w:fill="auto"/>
          </w:tcPr>
          <w:p w14:paraId="0641E85F" w14:textId="77777777" w:rsidR="00EC477B" w:rsidRPr="00EC477B" w:rsidRDefault="00EC477B" w:rsidP="00EC477B">
            <w:pPr>
              <w:widowControl w:val="0"/>
              <w:pBdr>
                <w:top w:val="nil"/>
                <w:left w:val="nil"/>
                <w:bottom w:val="nil"/>
                <w:right w:val="nil"/>
                <w:between w:val="nil"/>
              </w:pBdr>
              <w:tabs>
                <w:tab w:val="left" w:pos="681"/>
                <w:tab w:val="left" w:pos="1755"/>
              </w:tabs>
              <w:spacing w:after="0" w:line="256" w:lineRule="auto"/>
              <w:ind w:left="101" w:right="91"/>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000000"/>
                <w:kern w:val="0"/>
                <w:sz w:val="17"/>
                <w:szCs w:val="17"/>
                <w:lang w:eastAsia="es-PE"/>
                <w14:ligatures w14:val="none"/>
              </w:rPr>
              <w:t>Previamente registrado ante la</w:t>
            </w:r>
            <w:r w:rsidRPr="00EC477B">
              <w:rPr>
                <w:rFonts w:ascii="Times New Roman" w:eastAsia="Times New Roman" w:hAnsi="Times New Roman" w:cs="Times New Roman"/>
                <w:color w:val="000000"/>
                <w:kern w:val="0"/>
                <w:sz w:val="17"/>
                <w:szCs w:val="17"/>
                <w:lang w:eastAsia="es-PE"/>
                <w14:ligatures w14:val="none"/>
              </w:rPr>
              <w:tab/>
            </w:r>
            <w:r w:rsidRPr="00EC477B">
              <w:rPr>
                <w:rFonts w:ascii="Calibri" w:eastAsia="Calibri" w:hAnsi="Calibri" w:cs="Times New Roman"/>
                <w:color w:val="000000"/>
                <w:kern w:val="0"/>
                <w:sz w:val="17"/>
                <w:szCs w:val="17"/>
                <w:lang w:eastAsia="es-PE"/>
                <w14:ligatures w14:val="none"/>
              </w:rPr>
              <w:t>SUNARP,</w:t>
            </w:r>
            <w:r w:rsidRPr="00EC477B">
              <w:rPr>
                <w:rFonts w:ascii="Times New Roman" w:eastAsia="Times New Roman" w:hAnsi="Times New Roman" w:cs="Times New Roman"/>
                <w:color w:val="000000"/>
                <w:kern w:val="0"/>
                <w:sz w:val="17"/>
                <w:szCs w:val="17"/>
                <w:lang w:eastAsia="es-PE"/>
                <w14:ligatures w14:val="none"/>
              </w:rPr>
              <w:tab/>
            </w:r>
            <w:r w:rsidRPr="00EC477B">
              <w:rPr>
                <w:rFonts w:ascii="Calibri" w:eastAsia="Calibri" w:hAnsi="Calibri" w:cs="Times New Roman"/>
                <w:color w:val="000000"/>
                <w:kern w:val="0"/>
                <w:sz w:val="17"/>
                <w:szCs w:val="17"/>
                <w:lang w:eastAsia="es-PE"/>
                <w14:ligatures w14:val="none"/>
              </w:rPr>
              <w:t>según corresponda.</w:t>
            </w:r>
          </w:p>
          <w:p w14:paraId="297C2CFA" w14:textId="77777777" w:rsidR="00EC477B" w:rsidRPr="00EC477B" w:rsidRDefault="00EC477B" w:rsidP="00EC477B">
            <w:pPr>
              <w:widowControl w:val="0"/>
              <w:pBdr>
                <w:top w:val="nil"/>
                <w:left w:val="nil"/>
                <w:bottom w:val="nil"/>
                <w:right w:val="nil"/>
                <w:between w:val="nil"/>
              </w:pBdr>
              <w:tabs>
                <w:tab w:val="left" w:pos="681"/>
                <w:tab w:val="left" w:pos="1755"/>
              </w:tabs>
              <w:spacing w:after="0" w:line="256" w:lineRule="auto"/>
              <w:ind w:left="101" w:right="91"/>
              <w:jc w:val="both"/>
              <w:rPr>
                <w:rFonts w:ascii="Calibri" w:eastAsia="Calibri" w:hAnsi="Calibri" w:cs="Times New Roman"/>
                <w:color w:val="000000"/>
                <w:kern w:val="0"/>
                <w:sz w:val="17"/>
                <w:szCs w:val="17"/>
                <w:lang w:eastAsia="es-PE"/>
                <w14:ligatures w14:val="none"/>
              </w:rPr>
            </w:pPr>
          </w:p>
          <w:p w14:paraId="1BD62998" w14:textId="77777777" w:rsidR="00EC477B" w:rsidRPr="00EC477B" w:rsidRDefault="00EC477B" w:rsidP="00EC477B">
            <w:pPr>
              <w:widowControl w:val="0"/>
              <w:pBdr>
                <w:top w:val="nil"/>
                <w:left w:val="nil"/>
                <w:bottom w:val="nil"/>
                <w:right w:val="nil"/>
                <w:between w:val="nil"/>
              </w:pBdr>
              <w:tabs>
                <w:tab w:val="left" w:pos="681"/>
                <w:tab w:val="left" w:pos="1755"/>
              </w:tabs>
              <w:spacing w:after="0" w:line="256" w:lineRule="auto"/>
              <w:ind w:left="101" w:right="91"/>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000000"/>
                <w:kern w:val="0"/>
                <w:sz w:val="17"/>
                <w:szCs w:val="17"/>
                <w:lang w:eastAsia="es-PE"/>
                <w14:ligatures w14:val="none"/>
              </w:rPr>
              <w:t>La persona jurídica que por su tipo societario no se encuentre obligada a inscribir en Registros Públicos su distribución accionaria presenta copia simple del libro de matrícula de acciones y su hoja de apertura debidamente legalizada o escritura pública o acta de la Junta General de Accionistas de la empresa donde figure dicha información, según corresponda, en la cual figuran sus socios, así como el número de acciones que le corresponde a cada uno de ellos y su fecha de ingreso.</w:t>
            </w:r>
          </w:p>
        </w:tc>
        <w:tc>
          <w:tcPr>
            <w:tcW w:w="4534" w:type="dxa"/>
            <w:gridSpan w:val="2"/>
            <w:shd w:val="clear" w:color="auto" w:fill="auto"/>
          </w:tcPr>
          <w:p w14:paraId="02067D98" w14:textId="77777777" w:rsidR="00EC477B" w:rsidRPr="00EC477B" w:rsidRDefault="00EC477B" w:rsidP="00EC477B">
            <w:pPr>
              <w:widowControl w:val="0"/>
              <w:pBdr>
                <w:top w:val="nil"/>
                <w:left w:val="nil"/>
                <w:bottom w:val="nil"/>
                <w:right w:val="nil"/>
                <w:between w:val="nil"/>
              </w:pBdr>
              <w:spacing w:after="0" w:line="256" w:lineRule="auto"/>
              <w:ind w:left="101" w:right="92"/>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000000"/>
                <w:kern w:val="0"/>
                <w:sz w:val="17"/>
                <w:szCs w:val="17"/>
                <w:lang w:eastAsia="es-PE"/>
                <w14:ligatures w14:val="none"/>
              </w:rPr>
              <w:t>Copia del documento oficial emitido por autoridad registral, institución o autoridad competente en su país de origen, o, en su defecto, copia de la escritura pública, donde conste su inscripción ante entidad similar a Registros Públicos o ante autoridad competente en su país de origen.</w:t>
            </w:r>
          </w:p>
          <w:p w14:paraId="4E0CEDBC" w14:textId="77777777" w:rsidR="00EC477B" w:rsidRPr="00EC477B" w:rsidRDefault="00EC477B" w:rsidP="00EC477B">
            <w:pPr>
              <w:widowControl w:val="0"/>
              <w:pBdr>
                <w:top w:val="nil"/>
                <w:left w:val="nil"/>
                <w:bottom w:val="nil"/>
                <w:right w:val="nil"/>
                <w:between w:val="nil"/>
              </w:pBdr>
              <w:spacing w:after="0" w:line="256" w:lineRule="auto"/>
              <w:ind w:left="101" w:right="92"/>
              <w:jc w:val="both"/>
              <w:rPr>
                <w:rFonts w:ascii="Calibri" w:eastAsia="Calibri" w:hAnsi="Calibri" w:cs="Times New Roman"/>
                <w:color w:val="000000"/>
                <w:kern w:val="0"/>
                <w:sz w:val="17"/>
                <w:szCs w:val="17"/>
                <w:lang w:eastAsia="es-PE"/>
                <w14:ligatures w14:val="none"/>
              </w:rPr>
            </w:pPr>
          </w:p>
          <w:p w14:paraId="61092402" w14:textId="77777777" w:rsidR="00EC477B" w:rsidRPr="00EC477B" w:rsidRDefault="00EC477B" w:rsidP="00EC477B">
            <w:pPr>
              <w:widowControl w:val="0"/>
              <w:pBdr>
                <w:top w:val="nil"/>
                <w:left w:val="nil"/>
                <w:bottom w:val="nil"/>
                <w:right w:val="nil"/>
                <w:between w:val="nil"/>
              </w:pBdr>
              <w:spacing w:after="0" w:line="256" w:lineRule="auto"/>
              <w:ind w:left="101" w:right="92"/>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000000"/>
                <w:kern w:val="0"/>
                <w:sz w:val="17"/>
                <w:szCs w:val="17"/>
                <w:lang w:eastAsia="es-PE"/>
                <w14:ligatures w14:val="none"/>
              </w:rPr>
              <w:t>Cuando el documento emitido por la autoridad registral en su país de origen no acredite la distribución de acciones y/o la fecha de ingreso de los socios, deberá presentar copia del documento similar al libro de matrícula de acciones y su hoja donde conste la legalización de la apertura del libro o escritura pública o acta de la Junta General de Accionistas de la empresa donde figure dicha información, según corresponda. Excepcionalmente, cuando el país de origen no expida los instrumentos antes mencionados, puede presentar documento emitido por el órgano de administración que cuente con facultades para realizar dichas declaraciones.</w:t>
            </w:r>
          </w:p>
          <w:p w14:paraId="36B741FC" w14:textId="77777777" w:rsidR="00EC477B" w:rsidRPr="00EC477B" w:rsidRDefault="00EC477B" w:rsidP="00EC477B">
            <w:pPr>
              <w:widowControl w:val="0"/>
              <w:pBdr>
                <w:top w:val="nil"/>
                <w:left w:val="nil"/>
                <w:bottom w:val="nil"/>
                <w:right w:val="nil"/>
                <w:between w:val="nil"/>
              </w:pBdr>
              <w:spacing w:after="0" w:line="256" w:lineRule="auto"/>
              <w:ind w:left="101" w:right="92"/>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000000"/>
                <w:kern w:val="0"/>
                <w:sz w:val="17"/>
                <w:szCs w:val="17"/>
                <w:lang w:eastAsia="es-PE"/>
                <w14:ligatures w14:val="none"/>
              </w:rPr>
              <w:t>Cuando las acciones sean cotizadas en bolsa, para efectos de acreditar a los socios, fecha de ingreso y distribución de acciones, presenta copia del certificado que emite el organismo pertinente (bolsa de valores) o documento suscrito por el órgano de administración que cuente con facultades para realizar dichas declaraciones.</w:t>
            </w:r>
          </w:p>
        </w:tc>
      </w:tr>
      <w:tr w:rsidR="00EC477B" w:rsidRPr="00EC477B" w14:paraId="75A8DFB2" w14:textId="77777777" w:rsidTr="00FB2A3C">
        <w:trPr>
          <w:trHeight w:val="2085"/>
        </w:trPr>
        <w:tc>
          <w:tcPr>
            <w:tcW w:w="1996" w:type="dxa"/>
            <w:shd w:val="clear" w:color="auto" w:fill="auto"/>
          </w:tcPr>
          <w:p w14:paraId="3E5888E6" w14:textId="77777777" w:rsidR="00EC477B" w:rsidRPr="00EC477B" w:rsidRDefault="00EC477B" w:rsidP="00EC477B">
            <w:pPr>
              <w:widowControl w:val="0"/>
              <w:pBdr>
                <w:top w:val="nil"/>
                <w:left w:val="nil"/>
                <w:bottom w:val="nil"/>
                <w:right w:val="nil"/>
                <w:between w:val="nil"/>
              </w:pBdr>
              <w:spacing w:after="0" w:line="256" w:lineRule="auto"/>
              <w:ind w:left="101" w:right="129"/>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Variación de persona jurídica extranjera domiciliada (sucursal) a persona jurídica extranjera no domiciliada</w:t>
            </w:r>
          </w:p>
        </w:tc>
        <w:tc>
          <w:tcPr>
            <w:tcW w:w="2267" w:type="dxa"/>
            <w:shd w:val="clear" w:color="auto" w:fill="auto"/>
          </w:tcPr>
          <w:p w14:paraId="6588AC81"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c>
          <w:tcPr>
            <w:tcW w:w="2154" w:type="dxa"/>
            <w:shd w:val="clear" w:color="auto" w:fill="auto"/>
          </w:tcPr>
          <w:p w14:paraId="474EBF9B" w14:textId="77777777" w:rsidR="00EC477B" w:rsidRPr="00EC477B" w:rsidRDefault="00EC477B" w:rsidP="00EC477B">
            <w:pPr>
              <w:widowControl w:val="0"/>
              <w:pBdr>
                <w:top w:val="nil"/>
                <w:left w:val="nil"/>
                <w:bottom w:val="nil"/>
                <w:right w:val="nil"/>
                <w:between w:val="nil"/>
              </w:pBdr>
              <w:tabs>
                <w:tab w:val="left" w:pos="1839"/>
              </w:tabs>
              <w:spacing w:after="0"/>
              <w:ind w:left="101" w:right="91"/>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inscrito en la SUNARP la extinción de la sucursal en el Perú y el nombramiento</w:t>
            </w:r>
            <w:r w:rsidRPr="00EC477B">
              <w:rPr>
                <w:rFonts w:ascii="Times New Roman" w:eastAsia="Times New Roman" w:hAnsi="Times New Roman" w:cs="Times New Roman"/>
                <w:color w:val="221F1F"/>
                <w:kern w:val="0"/>
                <w:sz w:val="17"/>
                <w:szCs w:val="17"/>
                <w:lang w:eastAsia="es-PE"/>
                <w14:ligatures w14:val="none"/>
              </w:rPr>
              <w:tab/>
            </w:r>
            <w:r w:rsidRPr="00EC477B">
              <w:rPr>
                <w:rFonts w:ascii="Calibri" w:eastAsia="Calibri" w:hAnsi="Calibri" w:cs="Times New Roman"/>
                <w:color w:val="221F1F"/>
                <w:kern w:val="0"/>
                <w:sz w:val="17"/>
                <w:szCs w:val="17"/>
                <w:lang w:eastAsia="es-PE"/>
                <w14:ligatures w14:val="none"/>
              </w:rPr>
              <w:t>del representante legal o apoderado en Perú de la matriz.</w:t>
            </w:r>
          </w:p>
        </w:tc>
        <w:tc>
          <w:tcPr>
            <w:tcW w:w="2380" w:type="dxa"/>
            <w:shd w:val="clear" w:color="auto" w:fill="auto"/>
          </w:tcPr>
          <w:p w14:paraId="331988FB"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r>
      <w:tr w:rsidR="00EC477B" w:rsidRPr="00EC477B" w14:paraId="79737FEB" w14:textId="77777777" w:rsidTr="00FB2A3C">
        <w:trPr>
          <w:trHeight w:val="1263"/>
        </w:trPr>
        <w:tc>
          <w:tcPr>
            <w:tcW w:w="1996" w:type="dxa"/>
            <w:shd w:val="clear" w:color="auto" w:fill="auto"/>
          </w:tcPr>
          <w:p w14:paraId="6A9A99AF" w14:textId="77777777" w:rsidR="00EC477B" w:rsidRPr="00EC477B" w:rsidRDefault="00EC477B" w:rsidP="00EC477B">
            <w:pPr>
              <w:widowControl w:val="0"/>
              <w:pBdr>
                <w:top w:val="nil"/>
                <w:left w:val="nil"/>
                <w:bottom w:val="nil"/>
                <w:right w:val="nil"/>
                <w:between w:val="nil"/>
              </w:pBdr>
              <w:spacing w:after="0" w:line="256" w:lineRule="auto"/>
              <w:ind w:left="101" w:right="363"/>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Variación de persona jurídica extranjera no domiciliada a persona jurídica extranjera domiciliada (sucursal)</w:t>
            </w:r>
          </w:p>
        </w:tc>
        <w:tc>
          <w:tcPr>
            <w:tcW w:w="2267" w:type="dxa"/>
            <w:shd w:val="clear" w:color="auto" w:fill="auto"/>
          </w:tcPr>
          <w:p w14:paraId="4806CFAD"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c>
          <w:tcPr>
            <w:tcW w:w="2154" w:type="dxa"/>
            <w:shd w:val="clear" w:color="auto" w:fill="auto"/>
          </w:tcPr>
          <w:p w14:paraId="4859F86A"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c>
          <w:tcPr>
            <w:tcW w:w="2380" w:type="dxa"/>
            <w:shd w:val="clear" w:color="auto" w:fill="auto"/>
          </w:tcPr>
          <w:p w14:paraId="3E9BC8CF" w14:textId="77777777" w:rsidR="00EC477B" w:rsidRPr="00EC477B" w:rsidRDefault="00EC477B" w:rsidP="00EC477B">
            <w:pPr>
              <w:widowControl w:val="0"/>
              <w:pBdr>
                <w:top w:val="nil"/>
                <w:left w:val="nil"/>
                <w:bottom w:val="nil"/>
                <w:right w:val="nil"/>
                <w:between w:val="nil"/>
              </w:pBdr>
              <w:spacing w:after="0" w:line="256" w:lineRule="auto"/>
              <w:ind w:left="101" w:right="91"/>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constituido como sucursal con la designación de su representante legal, y estar debidamente registrado como tal en la SUNARP y la SUNAT.</w:t>
            </w:r>
          </w:p>
        </w:tc>
      </w:tr>
      <w:tr w:rsidR="00EC477B" w:rsidRPr="00EC477B" w14:paraId="1CA0E45B" w14:textId="77777777" w:rsidTr="00FB2A3C">
        <w:trPr>
          <w:trHeight w:val="1044"/>
        </w:trPr>
        <w:tc>
          <w:tcPr>
            <w:tcW w:w="1996" w:type="dxa"/>
            <w:shd w:val="clear" w:color="auto" w:fill="auto"/>
          </w:tcPr>
          <w:p w14:paraId="5EFF4897" w14:textId="77777777" w:rsidR="00EC477B" w:rsidRPr="00EC477B" w:rsidRDefault="00EC477B" w:rsidP="00EC477B">
            <w:pPr>
              <w:widowControl w:val="0"/>
              <w:pBdr>
                <w:top w:val="nil"/>
                <w:left w:val="nil"/>
                <w:bottom w:val="nil"/>
                <w:right w:val="nil"/>
                <w:between w:val="nil"/>
              </w:pBdr>
              <w:spacing w:after="0" w:line="256" w:lineRule="auto"/>
              <w:ind w:left="101" w:right="189"/>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Representante legal y/o apoderado en el Perú de la persona jurídica extranjera</w:t>
            </w:r>
          </w:p>
        </w:tc>
        <w:tc>
          <w:tcPr>
            <w:tcW w:w="2267" w:type="dxa"/>
            <w:shd w:val="clear" w:color="auto" w:fill="auto"/>
          </w:tcPr>
          <w:p w14:paraId="0290AA31" w14:textId="77777777" w:rsidR="00EC477B" w:rsidRPr="00EC477B" w:rsidRDefault="00EC477B" w:rsidP="00EC477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16"/>
                <w:szCs w:val="16"/>
                <w:lang w:eastAsia="es-PE"/>
                <w14:ligatures w14:val="none"/>
              </w:rPr>
            </w:pPr>
          </w:p>
        </w:tc>
        <w:tc>
          <w:tcPr>
            <w:tcW w:w="4534" w:type="dxa"/>
            <w:gridSpan w:val="2"/>
            <w:shd w:val="clear" w:color="auto" w:fill="auto"/>
          </w:tcPr>
          <w:p w14:paraId="02DDCB68" w14:textId="77777777" w:rsidR="00EC477B" w:rsidRPr="00EC477B" w:rsidRDefault="00EC477B" w:rsidP="00EC477B">
            <w:pPr>
              <w:widowControl w:val="0"/>
              <w:pBdr>
                <w:top w:val="nil"/>
                <w:left w:val="nil"/>
                <w:bottom w:val="nil"/>
                <w:right w:val="nil"/>
                <w:between w:val="nil"/>
              </w:pBdr>
              <w:spacing w:after="0"/>
              <w:ind w:left="100" w:right="96"/>
              <w:jc w:val="both"/>
              <w:rPr>
                <w:rFonts w:ascii="Calibri" w:eastAsia="Calibri" w:hAnsi="Calibri" w:cs="Times New Roman"/>
                <w:color w:val="221F1F"/>
                <w:kern w:val="0"/>
                <w:sz w:val="17"/>
                <w:szCs w:val="17"/>
                <w:lang w:eastAsia="es-PE"/>
                <w14:ligatures w14:val="none"/>
              </w:rPr>
            </w:pPr>
            <w:r w:rsidRPr="00EC477B">
              <w:rPr>
                <w:rFonts w:ascii="Calibri" w:eastAsia="Calibri" w:hAnsi="Calibri" w:cs="Times New Roman"/>
                <w:color w:val="221F1F"/>
                <w:kern w:val="0"/>
                <w:sz w:val="17"/>
                <w:szCs w:val="17"/>
                <w:lang w:eastAsia="es-PE"/>
                <w14:ligatures w14:val="none"/>
              </w:rPr>
              <w:t>Previamente registrado en la SUNARP con las facultades de representación en procedimientos administrativos ante entidades públicas.</w:t>
            </w:r>
          </w:p>
          <w:p w14:paraId="11D111B4" w14:textId="77777777" w:rsidR="00EC477B" w:rsidRPr="00EC477B" w:rsidRDefault="00EC477B" w:rsidP="00EC477B">
            <w:pPr>
              <w:widowControl w:val="0"/>
              <w:pBdr>
                <w:top w:val="nil"/>
                <w:left w:val="nil"/>
                <w:bottom w:val="nil"/>
                <w:right w:val="nil"/>
                <w:between w:val="nil"/>
              </w:pBdr>
              <w:spacing w:after="0"/>
              <w:ind w:left="100" w:right="96"/>
              <w:jc w:val="both"/>
              <w:rPr>
                <w:rFonts w:ascii="Calibri" w:eastAsia="Calibri" w:hAnsi="Calibri" w:cs="Times New Roman"/>
                <w:color w:val="000000"/>
                <w:kern w:val="0"/>
                <w:sz w:val="17"/>
                <w:szCs w:val="17"/>
                <w:lang w:eastAsia="es-PE"/>
                <w14:ligatures w14:val="none"/>
              </w:rPr>
            </w:pPr>
            <w:r w:rsidRPr="00EC477B">
              <w:rPr>
                <w:rFonts w:ascii="Calibri" w:eastAsia="Calibri" w:hAnsi="Calibri" w:cs="Times New Roman"/>
                <w:color w:val="000000"/>
                <w:kern w:val="0"/>
                <w:sz w:val="17"/>
                <w:szCs w:val="17"/>
                <w:lang w:eastAsia="es-PE"/>
                <w14:ligatures w14:val="none"/>
              </w:rPr>
              <w:t xml:space="preserve">Copia de la escritura pública inscrita en Registros Públicos o </w:t>
            </w:r>
            <w:r w:rsidRPr="00EC477B">
              <w:rPr>
                <w:rFonts w:ascii="Calibri" w:eastAsia="Calibri" w:hAnsi="Calibri" w:cs="Times New Roman"/>
                <w:color w:val="000000"/>
                <w:kern w:val="0"/>
                <w:sz w:val="17"/>
                <w:szCs w:val="17"/>
                <w:lang w:eastAsia="es-PE"/>
                <w14:ligatures w14:val="none"/>
              </w:rPr>
              <w:lastRenderedPageBreak/>
              <w:t>ante autoridad competente en su país de origen o copia del documento oficial emitido por la autoridad registral, institución o autoridad competente en su país de origen, que acredite que su representante legal o apoderado cuenta con la facultad de representación en procedimientos administrativos ante entidades públicas fuera de su país de origen, en la cual debe encontrarse comprendido el Perú, cuando la persona jurídica extranjera actúe con representante legal o apoderado desde su país de origen.</w:t>
            </w:r>
          </w:p>
        </w:tc>
      </w:tr>
    </w:tbl>
    <w:p w14:paraId="63652B3A" w14:textId="77777777" w:rsidR="00EC477B" w:rsidRPr="00EC477B" w:rsidRDefault="00EC477B" w:rsidP="00EC477B">
      <w:pPr>
        <w:jc w:val="center"/>
        <w:rPr>
          <w:rFonts w:ascii="Calibri" w:eastAsia="Calibri" w:hAnsi="Calibri" w:cs="Times New Roman"/>
          <w:kern w:val="0"/>
          <w:lang w:eastAsia="es-PE"/>
          <w14:ligatures w14:val="none"/>
        </w:rPr>
      </w:pPr>
    </w:p>
    <w:p w14:paraId="3B38323A" w14:textId="77777777" w:rsidR="00EC477B" w:rsidRPr="00EC477B" w:rsidRDefault="00EC477B" w:rsidP="00EC477B">
      <w:pPr>
        <w:jc w:val="center"/>
        <w:rPr>
          <w:rFonts w:ascii="Calibri" w:eastAsia="Calibri" w:hAnsi="Calibri" w:cs="Times New Roman"/>
          <w:kern w:val="0"/>
          <w:lang w:eastAsia="es-PE"/>
          <w14:ligatures w14:val="none"/>
        </w:rPr>
      </w:pPr>
    </w:p>
    <w:p w14:paraId="12FD92CC" w14:textId="77777777" w:rsidR="005651FF" w:rsidRDefault="005651FF"/>
    <w:sectPr w:rsidR="005651FF">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isell Marylin Marin Sanchez" w:date="2025-02-10T22:35:00Z" w:initials="">
    <w:p w14:paraId="75EBB2F5" w14:textId="77777777" w:rsidR="00EC477B" w:rsidRDefault="00EC477B" w:rsidP="00EC477B">
      <w:pPr>
        <w:pStyle w:val="Textocomentario"/>
      </w:pPr>
      <w:r>
        <w:rPr>
          <w:color w:val="000000"/>
        </w:rPr>
        <w:t>Considerando lo dispuesto en el numeral 26.2 del artículo 26 del Reglamento , también se debe considerar la actualización del capital social inscrito</w:t>
      </w:r>
    </w:p>
  </w:comment>
  <w:comment w:id="1" w:author="Jorge Ramiro Veliz Zevallos" w:date="2025-02-13T16:18:00Z" w:initials="JRVZ">
    <w:p w14:paraId="6E3D63AD" w14:textId="77777777" w:rsidR="00EC477B" w:rsidRDefault="00EC477B" w:rsidP="00EC477B">
      <w:pPr>
        <w:pStyle w:val="Textocomentario"/>
      </w:pPr>
      <w:r>
        <w:rPr>
          <w:rStyle w:val="Refdecomentario"/>
        </w:rPr>
        <w:annotationRef/>
      </w:r>
      <w:r>
        <w:t>En la siguiente columna se indica que dicha información debe estar previamente registrada ante la SUNARP, con lo cual se está exigiendo que el capital social (suscrito y pagado) materia de actualización se encuentre inscrito en la SUNARP.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EBB2F5" w15:done="0"/>
  <w15:commentEx w15:paraId="6E3D63AD" w15:paraIdParent="75EBB2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EBB2F5" w16cid:durableId="00000376"/>
  <w16cid:commentId w16cid:paraId="6E3D63AD" w16cid:durableId="1E06E7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rge Ramiro Veliz Zevallos">
    <w15:presenceInfo w15:providerId="AD" w15:userId="S-1-5-21-99240526-3980697009-234797811-2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7B"/>
    <w:rsid w:val="000E08CF"/>
    <w:rsid w:val="00143181"/>
    <w:rsid w:val="00517F19"/>
    <w:rsid w:val="005642B3"/>
    <w:rsid w:val="005651FF"/>
    <w:rsid w:val="00655132"/>
    <w:rsid w:val="006854A4"/>
    <w:rsid w:val="00704BE6"/>
    <w:rsid w:val="00711920"/>
    <w:rsid w:val="00770C67"/>
    <w:rsid w:val="00DD3E7B"/>
    <w:rsid w:val="00E1229B"/>
    <w:rsid w:val="00EC477B"/>
    <w:rsid w:val="00F86FE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8685"/>
  <w15:chartTrackingRefBased/>
  <w15:docId w15:val="{2C784A58-B48C-49C0-ACC5-99BD439C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47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C47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C477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C477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C477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C477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C477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C477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C477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477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C477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C477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C477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C477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C477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C477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C477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C477B"/>
    <w:rPr>
      <w:rFonts w:eastAsiaTheme="majorEastAsia" w:cstheme="majorBidi"/>
      <w:color w:val="272727" w:themeColor="text1" w:themeTint="D8"/>
    </w:rPr>
  </w:style>
  <w:style w:type="paragraph" w:styleId="Ttulo">
    <w:name w:val="Title"/>
    <w:basedOn w:val="Normal"/>
    <w:next w:val="Normal"/>
    <w:link w:val="TtuloCar"/>
    <w:uiPriority w:val="10"/>
    <w:qFormat/>
    <w:rsid w:val="00EC4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477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477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477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477B"/>
    <w:pPr>
      <w:spacing w:before="160"/>
      <w:jc w:val="center"/>
    </w:pPr>
    <w:rPr>
      <w:i/>
      <w:iCs/>
      <w:color w:val="404040" w:themeColor="text1" w:themeTint="BF"/>
    </w:rPr>
  </w:style>
  <w:style w:type="character" w:customStyle="1" w:styleId="CitaCar">
    <w:name w:val="Cita Car"/>
    <w:basedOn w:val="Fuentedeprrafopredeter"/>
    <w:link w:val="Cita"/>
    <w:uiPriority w:val="29"/>
    <w:rsid w:val="00EC477B"/>
    <w:rPr>
      <w:i/>
      <w:iCs/>
      <w:color w:val="404040" w:themeColor="text1" w:themeTint="BF"/>
    </w:rPr>
  </w:style>
  <w:style w:type="paragraph" w:styleId="Prrafodelista">
    <w:name w:val="List Paragraph"/>
    <w:basedOn w:val="Normal"/>
    <w:uiPriority w:val="34"/>
    <w:qFormat/>
    <w:rsid w:val="00EC477B"/>
    <w:pPr>
      <w:ind w:left="720"/>
      <w:contextualSpacing/>
    </w:pPr>
  </w:style>
  <w:style w:type="character" w:styleId="nfasisintenso">
    <w:name w:val="Intense Emphasis"/>
    <w:basedOn w:val="Fuentedeprrafopredeter"/>
    <w:uiPriority w:val="21"/>
    <w:qFormat/>
    <w:rsid w:val="00EC477B"/>
    <w:rPr>
      <w:i/>
      <w:iCs/>
      <w:color w:val="2F5496" w:themeColor="accent1" w:themeShade="BF"/>
    </w:rPr>
  </w:style>
  <w:style w:type="paragraph" w:styleId="Citadestacada">
    <w:name w:val="Intense Quote"/>
    <w:basedOn w:val="Normal"/>
    <w:next w:val="Normal"/>
    <w:link w:val="CitadestacadaCar"/>
    <w:uiPriority w:val="30"/>
    <w:qFormat/>
    <w:rsid w:val="00EC4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C477B"/>
    <w:rPr>
      <w:i/>
      <w:iCs/>
      <w:color w:val="2F5496" w:themeColor="accent1" w:themeShade="BF"/>
    </w:rPr>
  </w:style>
  <w:style w:type="character" w:styleId="Referenciaintensa">
    <w:name w:val="Intense Reference"/>
    <w:basedOn w:val="Fuentedeprrafopredeter"/>
    <w:uiPriority w:val="32"/>
    <w:qFormat/>
    <w:rsid w:val="00EC477B"/>
    <w:rPr>
      <w:b/>
      <w:bCs/>
      <w:smallCaps/>
      <w:color w:val="2F5496" w:themeColor="accent1" w:themeShade="BF"/>
      <w:spacing w:val="5"/>
    </w:rPr>
  </w:style>
  <w:style w:type="paragraph" w:styleId="Textocomentario">
    <w:name w:val="annotation text"/>
    <w:basedOn w:val="Normal"/>
    <w:link w:val="TextocomentarioCar"/>
    <w:uiPriority w:val="99"/>
    <w:semiHidden/>
    <w:unhideWhenUsed/>
    <w:rsid w:val="00EC47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477B"/>
    <w:rPr>
      <w:sz w:val="20"/>
      <w:szCs w:val="20"/>
    </w:rPr>
  </w:style>
  <w:style w:type="character" w:styleId="Refdecomentario">
    <w:name w:val="annotation reference"/>
    <w:uiPriority w:val="99"/>
    <w:unhideWhenUsed/>
    <w:rsid w:val="00EC47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5388</Characters>
  <Application>Microsoft Office Word</Application>
  <DocSecurity>0</DocSecurity>
  <Lines>44</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Ramiro Veliz Zevallos</dc:creator>
  <cp:keywords/>
  <dc:description/>
  <cp:lastModifiedBy>Irma Karina Huambachano Solis</cp:lastModifiedBy>
  <cp:revision>2</cp:revision>
  <dcterms:created xsi:type="dcterms:W3CDTF">2025-03-01T18:18:00Z</dcterms:created>
  <dcterms:modified xsi:type="dcterms:W3CDTF">2025-03-01T18:18:00Z</dcterms:modified>
</cp:coreProperties>
</file>