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3B1A0" w14:textId="77777777" w:rsidR="004A4C8D" w:rsidRPr="00AD34AA" w:rsidRDefault="004A4C8D" w:rsidP="004A4C8D">
      <w:pPr>
        <w:spacing w:line="276" w:lineRule="auto"/>
        <w:ind w:left="284" w:right="283"/>
        <w:jc w:val="center"/>
        <w:rPr>
          <w:rFonts w:ascii="Arial" w:eastAsiaTheme="minorHAnsi" w:hAnsi="Arial" w:cs="Arial"/>
          <w:bCs/>
          <w:i/>
          <w:color w:val="343434"/>
          <w:sz w:val="20"/>
          <w:szCs w:val="20"/>
          <w:bdr w:val="none" w:sz="0" w:space="0" w:color="auto" w:frame="1"/>
          <w:shd w:val="clear" w:color="auto" w:fill="FFFFFF"/>
          <w:lang w:val="es-PE" w:eastAsia="en-US"/>
        </w:rPr>
      </w:pPr>
      <w:r w:rsidRPr="00AD34AA">
        <w:rPr>
          <w:rFonts w:ascii="Arial" w:eastAsiaTheme="minorHAnsi" w:hAnsi="Arial" w:cs="Arial"/>
          <w:bCs/>
          <w:i/>
          <w:color w:val="343434"/>
          <w:sz w:val="20"/>
          <w:szCs w:val="20"/>
          <w:bdr w:val="none" w:sz="0" w:space="0" w:color="auto" w:frame="1"/>
          <w:shd w:val="clear" w:color="auto" w:fill="FFFFFF"/>
          <w:lang w:val="es-PE" w:eastAsia="en-US"/>
        </w:rPr>
        <w:t>“Año del bicentenario, de la consolidación de nuestra independencia y de la conmemoración de las heroicas batallas de Junín y Ayacucho”</w:t>
      </w:r>
    </w:p>
    <w:p w14:paraId="7D2210B4" w14:textId="77777777" w:rsidR="004A4C8D" w:rsidRPr="00AD34AA" w:rsidRDefault="004A4C8D" w:rsidP="004A4C8D">
      <w:pPr>
        <w:spacing w:line="276" w:lineRule="auto"/>
        <w:ind w:left="284" w:right="283"/>
        <w:jc w:val="center"/>
        <w:rPr>
          <w:rFonts w:ascii="Arial" w:eastAsiaTheme="minorHAnsi" w:hAnsi="Arial" w:cs="Arial"/>
          <w:bCs/>
          <w:i/>
          <w:color w:val="343434"/>
          <w:sz w:val="20"/>
          <w:szCs w:val="20"/>
          <w:bdr w:val="none" w:sz="0" w:space="0" w:color="auto" w:frame="1"/>
          <w:shd w:val="clear" w:color="auto" w:fill="FFFFFF"/>
          <w:lang w:val="es-PE" w:eastAsia="en-US"/>
        </w:rPr>
      </w:pPr>
    </w:p>
    <w:p w14:paraId="1EE7B178" w14:textId="76D86243" w:rsidR="004A4C8D" w:rsidRPr="00B475CA" w:rsidRDefault="004A4C8D" w:rsidP="004A4C8D">
      <w:pPr>
        <w:tabs>
          <w:tab w:val="left" w:pos="-1440"/>
          <w:tab w:val="left" w:pos="0"/>
        </w:tabs>
        <w:spacing w:after="160" w:line="276" w:lineRule="auto"/>
        <w:jc w:val="center"/>
        <w:rPr>
          <w:rFonts w:ascii="Arial" w:eastAsiaTheme="minorHAnsi" w:hAnsi="Arial" w:cs="Arial"/>
          <w:b/>
          <w:bCs/>
          <w:i/>
          <w:sz w:val="20"/>
          <w:szCs w:val="20"/>
          <w:lang w:val="es-PE" w:eastAsia="en-US"/>
        </w:rPr>
      </w:pPr>
      <w:r w:rsidRPr="00B475CA">
        <w:rPr>
          <w:rFonts w:ascii="Arial" w:eastAsiaTheme="minorHAnsi" w:hAnsi="Arial" w:cs="Arial"/>
          <w:b/>
          <w:bCs/>
          <w:i/>
          <w:sz w:val="20"/>
          <w:szCs w:val="20"/>
          <w:lang w:val="es-PE" w:eastAsia="en-US"/>
        </w:rPr>
        <w:t>RESOL</w:t>
      </w:r>
      <w:r>
        <w:rPr>
          <w:rFonts w:ascii="Arial" w:eastAsiaTheme="minorHAnsi" w:hAnsi="Arial" w:cs="Arial"/>
          <w:b/>
          <w:bCs/>
          <w:i/>
          <w:sz w:val="20"/>
          <w:szCs w:val="20"/>
          <w:lang w:val="es-PE" w:eastAsia="en-US"/>
        </w:rPr>
        <w:t xml:space="preserve">UCIÓN DE GERENCIA MUNICIPAL N° </w:t>
      </w:r>
      <w:r w:rsidR="00F57612">
        <w:rPr>
          <w:rFonts w:ascii="Arial" w:eastAsiaTheme="minorHAnsi" w:hAnsi="Arial" w:cs="Arial"/>
          <w:b/>
          <w:bCs/>
          <w:i/>
          <w:sz w:val="20"/>
          <w:szCs w:val="20"/>
          <w:lang w:val="es-PE" w:eastAsia="en-US"/>
        </w:rPr>
        <w:t>156</w:t>
      </w:r>
      <w:r w:rsidRPr="00B475CA">
        <w:rPr>
          <w:rFonts w:ascii="Arial" w:eastAsiaTheme="minorHAnsi" w:hAnsi="Arial" w:cs="Arial"/>
          <w:b/>
          <w:bCs/>
          <w:i/>
          <w:sz w:val="20"/>
          <w:szCs w:val="20"/>
          <w:lang w:val="es-PE" w:eastAsia="en-US"/>
        </w:rPr>
        <w:t>-2024-MPP/GM</w:t>
      </w:r>
    </w:p>
    <w:p w14:paraId="3990079C" w14:textId="06798A72" w:rsidR="004A4C8D" w:rsidRPr="00B475CA" w:rsidRDefault="004A4C8D" w:rsidP="004A4C8D">
      <w:pPr>
        <w:tabs>
          <w:tab w:val="left" w:pos="567"/>
        </w:tabs>
        <w:spacing w:after="160" w:line="276" w:lineRule="auto"/>
        <w:jc w:val="right"/>
        <w:rPr>
          <w:rFonts w:ascii="Arial" w:eastAsiaTheme="minorHAnsi" w:hAnsi="Arial" w:cs="Arial"/>
          <w:i/>
          <w:sz w:val="20"/>
          <w:szCs w:val="20"/>
          <w:lang w:val="es-PE" w:eastAsia="en-US"/>
        </w:rPr>
      </w:pPr>
      <w:r w:rsidRPr="00B475CA">
        <w:rPr>
          <w:rFonts w:ascii="Arial" w:eastAsiaTheme="minorHAnsi" w:hAnsi="Arial" w:cs="Arial"/>
          <w:i/>
          <w:sz w:val="20"/>
          <w:szCs w:val="20"/>
          <w:lang w:val="es-PE" w:eastAsia="en-US"/>
        </w:rPr>
        <w:tab/>
      </w:r>
      <w:r w:rsidRPr="00B475CA">
        <w:rPr>
          <w:rFonts w:ascii="Arial" w:eastAsiaTheme="minorHAnsi" w:hAnsi="Arial" w:cs="Arial"/>
          <w:i/>
          <w:sz w:val="20"/>
          <w:szCs w:val="20"/>
          <w:lang w:val="es-PE" w:eastAsia="en-US"/>
        </w:rPr>
        <w:tab/>
      </w:r>
      <w:r w:rsidRPr="00B475CA">
        <w:rPr>
          <w:rFonts w:ascii="Arial" w:eastAsiaTheme="minorHAnsi" w:hAnsi="Arial" w:cs="Arial"/>
          <w:i/>
          <w:sz w:val="20"/>
          <w:szCs w:val="20"/>
          <w:lang w:val="es-PE" w:eastAsia="en-US"/>
        </w:rPr>
        <w:tab/>
        <w:t xml:space="preserve">Paita, </w:t>
      </w:r>
      <w:r w:rsidR="00F57612">
        <w:rPr>
          <w:rFonts w:ascii="Arial" w:eastAsiaTheme="minorHAnsi" w:hAnsi="Arial" w:cs="Arial"/>
          <w:i/>
          <w:sz w:val="20"/>
          <w:szCs w:val="20"/>
          <w:lang w:val="es-PE" w:eastAsia="en-US"/>
        </w:rPr>
        <w:t>2</w:t>
      </w:r>
      <w:r w:rsidR="00145F3D">
        <w:rPr>
          <w:rFonts w:ascii="Arial" w:eastAsiaTheme="minorHAnsi" w:hAnsi="Arial" w:cs="Arial"/>
          <w:i/>
          <w:sz w:val="20"/>
          <w:szCs w:val="20"/>
          <w:lang w:val="es-PE" w:eastAsia="en-US"/>
        </w:rPr>
        <w:t>6</w:t>
      </w:r>
      <w:r>
        <w:rPr>
          <w:rFonts w:ascii="Arial" w:eastAsiaTheme="minorHAnsi" w:hAnsi="Arial" w:cs="Arial"/>
          <w:i/>
          <w:sz w:val="20"/>
          <w:szCs w:val="20"/>
          <w:lang w:val="es-PE" w:eastAsia="en-US"/>
        </w:rPr>
        <w:t xml:space="preserve"> de </w:t>
      </w:r>
      <w:r w:rsidR="00F57612">
        <w:rPr>
          <w:rFonts w:ascii="Arial" w:eastAsiaTheme="minorHAnsi" w:hAnsi="Arial" w:cs="Arial"/>
          <w:i/>
          <w:sz w:val="20"/>
          <w:szCs w:val="20"/>
          <w:lang w:val="es-PE" w:eastAsia="en-US"/>
        </w:rPr>
        <w:t>noviembre</w:t>
      </w:r>
      <w:r w:rsidRPr="00B475CA">
        <w:rPr>
          <w:rFonts w:ascii="Arial" w:eastAsiaTheme="minorHAnsi" w:hAnsi="Arial" w:cs="Arial"/>
          <w:i/>
          <w:sz w:val="20"/>
          <w:szCs w:val="20"/>
          <w:lang w:val="es-PE" w:eastAsia="en-US"/>
        </w:rPr>
        <w:t xml:space="preserve"> de 2024.</w:t>
      </w:r>
    </w:p>
    <w:p w14:paraId="6580BC4B" w14:textId="56CC2B21" w:rsidR="004A4C8D" w:rsidRDefault="004A4C8D" w:rsidP="004A4C8D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AD34AA">
        <w:rPr>
          <w:rFonts w:ascii="Arial" w:hAnsi="Arial" w:cs="Arial"/>
          <w:b/>
          <w:i/>
          <w:sz w:val="20"/>
          <w:szCs w:val="20"/>
        </w:rPr>
        <w:tab/>
        <w:t xml:space="preserve">VISTO: </w:t>
      </w:r>
      <w:r w:rsidRPr="00AD34AA">
        <w:rPr>
          <w:rFonts w:ascii="Arial" w:hAnsi="Arial" w:cs="Arial"/>
          <w:i/>
          <w:sz w:val="20"/>
          <w:szCs w:val="20"/>
        </w:rPr>
        <w:t xml:space="preserve">El </w:t>
      </w:r>
      <w:r>
        <w:rPr>
          <w:rFonts w:ascii="Arial" w:hAnsi="Arial" w:cs="Arial"/>
          <w:i/>
          <w:sz w:val="20"/>
          <w:szCs w:val="20"/>
        </w:rPr>
        <w:t xml:space="preserve">Informe N° </w:t>
      </w:r>
      <w:r w:rsidR="00F57612">
        <w:rPr>
          <w:rFonts w:ascii="Arial" w:hAnsi="Arial" w:cs="Arial"/>
          <w:i/>
          <w:sz w:val="20"/>
          <w:szCs w:val="20"/>
        </w:rPr>
        <w:t>2304</w:t>
      </w:r>
      <w:r>
        <w:rPr>
          <w:rFonts w:ascii="Arial" w:hAnsi="Arial" w:cs="Arial"/>
          <w:i/>
          <w:sz w:val="20"/>
          <w:szCs w:val="20"/>
        </w:rPr>
        <w:t xml:space="preserve">-2024-MPP-GAF/SGL de fecha </w:t>
      </w:r>
      <w:r w:rsidR="00F57612">
        <w:rPr>
          <w:rFonts w:ascii="Arial" w:hAnsi="Arial" w:cs="Arial"/>
          <w:i/>
          <w:sz w:val="20"/>
          <w:szCs w:val="20"/>
        </w:rPr>
        <w:t>22</w:t>
      </w:r>
      <w:r w:rsidR="00145F3D">
        <w:rPr>
          <w:rFonts w:ascii="Arial" w:hAnsi="Arial" w:cs="Arial"/>
          <w:i/>
          <w:sz w:val="20"/>
          <w:szCs w:val="20"/>
        </w:rPr>
        <w:t xml:space="preserve"> de </w:t>
      </w:r>
      <w:r w:rsidR="00F57612">
        <w:rPr>
          <w:rFonts w:ascii="Arial" w:hAnsi="Arial" w:cs="Arial"/>
          <w:i/>
          <w:sz w:val="20"/>
          <w:szCs w:val="20"/>
        </w:rPr>
        <w:t>noviembre</w:t>
      </w:r>
      <w:r w:rsidR="00145F3D">
        <w:rPr>
          <w:rFonts w:ascii="Arial" w:hAnsi="Arial" w:cs="Arial"/>
          <w:i/>
          <w:sz w:val="20"/>
          <w:szCs w:val="20"/>
        </w:rPr>
        <w:t xml:space="preserve"> de 20</w:t>
      </w:r>
      <w:r w:rsidRPr="00AD34AA">
        <w:rPr>
          <w:rFonts w:ascii="Arial" w:hAnsi="Arial" w:cs="Arial"/>
          <w:i/>
          <w:sz w:val="20"/>
          <w:szCs w:val="20"/>
        </w:rPr>
        <w:t xml:space="preserve">24, mediante el cual la Subgerencia de Logística, solicita </w:t>
      </w:r>
      <w:r w:rsidRPr="00B23DC3">
        <w:rPr>
          <w:rFonts w:ascii="Arial" w:hAnsi="Arial" w:cs="Arial"/>
          <w:b/>
          <w:i/>
          <w:sz w:val="20"/>
          <w:szCs w:val="20"/>
        </w:rPr>
        <w:t>A</w:t>
      </w:r>
      <w:r>
        <w:rPr>
          <w:rFonts w:ascii="Arial" w:hAnsi="Arial" w:cs="Arial"/>
          <w:b/>
          <w:i/>
          <w:sz w:val="20"/>
          <w:szCs w:val="20"/>
        </w:rPr>
        <w:t>mplia</w:t>
      </w:r>
      <w:r w:rsidRPr="00B23DC3">
        <w:rPr>
          <w:rFonts w:ascii="Arial" w:hAnsi="Arial" w:cs="Arial"/>
          <w:b/>
          <w:i/>
          <w:sz w:val="20"/>
          <w:szCs w:val="20"/>
        </w:rPr>
        <w:t xml:space="preserve">ción del Plan Anual de Contrataciones </w:t>
      </w:r>
      <w:r>
        <w:rPr>
          <w:rFonts w:ascii="Arial" w:hAnsi="Arial" w:cs="Arial"/>
          <w:b/>
          <w:i/>
          <w:sz w:val="20"/>
          <w:szCs w:val="20"/>
        </w:rPr>
        <w:t>–</w:t>
      </w:r>
      <w:r w:rsidRPr="00B23DC3">
        <w:rPr>
          <w:rFonts w:ascii="Arial" w:hAnsi="Arial" w:cs="Arial"/>
          <w:b/>
          <w:i/>
          <w:sz w:val="20"/>
          <w:szCs w:val="20"/>
        </w:rPr>
        <w:t xml:space="preserve"> 2024</w:t>
      </w:r>
      <w:r>
        <w:rPr>
          <w:rFonts w:ascii="Arial" w:hAnsi="Arial" w:cs="Arial"/>
          <w:b/>
          <w:i/>
          <w:sz w:val="20"/>
          <w:szCs w:val="20"/>
        </w:rPr>
        <w:t xml:space="preserve"> versión N.º </w:t>
      </w:r>
      <w:r w:rsidR="00145F3D">
        <w:rPr>
          <w:rFonts w:ascii="Arial" w:hAnsi="Arial" w:cs="Arial"/>
          <w:b/>
          <w:i/>
          <w:sz w:val="20"/>
          <w:szCs w:val="20"/>
        </w:rPr>
        <w:t>2</w:t>
      </w:r>
      <w:r w:rsidR="00F57612">
        <w:rPr>
          <w:rFonts w:ascii="Arial" w:hAnsi="Arial" w:cs="Arial"/>
          <w:b/>
          <w:i/>
          <w:sz w:val="20"/>
          <w:szCs w:val="20"/>
        </w:rPr>
        <w:t>6</w:t>
      </w:r>
      <w:r>
        <w:rPr>
          <w:rFonts w:ascii="Arial" w:hAnsi="Arial" w:cs="Arial"/>
          <w:i/>
          <w:sz w:val="20"/>
          <w:szCs w:val="20"/>
        </w:rPr>
        <w:t>; y,</w:t>
      </w:r>
    </w:p>
    <w:p w14:paraId="16C4742C" w14:textId="77777777" w:rsidR="004A4C8D" w:rsidRPr="00AD34AA" w:rsidRDefault="004A4C8D" w:rsidP="004A4C8D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AD34AA">
        <w:rPr>
          <w:rFonts w:ascii="Arial" w:hAnsi="Arial" w:cs="Arial"/>
          <w:b/>
          <w:i/>
          <w:sz w:val="20"/>
          <w:szCs w:val="20"/>
        </w:rPr>
        <w:tab/>
        <w:t>CONSIDERANDO</w:t>
      </w:r>
      <w:r w:rsidRPr="00AD34AA">
        <w:rPr>
          <w:rFonts w:ascii="Arial" w:hAnsi="Arial" w:cs="Arial"/>
          <w:i/>
          <w:sz w:val="20"/>
          <w:szCs w:val="20"/>
        </w:rPr>
        <w:t xml:space="preserve">: </w:t>
      </w:r>
    </w:p>
    <w:p w14:paraId="09A9772E" w14:textId="77777777" w:rsidR="004A4C8D" w:rsidRPr="00AD34AA" w:rsidRDefault="004A4C8D" w:rsidP="004A4C8D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i/>
          <w:color w:val="151515"/>
          <w:sz w:val="20"/>
          <w:szCs w:val="20"/>
          <w:shd w:val="clear" w:color="auto" w:fill="FFFFFF"/>
          <w:lang w:val="es-PE" w:eastAsia="en-US"/>
        </w:rPr>
      </w:pPr>
      <w:r w:rsidRPr="00AD34AA">
        <w:rPr>
          <w:rFonts w:ascii="Arial" w:hAnsi="Arial" w:cs="Arial"/>
          <w:i/>
          <w:sz w:val="20"/>
          <w:szCs w:val="20"/>
          <w:lang w:val="es-PE"/>
        </w:rPr>
        <w:tab/>
      </w:r>
      <w:r w:rsidRPr="00AD34AA">
        <w:rPr>
          <w:rFonts w:ascii="Arial" w:eastAsiaTheme="minorHAnsi" w:hAnsi="Arial" w:cs="Arial"/>
          <w:i/>
          <w:sz w:val="20"/>
          <w:szCs w:val="20"/>
          <w:lang w:val="es-PE" w:eastAsia="en-US"/>
        </w:rPr>
        <w:t>Que, el artículo 194° de la Constitución Política del Perú, modificado por el artículo único de la Ley N° 30305; concordante, con el Artículo II del Título Preliminar de la Ley N° 27972, Ley Orgánica de Municipalidades, prescribe que: “L</w:t>
      </w:r>
      <w:r w:rsidRPr="00AD34AA">
        <w:rPr>
          <w:rFonts w:ascii="Arial" w:eastAsiaTheme="minorHAnsi" w:hAnsi="Arial" w:cs="Arial"/>
          <w:i/>
          <w:color w:val="151515"/>
          <w:sz w:val="20"/>
          <w:szCs w:val="20"/>
          <w:shd w:val="clear" w:color="auto" w:fill="FFFFFF"/>
          <w:lang w:val="es-PE" w:eastAsia="en-US"/>
        </w:rPr>
        <w:t xml:space="preserve">as municipalidades provinciales y distritales son los órganos de gobierno local. Tienen autonomía política, económica y administrativa en los asuntos de su competencia”. […]; </w:t>
      </w:r>
    </w:p>
    <w:p w14:paraId="454DE638" w14:textId="77777777" w:rsidR="004A4C8D" w:rsidRPr="00AD34AA" w:rsidRDefault="004A4C8D" w:rsidP="004A4C8D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i/>
          <w:color w:val="151515"/>
          <w:sz w:val="20"/>
          <w:szCs w:val="20"/>
          <w:shd w:val="clear" w:color="auto" w:fill="FFFFFF"/>
          <w:lang w:val="es-PE" w:eastAsia="en-US"/>
        </w:rPr>
      </w:pPr>
    </w:p>
    <w:p w14:paraId="5885C942" w14:textId="77777777" w:rsidR="004A4C8D" w:rsidRPr="00B475CA" w:rsidRDefault="004A4C8D" w:rsidP="004A4C8D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160" w:line="276" w:lineRule="auto"/>
        <w:jc w:val="both"/>
        <w:rPr>
          <w:rFonts w:ascii="Arial" w:eastAsiaTheme="minorHAnsi" w:hAnsi="Arial" w:cs="Arial"/>
          <w:i/>
          <w:sz w:val="20"/>
          <w:szCs w:val="20"/>
          <w:lang w:val="es-PE" w:eastAsia="en-US"/>
        </w:rPr>
      </w:pPr>
      <w:r w:rsidRPr="00B475CA">
        <w:rPr>
          <w:rFonts w:ascii="Arial" w:eastAsiaTheme="minorHAnsi" w:hAnsi="Arial" w:cs="Arial"/>
          <w:i/>
          <w:sz w:val="20"/>
          <w:szCs w:val="20"/>
          <w:lang w:val="es-PE" w:eastAsia="en-US"/>
        </w:rPr>
        <w:tab/>
        <w:t>Que, el numeral 17) del artículo 20° de la Ley N° 27972, Ley Orgánica de Municipalidades; modificado por el artículo 1 de la Ley N° 31433, prescribe que: “Son atribuciones del alcalde, […] 17. Designar y cesar al gerente municipal y, a propuesta de este, a los demás funcionarios y directivos públicos de confianza, cumpliendo con los requisitos previamente establecidos en la normativa vigente y en los documentos de gestión interna que regulan el perfil de cada puesto. […]”;</w:t>
      </w:r>
    </w:p>
    <w:p w14:paraId="1F86DDCB" w14:textId="77777777" w:rsidR="004A4C8D" w:rsidRPr="00AD34AA" w:rsidRDefault="004A4C8D" w:rsidP="004A4C8D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160" w:line="276" w:lineRule="auto"/>
        <w:jc w:val="both"/>
        <w:rPr>
          <w:rFonts w:ascii="Arial" w:eastAsiaTheme="minorHAnsi" w:hAnsi="Arial" w:cs="Arial"/>
          <w:i/>
          <w:sz w:val="20"/>
          <w:szCs w:val="20"/>
          <w:lang w:val="es-PE" w:eastAsia="en-US"/>
        </w:rPr>
      </w:pPr>
      <w:r w:rsidRPr="00B475CA">
        <w:rPr>
          <w:rFonts w:ascii="Arial" w:eastAsiaTheme="minorHAnsi" w:hAnsi="Arial" w:cs="Arial"/>
          <w:i/>
          <w:sz w:val="20"/>
          <w:szCs w:val="20"/>
          <w:lang w:val="es-PE" w:eastAsia="en-US"/>
        </w:rPr>
        <w:tab/>
        <w:t>Que, con Resolución de Alcaldía N° 018-2024/MPP-A de fecha 12/01/24, se resuelve: Artículo Primero: Designar, a la CPC Mariela Analí Antón Fiestas, en el cargo de Gerente Municipal de la Municipalidad Provincial de Paita, bajo el régimen regulado por la Ley N° 30057, Ley del Servicio Civil, entidad priorizada en el marco de la Ley N° 31912. […];</w:t>
      </w:r>
    </w:p>
    <w:p w14:paraId="13F76F0B" w14:textId="77777777" w:rsidR="004A4C8D" w:rsidRPr="00AD34AA" w:rsidRDefault="004A4C8D" w:rsidP="004A4C8D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160" w:line="276" w:lineRule="auto"/>
        <w:jc w:val="both"/>
        <w:rPr>
          <w:rFonts w:ascii="Arial" w:eastAsiaTheme="minorHAnsi" w:hAnsi="Arial" w:cs="Arial"/>
          <w:i/>
          <w:sz w:val="20"/>
          <w:szCs w:val="20"/>
          <w:lang w:val="es-PE" w:eastAsia="en-US"/>
        </w:rPr>
      </w:pPr>
      <w:r w:rsidRPr="00AD34AA">
        <w:rPr>
          <w:rFonts w:ascii="Arial" w:eastAsiaTheme="minorHAnsi" w:hAnsi="Arial" w:cs="Arial"/>
          <w:i/>
          <w:sz w:val="20"/>
          <w:szCs w:val="20"/>
          <w:lang w:val="es-PE" w:eastAsia="en-US"/>
        </w:rPr>
        <w:tab/>
        <w:t xml:space="preserve">Que, con Resolución de Alcaldía N° 058-2023-MPP/A de fecha 11/01/23, se resuelve: Artículo Primero: Aprobar la delegación de facultades resolutivas del despacho de Alcaldía en la Gerencia Municipal, Gerencia de Desarrollo Urbano y Rural y la Subgerencia de Recursos Humanos respectivas de la Municipalidad Provincial de Paita, conforme se detalla a continuación: En materia de contratación pública, general y especial, […] Aprobar y modificar el Plan Anual de Contrataciones. […]; </w:t>
      </w:r>
    </w:p>
    <w:p w14:paraId="166BB89D" w14:textId="77777777" w:rsidR="004A4C8D" w:rsidRPr="00AD34AA" w:rsidRDefault="004A4C8D" w:rsidP="004A4C8D">
      <w:pPr>
        <w:spacing w:after="120" w:line="276" w:lineRule="auto"/>
        <w:jc w:val="both"/>
        <w:rPr>
          <w:rFonts w:ascii="Arial" w:hAnsi="Arial" w:cs="Arial"/>
          <w:bCs/>
          <w:i/>
          <w:spacing w:val="-3"/>
          <w:sz w:val="20"/>
          <w:szCs w:val="20"/>
        </w:rPr>
      </w:pPr>
      <w:r w:rsidRPr="00AD34AA">
        <w:rPr>
          <w:rFonts w:ascii="Arial" w:hAnsi="Arial" w:cs="Arial"/>
          <w:i/>
          <w:sz w:val="20"/>
          <w:szCs w:val="20"/>
        </w:rPr>
        <w:tab/>
        <w:t xml:space="preserve">Que, con </w:t>
      </w:r>
      <w:r w:rsidRPr="00AD34AA">
        <w:rPr>
          <w:rFonts w:ascii="Arial" w:hAnsi="Arial" w:cs="Arial"/>
          <w:bCs/>
          <w:i/>
          <w:spacing w:val="-3"/>
          <w:sz w:val="20"/>
          <w:szCs w:val="20"/>
        </w:rPr>
        <w:t>Resolución de Alcaldía N° 0469-</w:t>
      </w:r>
      <w:r>
        <w:rPr>
          <w:rFonts w:ascii="Arial" w:hAnsi="Arial" w:cs="Arial"/>
          <w:bCs/>
          <w:i/>
          <w:spacing w:val="-3"/>
          <w:sz w:val="20"/>
          <w:szCs w:val="20"/>
        </w:rPr>
        <w:t>2023-MPP/A de fecha 28/12/23, s</w:t>
      </w:r>
      <w:r w:rsidRPr="00AD34AA">
        <w:rPr>
          <w:rFonts w:ascii="Arial" w:hAnsi="Arial" w:cs="Arial"/>
          <w:bCs/>
          <w:i/>
          <w:spacing w:val="-3"/>
          <w:sz w:val="20"/>
          <w:szCs w:val="20"/>
        </w:rPr>
        <w:t xml:space="preserve">e aprueba el Presupuesto Institucional de Apertura </w:t>
      </w:r>
      <w:r>
        <w:rPr>
          <w:rFonts w:ascii="Arial" w:hAnsi="Arial" w:cs="Arial"/>
          <w:bCs/>
          <w:i/>
          <w:spacing w:val="-3"/>
          <w:sz w:val="20"/>
          <w:szCs w:val="20"/>
        </w:rPr>
        <w:t xml:space="preserve">(PIA) </w:t>
      </w:r>
      <w:r w:rsidRPr="00AD34AA">
        <w:rPr>
          <w:rFonts w:ascii="Arial" w:hAnsi="Arial" w:cs="Arial"/>
          <w:bCs/>
          <w:i/>
          <w:spacing w:val="-3"/>
          <w:sz w:val="20"/>
          <w:szCs w:val="20"/>
        </w:rPr>
        <w:t xml:space="preserve">para el año fiscal 2024, de la Municipalidad Provincial de Paita; </w:t>
      </w:r>
    </w:p>
    <w:p w14:paraId="3D961AAE" w14:textId="77777777" w:rsidR="004A4C8D" w:rsidRDefault="004A4C8D" w:rsidP="004A4C8D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160" w:line="276" w:lineRule="auto"/>
        <w:jc w:val="both"/>
        <w:rPr>
          <w:rFonts w:ascii="Arial" w:eastAsiaTheme="minorHAnsi" w:hAnsi="Arial" w:cs="Arial"/>
          <w:i/>
          <w:color w:val="151515"/>
          <w:sz w:val="20"/>
          <w:szCs w:val="20"/>
          <w:lang w:val="es-PE" w:eastAsia="en-US"/>
        </w:rPr>
      </w:pPr>
      <w:r w:rsidRPr="00AD34AA">
        <w:rPr>
          <w:rFonts w:ascii="Arial" w:hAnsi="Arial" w:cs="Arial"/>
          <w:i/>
          <w:sz w:val="20"/>
          <w:szCs w:val="20"/>
          <w:lang w:val="es-PE"/>
        </w:rPr>
        <w:tab/>
      </w:r>
      <w:r w:rsidRPr="002D4FA7">
        <w:rPr>
          <w:rFonts w:ascii="Arial" w:hAnsi="Arial" w:cs="Arial"/>
          <w:bCs/>
          <w:i/>
          <w:spacing w:val="-3"/>
          <w:sz w:val="20"/>
          <w:szCs w:val="20"/>
          <w:lang w:val="es-PE"/>
        </w:rPr>
        <w:t xml:space="preserve">Que, el numeral 6.1 del artículo 6° del Decreto Supremo N° 344-2018-EF, que aprueba el Reglamento de la Ley N° 30225, Ley de Contrataciones del Estado; concordante, con </w:t>
      </w:r>
      <w:r w:rsidRPr="002D4FA7">
        <w:rPr>
          <w:rFonts w:ascii="Arial" w:hAnsi="Arial" w:cs="Arial"/>
          <w:i/>
          <w:sz w:val="20"/>
          <w:szCs w:val="20"/>
          <w:lang w:val="es-PE"/>
        </w:rPr>
        <w:t xml:space="preserve">el acápite 7.4.1 </w:t>
      </w:r>
      <w:r>
        <w:rPr>
          <w:rFonts w:ascii="Arial" w:hAnsi="Arial" w:cs="Arial"/>
          <w:i/>
          <w:sz w:val="20"/>
          <w:szCs w:val="20"/>
          <w:lang w:val="es-PE"/>
        </w:rPr>
        <w:t xml:space="preserve">y 7.4.2 </w:t>
      </w:r>
      <w:r w:rsidRPr="002D4FA7">
        <w:rPr>
          <w:rFonts w:ascii="Arial" w:hAnsi="Arial" w:cs="Arial"/>
          <w:i/>
          <w:sz w:val="20"/>
          <w:szCs w:val="20"/>
          <w:lang w:val="es-PE"/>
        </w:rPr>
        <w:t>del numeral 7.4 de la Directiva N° 002-2019-OSCE/CD – Plan Anual de Contrataciones</w:t>
      </w:r>
      <w:r w:rsidRPr="002D4FA7">
        <w:rPr>
          <w:rFonts w:ascii="Arial" w:hAnsi="Arial" w:cs="Arial"/>
          <w:bCs/>
          <w:i/>
          <w:spacing w:val="-3"/>
          <w:sz w:val="20"/>
          <w:szCs w:val="20"/>
          <w:lang w:val="es-PE"/>
        </w:rPr>
        <w:t xml:space="preserve"> prescribe que, </w:t>
      </w:r>
      <w:r w:rsidRPr="002D4FA7">
        <w:rPr>
          <w:rFonts w:ascii="Arial" w:eastAsiaTheme="minorHAnsi" w:hAnsi="Arial" w:cs="Arial"/>
          <w:i/>
          <w:color w:val="151515"/>
          <w:sz w:val="20"/>
          <w:szCs w:val="20"/>
          <w:lang w:val="es-PE" w:eastAsia="en-US"/>
        </w:rPr>
        <w:t>el Plan Anual de Contrataciones es aprobado por el Titular de la Entidad o por el funcionario a quien se hubiera delegado dicha facultad, de conformidad con las reglas previstas en la normatividad del Sistema Nacional de Abastecimiento</w:t>
      </w:r>
      <w:r>
        <w:rPr>
          <w:rFonts w:ascii="Arial" w:eastAsiaTheme="minorHAnsi" w:hAnsi="Arial" w:cs="Arial"/>
          <w:i/>
          <w:color w:val="151515"/>
          <w:sz w:val="20"/>
          <w:szCs w:val="20"/>
          <w:lang w:val="es-PE" w:eastAsia="en-US"/>
        </w:rPr>
        <w:t xml:space="preserve">, </w:t>
      </w:r>
      <w:r w:rsidRPr="007A1B0E">
        <w:rPr>
          <w:rFonts w:ascii="Arial" w:hAnsi="Arial" w:cs="Arial"/>
          <w:i/>
          <w:sz w:val="20"/>
          <w:szCs w:val="20"/>
        </w:rPr>
        <w:t>dentro de los quince (15) días hábiles siguientes a la fecha de la aprobación del PIA.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2D4FA7">
        <w:rPr>
          <w:rFonts w:ascii="Arial" w:eastAsiaTheme="minorHAnsi" w:hAnsi="Arial" w:cs="Arial"/>
          <w:i/>
          <w:color w:val="151515"/>
          <w:sz w:val="20"/>
          <w:szCs w:val="20"/>
          <w:lang w:val="es-PE" w:eastAsia="en-US"/>
        </w:rPr>
        <w:t xml:space="preserve">Así mismo, </w:t>
      </w:r>
      <w:r w:rsidRPr="002D4FA7">
        <w:rPr>
          <w:rFonts w:ascii="Arial" w:hAnsi="Arial" w:cs="Arial"/>
          <w:bCs/>
          <w:i/>
          <w:spacing w:val="-3"/>
          <w:sz w:val="20"/>
          <w:szCs w:val="20"/>
          <w:lang w:val="es-PE"/>
        </w:rPr>
        <w:t>el numeral 6.4 del artículo 6° del Decreto Supremo N° 344-2018-</w:t>
      </w:r>
      <w:r w:rsidRPr="002D4FA7">
        <w:rPr>
          <w:rFonts w:ascii="Arial" w:hAnsi="Arial" w:cs="Arial"/>
          <w:bCs/>
          <w:i/>
          <w:spacing w:val="-3"/>
          <w:sz w:val="20"/>
          <w:szCs w:val="20"/>
          <w:lang w:val="es-PE"/>
        </w:rPr>
        <w:lastRenderedPageBreak/>
        <w:t xml:space="preserve">EF, que aprueba el Reglamento de la Ley N° 30225, Ley de Contrataciones del Estado prescribe que, </w:t>
      </w:r>
      <w:r>
        <w:rPr>
          <w:rFonts w:ascii="Arial" w:eastAsiaTheme="minorHAnsi" w:hAnsi="Arial" w:cs="Arial"/>
          <w:i/>
          <w:color w:val="151515"/>
          <w:sz w:val="20"/>
          <w:szCs w:val="20"/>
          <w:lang w:val="es-PE" w:eastAsia="en-US"/>
        </w:rPr>
        <w:t>es re</w:t>
      </w:r>
      <w:r w:rsidRPr="002D4FA7">
        <w:rPr>
          <w:rFonts w:ascii="Arial" w:eastAsiaTheme="minorHAnsi" w:hAnsi="Arial" w:cs="Arial"/>
          <w:i/>
          <w:color w:val="151515"/>
          <w:sz w:val="20"/>
          <w:szCs w:val="20"/>
          <w:lang w:val="es-PE" w:eastAsia="en-US"/>
        </w:rPr>
        <w:t xml:space="preserve">quisito para la convocatoria de los procedimientos de selección, salvo para </w:t>
      </w:r>
      <w:r>
        <w:rPr>
          <w:rFonts w:ascii="Arial" w:eastAsiaTheme="minorHAnsi" w:hAnsi="Arial" w:cs="Arial"/>
          <w:i/>
          <w:color w:val="151515"/>
          <w:sz w:val="20"/>
          <w:szCs w:val="20"/>
          <w:lang w:val="es-PE" w:eastAsia="en-US"/>
        </w:rPr>
        <w:t>la c</w:t>
      </w:r>
      <w:r w:rsidRPr="002D4FA7">
        <w:rPr>
          <w:rFonts w:ascii="Arial" w:eastAsiaTheme="minorHAnsi" w:hAnsi="Arial" w:cs="Arial"/>
          <w:i/>
          <w:color w:val="151515"/>
          <w:sz w:val="20"/>
          <w:szCs w:val="20"/>
          <w:lang w:val="es-PE" w:eastAsia="en-US"/>
        </w:rPr>
        <w:t>omparación de Precios, que estén incluidos en el Plan Anual de Contratac</w:t>
      </w:r>
      <w:r>
        <w:rPr>
          <w:rFonts w:ascii="Arial" w:eastAsiaTheme="minorHAnsi" w:hAnsi="Arial" w:cs="Arial"/>
          <w:i/>
          <w:color w:val="151515"/>
          <w:sz w:val="20"/>
          <w:szCs w:val="20"/>
          <w:lang w:val="es-PE" w:eastAsia="en-US"/>
        </w:rPr>
        <w:t xml:space="preserve">iones, bajo sanción de nulidad; </w:t>
      </w:r>
    </w:p>
    <w:p w14:paraId="428A4F2A" w14:textId="77777777" w:rsidR="004A4C8D" w:rsidRDefault="004A4C8D" w:rsidP="004A4C8D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160" w:line="276" w:lineRule="auto"/>
        <w:jc w:val="both"/>
        <w:rPr>
          <w:rFonts w:ascii="Arial" w:eastAsiaTheme="minorHAnsi" w:hAnsi="Arial" w:cs="Arial"/>
          <w:i/>
          <w:color w:val="151515"/>
          <w:sz w:val="20"/>
          <w:szCs w:val="20"/>
          <w:lang w:val="es-PE" w:eastAsia="en-US"/>
        </w:rPr>
      </w:pPr>
      <w:r w:rsidRPr="00EE0B14">
        <w:rPr>
          <w:rFonts w:ascii="Arial" w:eastAsiaTheme="minorHAnsi" w:hAnsi="Arial" w:cs="Arial"/>
          <w:i/>
          <w:color w:val="151515"/>
          <w:sz w:val="20"/>
          <w:szCs w:val="20"/>
          <w:lang w:val="es-PE" w:eastAsia="en-US"/>
        </w:rPr>
        <w:tab/>
        <w:t>Que, el numeral 15.1; 15.2 y 15.3 del artículo 15° del Decreto Supremo N° 082-2019-EF, que aprueba el</w:t>
      </w:r>
      <w:r w:rsidRPr="00AD34AA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Texto Único Ordenado de la Ley N° 30225, Ley de Contrataciones del Estado </w:t>
      </w:r>
      <w:r w:rsidRPr="00C86D1D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prescribe que, </w:t>
      </w:r>
      <w:r w:rsidRPr="00C86D1D">
        <w:rPr>
          <w:rFonts w:ascii="Arial" w:eastAsiaTheme="minorHAnsi" w:hAnsi="Arial" w:cs="Arial"/>
          <w:i/>
          <w:color w:val="151515"/>
          <w:sz w:val="20"/>
          <w:szCs w:val="20"/>
          <w:lang w:val="es-PE" w:eastAsia="en-US"/>
        </w:rPr>
        <w:t>15.1 Formulación d</w:t>
      </w:r>
      <w:r>
        <w:rPr>
          <w:rFonts w:ascii="Arial" w:eastAsiaTheme="minorHAnsi" w:hAnsi="Arial" w:cs="Arial"/>
          <w:i/>
          <w:color w:val="151515"/>
          <w:sz w:val="20"/>
          <w:szCs w:val="20"/>
          <w:lang w:val="es-PE" w:eastAsia="en-US"/>
        </w:rPr>
        <w:t>el Plan Anual de Contrataciones</w:t>
      </w:r>
      <w:r w:rsidRPr="00C86D1D">
        <w:rPr>
          <w:rFonts w:ascii="Arial" w:eastAsiaTheme="minorHAnsi" w:hAnsi="Arial" w:cs="Arial"/>
          <w:i/>
          <w:color w:val="151515"/>
          <w:sz w:val="20"/>
          <w:szCs w:val="20"/>
          <w:lang w:val="es-PE" w:eastAsia="en-US"/>
        </w:rPr>
        <w:t>: Teniendo en cuenta la etapa de formulación y</w:t>
      </w:r>
      <w:r>
        <w:rPr>
          <w:rFonts w:ascii="Arial" w:eastAsiaTheme="minorHAnsi" w:hAnsi="Arial" w:cs="Arial"/>
          <w:i/>
          <w:color w:val="151515"/>
          <w:sz w:val="20"/>
          <w:szCs w:val="20"/>
          <w:lang w:val="es-PE" w:eastAsia="en-US"/>
        </w:rPr>
        <w:t xml:space="preserve"> </w:t>
      </w:r>
      <w:r w:rsidRPr="00C86D1D">
        <w:rPr>
          <w:rFonts w:ascii="Arial" w:eastAsiaTheme="minorHAnsi" w:hAnsi="Arial" w:cs="Arial"/>
          <w:i/>
          <w:color w:val="151515"/>
          <w:sz w:val="20"/>
          <w:szCs w:val="20"/>
          <w:lang w:val="es-PE" w:eastAsia="en-US"/>
        </w:rPr>
        <w:t>programación presupuestaria correspondiente al siguiente año fiscal, cada Entidad debe programar en el</w:t>
      </w:r>
      <w:r>
        <w:rPr>
          <w:rFonts w:ascii="Arial" w:eastAsiaTheme="minorHAnsi" w:hAnsi="Arial" w:cs="Arial"/>
          <w:i/>
          <w:color w:val="151515"/>
          <w:sz w:val="20"/>
          <w:szCs w:val="20"/>
          <w:lang w:val="es-PE" w:eastAsia="en-US"/>
        </w:rPr>
        <w:t xml:space="preserve"> </w:t>
      </w:r>
      <w:r w:rsidRPr="00C86D1D">
        <w:rPr>
          <w:rFonts w:ascii="Arial" w:eastAsiaTheme="minorHAnsi" w:hAnsi="Arial" w:cs="Arial"/>
          <w:i/>
          <w:color w:val="151515"/>
          <w:sz w:val="20"/>
          <w:szCs w:val="20"/>
          <w:lang w:val="es-PE" w:eastAsia="en-US"/>
        </w:rPr>
        <w:t>Cuadro de Necesidades los requerimientos de bienes, servicios y obras necesarios para el cumplimiento de</w:t>
      </w:r>
      <w:r>
        <w:rPr>
          <w:rFonts w:ascii="Arial" w:eastAsiaTheme="minorHAnsi" w:hAnsi="Arial" w:cs="Arial"/>
          <w:i/>
          <w:color w:val="151515"/>
          <w:sz w:val="20"/>
          <w:szCs w:val="20"/>
          <w:lang w:val="es-PE" w:eastAsia="en-US"/>
        </w:rPr>
        <w:t xml:space="preserve"> </w:t>
      </w:r>
      <w:r w:rsidRPr="00C86D1D">
        <w:rPr>
          <w:rFonts w:ascii="Arial" w:eastAsiaTheme="minorHAnsi" w:hAnsi="Arial" w:cs="Arial"/>
          <w:i/>
          <w:color w:val="151515"/>
          <w:sz w:val="20"/>
          <w:szCs w:val="20"/>
          <w:lang w:val="es-PE" w:eastAsia="en-US"/>
        </w:rPr>
        <w:t>sus objetivos y actividades para dicho año, los que deben encontrarse vinculados al Plan Operativo</w:t>
      </w:r>
      <w:r>
        <w:rPr>
          <w:rFonts w:ascii="Arial" w:eastAsiaTheme="minorHAnsi" w:hAnsi="Arial" w:cs="Arial"/>
          <w:i/>
          <w:color w:val="151515"/>
          <w:sz w:val="20"/>
          <w:szCs w:val="20"/>
          <w:lang w:val="es-PE" w:eastAsia="en-US"/>
        </w:rPr>
        <w:t xml:space="preserve"> </w:t>
      </w:r>
      <w:r w:rsidRPr="00C86D1D">
        <w:rPr>
          <w:rFonts w:ascii="Arial" w:eastAsiaTheme="minorHAnsi" w:hAnsi="Arial" w:cs="Arial"/>
          <w:i/>
          <w:color w:val="151515"/>
          <w:sz w:val="20"/>
          <w:szCs w:val="20"/>
          <w:lang w:val="es-PE" w:eastAsia="en-US"/>
        </w:rPr>
        <w:t>Institucional, con la finalidad de elaborar e</w:t>
      </w:r>
      <w:r>
        <w:rPr>
          <w:rFonts w:ascii="Arial" w:eastAsiaTheme="minorHAnsi" w:hAnsi="Arial" w:cs="Arial"/>
          <w:i/>
          <w:color w:val="151515"/>
          <w:sz w:val="20"/>
          <w:szCs w:val="20"/>
          <w:lang w:val="es-PE" w:eastAsia="en-US"/>
        </w:rPr>
        <w:t xml:space="preserve">l Plan Anual de Contrataciones. </w:t>
      </w:r>
      <w:r w:rsidRPr="00C86D1D">
        <w:rPr>
          <w:rFonts w:ascii="Arial" w:eastAsiaTheme="minorHAnsi" w:hAnsi="Arial" w:cs="Arial"/>
          <w:i/>
          <w:color w:val="151515"/>
          <w:sz w:val="20"/>
          <w:szCs w:val="20"/>
          <w:lang w:val="es-PE" w:eastAsia="en-US"/>
        </w:rPr>
        <w:t>15.2 Contenido del Plan Anual de Contrataciones: El Plan Anual de Contrataciones que se apruebe debe</w:t>
      </w:r>
      <w:r>
        <w:rPr>
          <w:rFonts w:ascii="Arial" w:eastAsiaTheme="minorHAnsi" w:hAnsi="Arial" w:cs="Arial"/>
          <w:i/>
          <w:color w:val="151515"/>
          <w:sz w:val="20"/>
          <w:szCs w:val="20"/>
          <w:lang w:val="es-PE" w:eastAsia="en-US"/>
        </w:rPr>
        <w:t xml:space="preserve"> </w:t>
      </w:r>
      <w:r w:rsidRPr="00C86D1D">
        <w:rPr>
          <w:rFonts w:ascii="Arial" w:eastAsiaTheme="minorHAnsi" w:hAnsi="Arial" w:cs="Arial"/>
          <w:i/>
          <w:color w:val="151515"/>
          <w:sz w:val="20"/>
          <w:szCs w:val="20"/>
          <w:lang w:val="es-PE" w:eastAsia="en-US"/>
        </w:rPr>
        <w:t>prever las contrataciones de bienes, servicios y obras cubiertas con el Presupuesto Institucional de Apertura,</w:t>
      </w:r>
      <w:r>
        <w:rPr>
          <w:rFonts w:ascii="Arial" w:eastAsiaTheme="minorHAnsi" w:hAnsi="Arial" w:cs="Arial"/>
          <w:i/>
          <w:color w:val="151515"/>
          <w:sz w:val="20"/>
          <w:szCs w:val="20"/>
          <w:lang w:val="es-PE" w:eastAsia="en-US"/>
        </w:rPr>
        <w:t xml:space="preserve"> </w:t>
      </w:r>
      <w:r w:rsidRPr="00C86D1D">
        <w:rPr>
          <w:rFonts w:ascii="Arial" w:eastAsiaTheme="minorHAnsi" w:hAnsi="Arial" w:cs="Arial"/>
          <w:i/>
          <w:color w:val="151515"/>
          <w:sz w:val="20"/>
          <w:szCs w:val="20"/>
          <w:lang w:val="es-PE" w:eastAsia="en-US"/>
        </w:rPr>
        <w:t>con independencia de que se sujeten al ámbito de aplicación de la presente norma o no, y de la fuente de</w:t>
      </w:r>
      <w:r>
        <w:rPr>
          <w:rFonts w:ascii="Arial" w:eastAsiaTheme="minorHAnsi" w:hAnsi="Arial" w:cs="Arial"/>
          <w:i/>
          <w:color w:val="151515"/>
          <w:sz w:val="20"/>
          <w:szCs w:val="20"/>
          <w:lang w:val="es-PE" w:eastAsia="en-US"/>
        </w:rPr>
        <w:t xml:space="preserve"> financiamiento. </w:t>
      </w:r>
      <w:r w:rsidRPr="00C86D1D">
        <w:rPr>
          <w:rFonts w:ascii="Arial" w:eastAsiaTheme="minorHAnsi" w:hAnsi="Arial" w:cs="Arial"/>
          <w:i/>
          <w:color w:val="151515"/>
          <w:sz w:val="20"/>
          <w:szCs w:val="20"/>
          <w:lang w:val="es-PE" w:eastAsia="en-US"/>
        </w:rPr>
        <w:t>15.3 El Plan Anual de Contrataciones se publica en el Sistema Electrónico de Contrataciones del Estado</w:t>
      </w:r>
      <w:r>
        <w:rPr>
          <w:rFonts w:ascii="Arial" w:eastAsiaTheme="minorHAnsi" w:hAnsi="Arial" w:cs="Arial"/>
          <w:i/>
          <w:color w:val="151515"/>
          <w:sz w:val="20"/>
          <w:szCs w:val="20"/>
          <w:lang w:val="es-PE" w:eastAsia="en-US"/>
        </w:rPr>
        <w:t xml:space="preserve"> </w:t>
      </w:r>
      <w:r w:rsidRPr="00C86D1D">
        <w:rPr>
          <w:rFonts w:ascii="Arial" w:eastAsiaTheme="minorHAnsi" w:hAnsi="Arial" w:cs="Arial"/>
          <w:i/>
          <w:color w:val="151515"/>
          <w:sz w:val="20"/>
          <w:szCs w:val="20"/>
          <w:lang w:val="es-PE" w:eastAsia="en-US"/>
        </w:rPr>
        <w:t>(SEACE) y en el portal institucional de la respectiva Entidad</w:t>
      </w:r>
      <w:r>
        <w:rPr>
          <w:rFonts w:ascii="Arial" w:eastAsiaTheme="minorHAnsi" w:hAnsi="Arial" w:cs="Arial"/>
          <w:i/>
          <w:color w:val="151515"/>
          <w:sz w:val="20"/>
          <w:szCs w:val="20"/>
          <w:lang w:val="es-PE" w:eastAsia="en-US"/>
        </w:rPr>
        <w:t xml:space="preserve">; </w:t>
      </w:r>
    </w:p>
    <w:p w14:paraId="4F0BE2D0" w14:textId="77777777" w:rsidR="004A4C8D" w:rsidRPr="007A31AD" w:rsidRDefault="004A4C8D" w:rsidP="004A4C8D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160" w:line="276" w:lineRule="auto"/>
        <w:jc w:val="both"/>
        <w:rPr>
          <w:rFonts w:ascii="Arial" w:eastAsiaTheme="minorHAnsi" w:hAnsi="Arial" w:cs="Arial"/>
          <w:i/>
          <w:color w:val="151515"/>
          <w:sz w:val="20"/>
          <w:szCs w:val="20"/>
          <w:lang w:val="es-PE" w:eastAsia="en-US"/>
        </w:rPr>
      </w:pPr>
      <w:r>
        <w:rPr>
          <w:rFonts w:ascii="Arial" w:eastAsiaTheme="minorHAnsi" w:hAnsi="Arial" w:cs="Arial"/>
          <w:i/>
          <w:color w:val="151515"/>
          <w:sz w:val="20"/>
          <w:szCs w:val="20"/>
          <w:lang w:val="es-PE" w:eastAsia="en-US"/>
        </w:rPr>
        <w:tab/>
        <w:t xml:space="preserve">Siendo ello así, la citada disposición normativa prevé </w:t>
      </w:r>
      <w:r w:rsidRPr="007A31AD">
        <w:rPr>
          <w:rFonts w:ascii="Arial" w:eastAsia="Arial" w:hAnsi="Arial" w:cs="Arial"/>
          <w:i/>
          <w:color w:val="000000"/>
          <w:sz w:val="20"/>
          <w:szCs w:val="20"/>
          <w:lang w:val="es-PE"/>
        </w:rPr>
        <w:t>que antes d</w:t>
      </w:r>
      <w:r>
        <w:rPr>
          <w:rFonts w:ascii="Arial" w:eastAsia="Arial" w:hAnsi="Arial" w:cs="Arial"/>
          <w:i/>
          <w:color w:val="000000"/>
          <w:sz w:val="20"/>
          <w:szCs w:val="20"/>
          <w:lang w:val="es-PE"/>
        </w:rPr>
        <w:t>e la aprobación del P</w:t>
      </w:r>
      <w:r w:rsidRPr="007A31AD">
        <w:rPr>
          <w:rFonts w:ascii="Arial" w:eastAsia="Arial" w:hAnsi="Arial" w:cs="Arial"/>
          <w:i/>
          <w:color w:val="000000"/>
          <w:sz w:val="20"/>
          <w:szCs w:val="20"/>
          <w:lang w:val="es-PE"/>
        </w:rPr>
        <w:t xml:space="preserve">resupuesto </w:t>
      </w:r>
      <w:r>
        <w:rPr>
          <w:rFonts w:ascii="Arial" w:eastAsia="Arial" w:hAnsi="Arial" w:cs="Arial"/>
          <w:i/>
          <w:color w:val="000000"/>
          <w:sz w:val="20"/>
          <w:szCs w:val="20"/>
          <w:lang w:val="es-PE"/>
        </w:rPr>
        <w:t xml:space="preserve">Institucional de Apertura (PIA) </w:t>
      </w:r>
      <w:r w:rsidRPr="007A31AD">
        <w:rPr>
          <w:rFonts w:ascii="Arial" w:eastAsia="Arial" w:hAnsi="Arial" w:cs="Arial"/>
          <w:i/>
          <w:color w:val="000000"/>
          <w:sz w:val="20"/>
          <w:szCs w:val="20"/>
          <w:lang w:val="es-PE"/>
        </w:rPr>
        <w:t xml:space="preserve">de la Entidad, las áreas usuarias en coordinación con la </w:t>
      </w:r>
      <w:r>
        <w:rPr>
          <w:rFonts w:ascii="Arial" w:eastAsia="Arial" w:hAnsi="Arial" w:cs="Arial"/>
          <w:i/>
          <w:color w:val="000000"/>
          <w:sz w:val="20"/>
          <w:szCs w:val="20"/>
          <w:lang w:val="es-PE"/>
        </w:rPr>
        <w:t>O</w:t>
      </w:r>
      <w:r w:rsidRPr="007A31AD">
        <w:rPr>
          <w:rFonts w:ascii="Arial" w:eastAsia="Arial" w:hAnsi="Arial" w:cs="Arial"/>
          <w:i/>
          <w:color w:val="000000"/>
          <w:sz w:val="20"/>
          <w:szCs w:val="20"/>
          <w:lang w:val="es-PE"/>
        </w:rPr>
        <w:t xml:space="preserve">ficina de </w:t>
      </w:r>
      <w:r>
        <w:rPr>
          <w:rFonts w:ascii="Arial" w:eastAsia="Arial" w:hAnsi="Arial" w:cs="Arial"/>
          <w:i/>
          <w:color w:val="000000"/>
          <w:sz w:val="20"/>
          <w:szCs w:val="20"/>
          <w:lang w:val="es-PE"/>
        </w:rPr>
        <w:t>P</w:t>
      </w:r>
      <w:r w:rsidRPr="007A31AD">
        <w:rPr>
          <w:rFonts w:ascii="Arial" w:eastAsia="Arial" w:hAnsi="Arial" w:cs="Arial"/>
          <w:i/>
          <w:color w:val="000000"/>
          <w:sz w:val="20"/>
          <w:szCs w:val="20"/>
          <w:lang w:val="es-PE"/>
        </w:rPr>
        <w:t xml:space="preserve">resupuesto y </w:t>
      </w:r>
      <w:r>
        <w:rPr>
          <w:rFonts w:ascii="Arial" w:eastAsia="Arial" w:hAnsi="Arial" w:cs="Arial"/>
          <w:i/>
          <w:color w:val="000000"/>
          <w:sz w:val="20"/>
          <w:szCs w:val="20"/>
          <w:lang w:val="es-PE"/>
        </w:rPr>
        <w:t>P</w:t>
      </w:r>
      <w:r w:rsidRPr="007A31AD">
        <w:rPr>
          <w:rFonts w:ascii="Arial" w:eastAsia="Arial" w:hAnsi="Arial" w:cs="Arial"/>
          <w:i/>
          <w:color w:val="000000"/>
          <w:sz w:val="20"/>
          <w:szCs w:val="20"/>
          <w:lang w:val="es-PE"/>
        </w:rPr>
        <w:t>lanteamiento o la que haga sus veces</w:t>
      </w:r>
      <w:r>
        <w:rPr>
          <w:rFonts w:ascii="Arial" w:eastAsia="Arial" w:hAnsi="Arial" w:cs="Arial"/>
          <w:i/>
          <w:color w:val="000000"/>
          <w:sz w:val="20"/>
          <w:szCs w:val="20"/>
          <w:lang w:val="es-PE"/>
        </w:rPr>
        <w:t>,</w:t>
      </w:r>
      <w:r w:rsidRPr="007A31AD">
        <w:rPr>
          <w:rFonts w:ascii="Arial" w:eastAsia="Arial" w:hAnsi="Arial" w:cs="Arial"/>
          <w:i/>
          <w:color w:val="000000"/>
          <w:sz w:val="20"/>
          <w:szCs w:val="20"/>
          <w:lang w:val="es-PE"/>
        </w:rPr>
        <w:t xml:space="preserve"> efectúan los </w:t>
      </w:r>
      <w:r w:rsidRPr="0027024C">
        <w:rPr>
          <w:rFonts w:ascii="Arial" w:eastAsia="Arial" w:hAnsi="Arial" w:cs="Arial"/>
          <w:i/>
          <w:color w:val="000000"/>
          <w:sz w:val="20"/>
          <w:szCs w:val="20"/>
          <w:lang w:val="es-PE"/>
        </w:rPr>
        <w:t>ajustes</w:t>
      </w:r>
      <w:r w:rsidRPr="007A31AD">
        <w:rPr>
          <w:rFonts w:ascii="Arial" w:eastAsia="Arial" w:hAnsi="Arial" w:cs="Arial"/>
          <w:i/>
          <w:color w:val="000000"/>
          <w:sz w:val="20"/>
          <w:szCs w:val="20"/>
          <w:lang w:val="es-PE"/>
        </w:rPr>
        <w:t xml:space="preserve"> necesarios a sus requerimientos programados en el Cuadro Consolidado de Necesidades</w:t>
      </w:r>
      <w:r>
        <w:rPr>
          <w:rFonts w:ascii="Arial" w:eastAsia="Arial" w:hAnsi="Arial" w:cs="Arial"/>
          <w:i/>
          <w:color w:val="000000"/>
          <w:sz w:val="20"/>
          <w:szCs w:val="20"/>
          <w:lang w:val="es-PE"/>
        </w:rPr>
        <w:t xml:space="preserve">, </w:t>
      </w:r>
      <w:r w:rsidRPr="007A31AD">
        <w:rPr>
          <w:rFonts w:ascii="Arial" w:eastAsia="Arial" w:hAnsi="Arial" w:cs="Arial"/>
          <w:i/>
          <w:color w:val="000000"/>
          <w:sz w:val="20"/>
          <w:szCs w:val="20"/>
          <w:lang w:val="es-PE"/>
        </w:rPr>
        <w:t xml:space="preserve">en armonía con las prioridades institucionales, actividades y metas presupuestarias previstas, remitiendo sus </w:t>
      </w:r>
      <w:r w:rsidRPr="0027024C">
        <w:rPr>
          <w:rFonts w:ascii="Arial" w:eastAsia="Arial" w:hAnsi="Arial" w:cs="Arial"/>
          <w:i/>
          <w:color w:val="000000"/>
          <w:sz w:val="20"/>
          <w:szCs w:val="20"/>
          <w:lang w:val="es-PE"/>
        </w:rPr>
        <w:t>requerimientos priorizados</w:t>
      </w:r>
      <w:r w:rsidRPr="007A31AD">
        <w:rPr>
          <w:rFonts w:ascii="Arial" w:eastAsia="Arial" w:hAnsi="Arial" w:cs="Arial"/>
          <w:i/>
          <w:color w:val="000000"/>
          <w:sz w:val="20"/>
          <w:szCs w:val="20"/>
          <w:lang w:val="es-PE"/>
        </w:rPr>
        <w:t xml:space="preserve"> al Órgano Encargado de las Contrataciones, con base a lo cual se elabora el proyecto d</w:t>
      </w:r>
      <w:r>
        <w:rPr>
          <w:rFonts w:ascii="Arial" w:eastAsia="Arial" w:hAnsi="Arial" w:cs="Arial"/>
          <w:i/>
          <w:color w:val="000000"/>
          <w:sz w:val="20"/>
          <w:szCs w:val="20"/>
          <w:lang w:val="es-PE"/>
        </w:rPr>
        <w:t>el Plan Anual de Contrataciones</w:t>
      </w:r>
      <w:r w:rsidRPr="007A31AD">
        <w:rPr>
          <w:rFonts w:ascii="Arial" w:eastAsia="Arial" w:hAnsi="Arial" w:cs="Arial"/>
          <w:i/>
          <w:color w:val="000000"/>
          <w:sz w:val="20"/>
          <w:szCs w:val="20"/>
          <w:lang w:val="es-PE"/>
        </w:rPr>
        <w:t>.</w:t>
      </w:r>
      <w:r>
        <w:rPr>
          <w:rFonts w:ascii="Arial" w:eastAsia="Arial" w:hAnsi="Arial" w:cs="Arial"/>
          <w:i/>
          <w:color w:val="000000"/>
          <w:sz w:val="20"/>
          <w:szCs w:val="20"/>
          <w:lang w:val="es-PE"/>
        </w:rPr>
        <w:t xml:space="preserve"> </w:t>
      </w:r>
      <w:r w:rsidRPr="007A31AD">
        <w:rPr>
          <w:rFonts w:ascii="Arial" w:eastAsia="Arial" w:hAnsi="Arial" w:cs="Arial"/>
          <w:i/>
          <w:color w:val="000000"/>
          <w:sz w:val="20"/>
          <w:szCs w:val="20"/>
          <w:lang w:val="es-PE"/>
        </w:rPr>
        <w:t xml:space="preserve">En esa medida, una vez aprobado el Presupuesto Institucional de Apertura (PIA), el Órgano Encargado de las Contrataciones, en coordinación con las áreas usuarias y la </w:t>
      </w:r>
      <w:r>
        <w:rPr>
          <w:rFonts w:ascii="Arial" w:eastAsia="Arial" w:hAnsi="Arial" w:cs="Arial"/>
          <w:i/>
          <w:color w:val="000000"/>
          <w:sz w:val="20"/>
          <w:szCs w:val="20"/>
          <w:lang w:val="es-PE"/>
        </w:rPr>
        <w:t>O</w:t>
      </w:r>
      <w:r w:rsidRPr="007A31AD">
        <w:rPr>
          <w:rFonts w:ascii="Arial" w:eastAsia="Arial" w:hAnsi="Arial" w:cs="Arial"/>
          <w:i/>
          <w:color w:val="000000"/>
          <w:sz w:val="20"/>
          <w:szCs w:val="20"/>
          <w:lang w:val="es-PE"/>
        </w:rPr>
        <w:t xml:space="preserve">ficina de </w:t>
      </w:r>
      <w:r>
        <w:rPr>
          <w:rFonts w:ascii="Arial" w:eastAsia="Arial" w:hAnsi="Arial" w:cs="Arial"/>
          <w:i/>
          <w:color w:val="000000"/>
          <w:sz w:val="20"/>
          <w:szCs w:val="20"/>
          <w:lang w:val="es-PE"/>
        </w:rPr>
        <w:t>P</w:t>
      </w:r>
      <w:r w:rsidRPr="007A31AD">
        <w:rPr>
          <w:rFonts w:ascii="Arial" w:eastAsia="Arial" w:hAnsi="Arial" w:cs="Arial"/>
          <w:i/>
          <w:color w:val="000000"/>
          <w:sz w:val="20"/>
          <w:szCs w:val="20"/>
          <w:lang w:val="es-PE"/>
        </w:rPr>
        <w:t xml:space="preserve">resupuesto y </w:t>
      </w:r>
      <w:r>
        <w:rPr>
          <w:rFonts w:ascii="Arial" w:eastAsia="Arial" w:hAnsi="Arial" w:cs="Arial"/>
          <w:i/>
          <w:color w:val="000000"/>
          <w:sz w:val="20"/>
          <w:szCs w:val="20"/>
          <w:lang w:val="es-PE"/>
        </w:rPr>
        <w:t>P</w:t>
      </w:r>
      <w:r w:rsidRPr="007A31AD">
        <w:rPr>
          <w:rFonts w:ascii="Arial" w:eastAsia="Arial" w:hAnsi="Arial" w:cs="Arial"/>
          <w:i/>
          <w:color w:val="000000"/>
          <w:sz w:val="20"/>
          <w:szCs w:val="20"/>
          <w:lang w:val="es-PE"/>
        </w:rPr>
        <w:t xml:space="preserve">lanteamiento o la que haga sus veces en la Entidad, ajusta el proyecto del Plan Anual de Contrataciones (PAC). </w:t>
      </w:r>
    </w:p>
    <w:p w14:paraId="16091643" w14:textId="072B7877" w:rsidR="004A4C8D" w:rsidRPr="007A31AD" w:rsidRDefault="004A4C8D" w:rsidP="004A4C8D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160" w:line="276" w:lineRule="auto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AD34AA">
        <w:rPr>
          <w:noProof/>
          <w:sz w:val="20"/>
          <w:szCs w:val="20"/>
          <w:lang w:val="es-PE" w:eastAsia="es-PE"/>
        </w:rPr>
        <w:drawing>
          <wp:anchor distT="0" distB="0" distL="114300" distR="114300" simplePos="0" relativeHeight="251659264" behindDoc="1" locked="0" layoutInCell="1" allowOverlap="1" wp14:anchorId="00CF7CB0" wp14:editId="32EF1E84">
            <wp:simplePos x="0" y="0"/>
            <wp:positionH relativeFrom="page">
              <wp:posOffset>930275</wp:posOffset>
            </wp:positionH>
            <wp:positionV relativeFrom="paragraph">
              <wp:posOffset>10035540</wp:posOffset>
            </wp:positionV>
            <wp:extent cx="5760720" cy="504825"/>
            <wp:effectExtent l="0" t="0" r="0" b="952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ab/>
      </w:r>
      <w:r w:rsidRPr="00AD34AA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Que, con Informe N° </w:t>
      </w:r>
      <w:r w:rsidR="00F57612">
        <w:rPr>
          <w:rFonts w:ascii="Arial" w:eastAsiaTheme="minorHAnsi" w:hAnsi="Arial" w:cs="Arial"/>
          <w:i/>
          <w:sz w:val="20"/>
          <w:szCs w:val="20"/>
          <w:lang w:eastAsia="en-US"/>
        </w:rPr>
        <w:t>2304</w:t>
      </w:r>
      <w:r w:rsidRPr="00AD34AA">
        <w:rPr>
          <w:rFonts w:ascii="Arial" w:eastAsiaTheme="minorHAnsi" w:hAnsi="Arial" w:cs="Arial"/>
          <w:i/>
          <w:sz w:val="20"/>
          <w:szCs w:val="20"/>
          <w:lang w:eastAsia="en-US"/>
        </w:rPr>
        <w:t>-2024-MPP-GAF/SGL, la Subgerencia de Logística informa que,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deberá modificarse el Plan Anual de Contrataciones del año 2024 versión N° </w:t>
      </w:r>
      <w:r w:rsidR="00145F3D">
        <w:rPr>
          <w:rFonts w:ascii="Arial" w:eastAsiaTheme="minorHAnsi" w:hAnsi="Arial" w:cs="Arial"/>
          <w:i/>
          <w:sz w:val="20"/>
          <w:szCs w:val="20"/>
          <w:lang w:eastAsia="en-US"/>
        </w:rPr>
        <w:t>2</w:t>
      </w:r>
      <w:r w:rsidR="00F57612">
        <w:rPr>
          <w:rFonts w:ascii="Arial" w:eastAsiaTheme="minorHAnsi" w:hAnsi="Arial" w:cs="Arial"/>
          <w:i/>
          <w:sz w:val="20"/>
          <w:szCs w:val="20"/>
          <w:lang w:eastAsia="en-US"/>
        </w:rPr>
        <w:t>6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debiendo incluirse el ítem </w:t>
      </w:r>
      <w:r w:rsidR="0080101F">
        <w:rPr>
          <w:rFonts w:ascii="Arial" w:eastAsiaTheme="minorHAnsi" w:hAnsi="Arial" w:cs="Arial"/>
          <w:i/>
          <w:sz w:val="20"/>
          <w:szCs w:val="20"/>
          <w:lang w:eastAsia="en-US"/>
        </w:rPr>
        <w:t>6</w:t>
      </w:r>
      <w:r w:rsidR="00F57612">
        <w:rPr>
          <w:rFonts w:ascii="Arial" w:eastAsiaTheme="minorHAnsi" w:hAnsi="Arial" w:cs="Arial"/>
          <w:i/>
          <w:sz w:val="20"/>
          <w:szCs w:val="20"/>
          <w:lang w:eastAsia="en-US"/>
        </w:rPr>
        <w:t>8</w:t>
      </w:r>
      <w:r>
        <w:rPr>
          <w:rFonts w:ascii="Arial" w:hAnsi="Arial" w:cs="Arial"/>
          <w:bCs/>
          <w:i/>
          <w:spacing w:val="-3"/>
          <w:sz w:val="20"/>
          <w:szCs w:val="20"/>
        </w:rPr>
        <w:t xml:space="preserve"> y 6</w:t>
      </w:r>
      <w:r w:rsidR="00F57612">
        <w:rPr>
          <w:rFonts w:ascii="Arial" w:hAnsi="Arial" w:cs="Arial"/>
          <w:bCs/>
          <w:i/>
          <w:spacing w:val="-3"/>
          <w:sz w:val="20"/>
          <w:szCs w:val="20"/>
        </w:rPr>
        <w:t>9</w:t>
      </w:r>
      <w:r>
        <w:rPr>
          <w:rFonts w:ascii="Arial" w:hAnsi="Arial" w:cs="Arial"/>
          <w:bCs/>
          <w:i/>
          <w:spacing w:val="-3"/>
          <w:sz w:val="20"/>
          <w:szCs w:val="20"/>
        </w:rPr>
        <w:t xml:space="preserve"> </w:t>
      </w:r>
      <w:r w:rsidRPr="00953EE1">
        <w:rPr>
          <w:rFonts w:ascii="Arial" w:hAnsi="Arial" w:cs="Arial"/>
          <w:bCs/>
          <w:i/>
          <w:spacing w:val="-3"/>
          <w:sz w:val="20"/>
          <w:szCs w:val="20"/>
        </w:rPr>
        <w:t>correspondiente al año fiscal 202</w:t>
      </w:r>
      <w:r>
        <w:rPr>
          <w:rFonts w:ascii="Arial" w:hAnsi="Arial" w:cs="Arial"/>
          <w:bCs/>
          <w:i/>
          <w:spacing w:val="-3"/>
          <w:sz w:val="20"/>
          <w:szCs w:val="20"/>
        </w:rPr>
        <w:t>4</w:t>
      </w:r>
      <w:r w:rsidRPr="00953EE1">
        <w:rPr>
          <w:rFonts w:ascii="Arial" w:hAnsi="Arial" w:cs="Arial"/>
          <w:bCs/>
          <w:i/>
          <w:spacing w:val="-3"/>
          <w:sz w:val="20"/>
          <w:szCs w:val="20"/>
        </w:rPr>
        <w:t xml:space="preserve"> del pliego: Municipalidad Provincial de Paita, </w:t>
      </w:r>
      <w:r w:rsidRPr="00AD34AA">
        <w:rPr>
          <w:rFonts w:ascii="Arial" w:hAnsi="Arial" w:cs="Arial"/>
          <w:bCs/>
          <w:i/>
          <w:sz w:val="20"/>
          <w:szCs w:val="20"/>
          <w:lang w:val="es-PE"/>
        </w:rPr>
        <w:t xml:space="preserve">según el </w:t>
      </w:r>
      <w:r w:rsidRPr="00AD34AA">
        <w:rPr>
          <w:rFonts w:ascii="Arial" w:hAnsi="Arial" w:cs="Arial"/>
          <w:i/>
          <w:sz w:val="20"/>
          <w:szCs w:val="20"/>
          <w:lang w:val="es-PE"/>
        </w:rPr>
        <w:t xml:space="preserve">siguiente detalle: </w:t>
      </w:r>
    </w:p>
    <w:tbl>
      <w:tblPr>
        <w:tblW w:w="893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281"/>
        <w:gridCol w:w="709"/>
        <w:gridCol w:w="1129"/>
        <w:gridCol w:w="850"/>
        <w:gridCol w:w="993"/>
      </w:tblGrid>
      <w:tr w:rsidR="004A4C8D" w:rsidRPr="00542464" w14:paraId="7220F16B" w14:textId="77777777" w:rsidTr="00F57612">
        <w:trPr>
          <w:trHeight w:val="396"/>
        </w:trPr>
        <w:tc>
          <w:tcPr>
            <w:tcW w:w="567" w:type="dxa"/>
            <w:shd w:val="clear" w:color="auto" w:fill="auto"/>
            <w:vAlign w:val="center"/>
            <w:hideMark/>
          </w:tcPr>
          <w:p w14:paraId="75A7D3DD" w14:textId="77777777" w:rsidR="004A4C8D" w:rsidRPr="00145F3D" w:rsidRDefault="004A4C8D" w:rsidP="002F1596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lang w:val="es-PE" w:eastAsia="es-PE"/>
              </w:rPr>
            </w:pPr>
            <w:r w:rsidRPr="00145F3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lang w:val="es-PE" w:eastAsia="es-PE"/>
              </w:rPr>
              <w:t>N°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277C916" w14:textId="77777777" w:rsidR="004A4C8D" w:rsidRPr="00145F3D" w:rsidRDefault="004A4C8D" w:rsidP="002F1596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lang w:val="es-PE" w:eastAsia="es-PE"/>
              </w:rPr>
            </w:pPr>
            <w:r w:rsidRPr="00145F3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lang w:val="es-PE" w:eastAsia="es-PE"/>
              </w:rPr>
              <w:t>Descripción/</w:t>
            </w:r>
          </w:p>
          <w:p w14:paraId="086A17F4" w14:textId="77777777" w:rsidR="004A4C8D" w:rsidRPr="00145F3D" w:rsidRDefault="004A4C8D" w:rsidP="002F1596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lang w:val="es-PE" w:eastAsia="es-PE"/>
              </w:rPr>
            </w:pPr>
            <w:r w:rsidRPr="00145F3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lang w:val="es-PE" w:eastAsia="es-PE"/>
              </w:rPr>
              <w:t>Objeto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9259FA4" w14:textId="77777777" w:rsidR="004A4C8D" w:rsidRPr="00145F3D" w:rsidRDefault="004A4C8D" w:rsidP="002F1596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lang w:val="es-PE" w:eastAsia="es-PE"/>
              </w:rPr>
            </w:pPr>
            <w:r w:rsidRPr="00145F3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lang w:val="es-PE" w:eastAsia="es-PE"/>
              </w:rPr>
              <w:t>Tipo de Selección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6A32AA" w14:textId="77777777" w:rsidR="004A4C8D" w:rsidRPr="00145F3D" w:rsidRDefault="004A4C8D" w:rsidP="002F1596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lang w:val="es-PE" w:eastAsia="es-PE"/>
              </w:rPr>
            </w:pPr>
            <w:r w:rsidRPr="00145F3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lang w:val="es-PE" w:eastAsia="es-PE"/>
              </w:rPr>
              <w:t>Cantidad</w:t>
            </w:r>
          </w:p>
          <w:p w14:paraId="7C2686A9" w14:textId="77777777" w:rsidR="004A4C8D" w:rsidRPr="00145F3D" w:rsidRDefault="004A4C8D" w:rsidP="002F1596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lang w:val="es-PE" w:eastAsia="es-PE"/>
              </w:rPr>
            </w:pPr>
            <w:r w:rsidRPr="00145F3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lang w:val="es-PE" w:eastAsia="es-PE"/>
              </w:rPr>
              <w:t>de Ítems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D08F89A" w14:textId="77777777" w:rsidR="004A4C8D" w:rsidRPr="00145F3D" w:rsidRDefault="004A4C8D" w:rsidP="002F1596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lang w:val="es-PE" w:eastAsia="es-PE"/>
              </w:rPr>
            </w:pPr>
            <w:r w:rsidRPr="00145F3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lang w:val="es-PE" w:eastAsia="es-PE"/>
              </w:rPr>
              <w:t>Valor Estimado</w:t>
            </w:r>
          </w:p>
          <w:p w14:paraId="0C362BDA" w14:textId="77777777" w:rsidR="004A4C8D" w:rsidRPr="00145F3D" w:rsidRDefault="004A4C8D" w:rsidP="002F1596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lang w:val="es-PE" w:eastAsia="es-PE"/>
              </w:rPr>
            </w:pPr>
            <w:r w:rsidRPr="00145F3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lang w:val="es-PE" w:eastAsia="es-PE"/>
              </w:rPr>
              <w:t>(En Soles)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3D0012" w14:textId="77777777" w:rsidR="004A4C8D" w:rsidRPr="00145F3D" w:rsidRDefault="004A4C8D" w:rsidP="002F1596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lang w:val="es-PE" w:eastAsia="es-PE"/>
              </w:rPr>
            </w:pPr>
            <w:r w:rsidRPr="00145F3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lang w:val="es-PE" w:eastAsia="es-PE"/>
              </w:rPr>
              <w:t>Mes Programado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387D04" w14:textId="77777777" w:rsidR="004A4C8D" w:rsidRPr="00145F3D" w:rsidRDefault="004A4C8D" w:rsidP="002F1596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lang w:val="es-PE" w:eastAsia="es-PE"/>
              </w:rPr>
            </w:pPr>
            <w:r w:rsidRPr="00145F3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lang w:val="es-PE" w:eastAsia="es-PE"/>
              </w:rPr>
              <w:t xml:space="preserve">Fondo Fto. </w:t>
            </w:r>
          </w:p>
        </w:tc>
      </w:tr>
      <w:tr w:rsidR="004A4C8D" w:rsidRPr="00542464" w14:paraId="4564FA58" w14:textId="77777777" w:rsidTr="00F57612">
        <w:trPr>
          <w:trHeight w:val="888"/>
        </w:trPr>
        <w:tc>
          <w:tcPr>
            <w:tcW w:w="567" w:type="dxa"/>
            <w:shd w:val="clear" w:color="auto" w:fill="auto"/>
            <w:vAlign w:val="center"/>
            <w:hideMark/>
          </w:tcPr>
          <w:p w14:paraId="74DA9672" w14:textId="607AD1A9" w:rsidR="004A4C8D" w:rsidRPr="00145F3D" w:rsidRDefault="00F57612" w:rsidP="002F1596">
            <w:pPr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</w:pPr>
            <w:r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  <w:t>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0CA87EF" w14:textId="7DFFD78B" w:rsidR="004A4C8D" w:rsidRPr="00145F3D" w:rsidRDefault="00F57612" w:rsidP="002F1596">
            <w:pPr>
              <w:jc w:val="both"/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</w:pPr>
            <w:r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  <w:t>CONTRATACION DE EJECUCION DE LA OBRA: “REPARACION DE CAMPO DEPORTIVO; EN EL (A) AREA DE JUEGO DEL ESTADIO HERMANOS CARCAMO DISTRITO DE PAITA, PROVINCIA DE PAITA, DEPARTAMENTO DE PIURA” CUI N° 2660836</w:t>
            </w:r>
          </w:p>
          <w:p w14:paraId="74CD7A51" w14:textId="77777777" w:rsidR="004A4C8D" w:rsidRPr="00145F3D" w:rsidRDefault="004A4C8D" w:rsidP="002F1596">
            <w:pPr>
              <w:jc w:val="both"/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9DA72DC" w14:textId="77777777" w:rsidR="004A4C8D" w:rsidRPr="00145F3D" w:rsidRDefault="004A4C8D" w:rsidP="002F1596">
            <w:pPr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</w:pPr>
            <w:r w:rsidRPr="00145F3D"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  <w:t>Adjudicación Simplificada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75237D" w14:textId="77777777" w:rsidR="004A4C8D" w:rsidRPr="00145F3D" w:rsidRDefault="004A4C8D" w:rsidP="002F1596">
            <w:pPr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</w:pPr>
            <w:r w:rsidRPr="00145F3D"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  <w:t>1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4DF236A" w14:textId="51FE4A23" w:rsidR="004A4C8D" w:rsidRPr="00145F3D" w:rsidRDefault="00F57612" w:rsidP="002F1596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</w:pPr>
            <w:r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  <w:t>S/. 2,156,258.80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5E6B68" w14:textId="6BB6B497" w:rsidR="004A4C8D" w:rsidRPr="00145F3D" w:rsidRDefault="00F57612" w:rsidP="002F1596">
            <w:pPr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</w:pPr>
            <w:r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  <w:t>Noviembre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4B3CB7" w14:textId="77777777" w:rsidR="004A4C8D" w:rsidRPr="00145F3D" w:rsidRDefault="004A4C8D" w:rsidP="002F1596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lang w:val="es-PE" w:eastAsia="es-PE"/>
              </w:rPr>
            </w:pPr>
            <w:r w:rsidRPr="00145F3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lang w:val="es-PE" w:eastAsia="es-PE"/>
              </w:rPr>
              <w:t>*</w:t>
            </w:r>
            <w:r w:rsidRPr="00145F3D"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  <w:t>Recursos determinados</w:t>
            </w:r>
          </w:p>
        </w:tc>
      </w:tr>
      <w:tr w:rsidR="004A4C8D" w:rsidRPr="00542464" w14:paraId="35BF8AE5" w14:textId="77777777" w:rsidTr="00F57612">
        <w:trPr>
          <w:trHeight w:val="1000"/>
        </w:trPr>
        <w:tc>
          <w:tcPr>
            <w:tcW w:w="567" w:type="dxa"/>
            <w:shd w:val="clear" w:color="auto" w:fill="auto"/>
            <w:vAlign w:val="center"/>
          </w:tcPr>
          <w:p w14:paraId="4DE4CED8" w14:textId="54107A7B" w:rsidR="004A4C8D" w:rsidRPr="00145F3D" w:rsidRDefault="00F57612" w:rsidP="002F1596">
            <w:pPr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</w:pPr>
            <w:r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  <w:t>69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DE01C3E" w14:textId="0EE6E81D" w:rsidR="004A4C8D" w:rsidRPr="00145F3D" w:rsidRDefault="00F57612" w:rsidP="002F1596">
            <w:pPr>
              <w:jc w:val="both"/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</w:pPr>
            <w:r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  <w:t xml:space="preserve">ADQUISICION DE MATERIALES PARA LA IMPLEMENTACION DE COMITES DE VASO DE LECHE CON KITS DE COCINA Y MENAJE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9A86650" w14:textId="77777777" w:rsidR="004A4C8D" w:rsidRPr="00145F3D" w:rsidRDefault="004A4C8D" w:rsidP="002F1596">
            <w:pPr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</w:pPr>
            <w:r w:rsidRPr="00145F3D"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  <w:t>Adjudicación Simplificada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6A0B90" w14:textId="77777777" w:rsidR="004A4C8D" w:rsidRPr="00145F3D" w:rsidRDefault="004A4C8D" w:rsidP="002F1596">
            <w:pPr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</w:pPr>
            <w:r w:rsidRPr="00145F3D"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  <w:t>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B4A80EF" w14:textId="5297F22C" w:rsidR="004A4C8D" w:rsidRPr="00145F3D" w:rsidRDefault="00F57612" w:rsidP="002F1596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</w:pPr>
            <w:r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  <w:t>S/. 110,240.00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4120B3" w14:textId="7482881C" w:rsidR="004A4C8D" w:rsidRPr="00145F3D" w:rsidRDefault="00F57612" w:rsidP="002F1596">
            <w:pPr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</w:pPr>
            <w:r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  <w:t>Noviembre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903EA2" w14:textId="77777777" w:rsidR="004A4C8D" w:rsidRPr="00145F3D" w:rsidRDefault="004A4C8D" w:rsidP="002F1596">
            <w:pPr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</w:pPr>
            <w:r w:rsidRPr="00145F3D"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  <w:t>Recursos Determinados</w:t>
            </w:r>
          </w:p>
        </w:tc>
      </w:tr>
    </w:tbl>
    <w:p w14:paraId="577D7CB9" w14:textId="77777777" w:rsidR="004A4C8D" w:rsidRPr="00AD34AA" w:rsidRDefault="004A4C8D" w:rsidP="004A4C8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/>
          <w:i/>
          <w:sz w:val="14"/>
          <w:szCs w:val="14"/>
          <w:u w:val="single"/>
        </w:rPr>
      </w:pPr>
    </w:p>
    <w:p w14:paraId="0426AF29" w14:textId="77777777" w:rsidR="004A4C8D" w:rsidRPr="008B0AD2" w:rsidRDefault="004A4C8D" w:rsidP="004A4C8D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i/>
          <w:sz w:val="20"/>
          <w:szCs w:val="20"/>
          <w:lang w:val="es-PE" w:eastAsia="en-US"/>
        </w:rPr>
      </w:pPr>
      <w:r w:rsidRPr="008B0AD2">
        <w:rPr>
          <w:rFonts w:ascii="Arial" w:eastAsiaTheme="minorHAnsi" w:hAnsi="Arial" w:cs="Arial"/>
          <w:i/>
          <w:sz w:val="20"/>
          <w:szCs w:val="20"/>
          <w:lang w:val="es-PE" w:eastAsia="en-US"/>
        </w:rPr>
        <w:t xml:space="preserve">Que, en ese sentido, </w:t>
      </w:r>
      <w:r>
        <w:rPr>
          <w:rFonts w:ascii="Arial" w:hAnsi="Arial" w:cs="Arial"/>
          <w:i/>
          <w:sz w:val="20"/>
          <w:szCs w:val="20"/>
          <w:lang w:val="es-PE" w:eastAsia="es-PE"/>
        </w:rPr>
        <w:t xml:space="preserve">a lo </w:t>
      </w:r>
      <w:r w:rsidRPr="008B0AD2">
        <w:rPr>
          <w:rFonts w:ascii="Arial" w:eastAsiaTheme="minorHAnsi" w:hAnsi="Arial" w:cs="Arial"/>
          <w:i/>
          <w:sz w:val="20"/>
          <w:szCs w:val="20"/>
          <w:lang w:val="es-PE" w:eastAsia="en-US"/>
        </w:rPr>
        <w:t xml:space="preserve">informado por </w:t>
      </w:r>
      <w:r>
        <w:rPr>
          <w:rFonts w:ascii="Arial" w:eastAsiaTheme="minorHAnsi" w:hAnsi="Arial" w:cs="Arial"/>
          <w:i/>
          <w:sz w:val="20"/>
          <w:szCs w:val="20"/>
          <w:lang w:val="es-PE" w:eastAsia="en-US"/>
        </w:rPr>
        <w:t xml:space="preserve">la Subgerencia de Logística; Gerencia de Administración y Finanzas, a las consideraciones prescritas en la </w:t>
      </w:r>
      <w:r w:rsidRPr="00AD34AA">
        <w:rPr>
          <w:rFonts w:ascii="Arial" w:hAnsi="Arial" w:cs="Arial"/>
          <w:bCs/>
          <w:i/>
          <w:spacing w:val="-3"/>
          <w:sz w:val="20"/>
          <w:szCs w:val="20"/>
          <w:lang w:val="es-PE"/>
        </w:rPr>
        <w:t>Ley N°30225, Ley de Contrataciones del Estado</w:t>
      </w:r>
      <w:r>
        <w:rPr>
          <w:rFonts w:ascii="Arial" w:hAnsi="Arial" w:cs="Arial"/>
          <w:bCs/>
          <w:i/>
          <w:spacing w:val="-3"/>
          <w:sz w:val="20"/>
          <w:szCs w:val="20"/>
          <w:lang w:val="es-PE"/>
        </w:rPr>
        <w:t xml:space="preserve">; el </w:t>
      </w:r>
      <w:r w:rsidRPr="00AD34AA">
        <w:rPr>
          <w:rFonts w:ascii="Arial" w:hAnsi="Arial" w:cs="Arial"/>
          <w:bCs/>
          <w:i/>
          <w:spacing w:val="-3"/>
          <w:sz w:val="20"/>
          <w:szCs w:val="20"/>
          <w:lang w:val="es-PE"/>
        </w:rPr>
        <w:t xml:space="preserve">Decreto Supremo N°344-2018-EF, que aprueba el Reglamento de la Ley N°30225, Ley de </w:t>
      </w:r>
      <w:r w:rsidRPr="00AD34AA">
        <w:rPr>
          <w:rFonts w:ascii="Arial" w:hAnsi="Arial" w:cs="Arial"/>
          <w:bCs/>
          <w:i/>
          <w:spacing w:val="-3"/>
          <w:sz w:val="20"/>
          <w:szCs w:val="20"/>
          <w:lang w:val="es-PE"/>
        </w:rPr>
        <w:lastRenderedPageBreak/>
        <w:t>Contrataciones del Estado</w:t>
      </w:r>
      <w:r>
        <w:rPr>
          <w:rFonts w:ascii="Arial" w:hAnsi="Arial" w:cs="Arial"/>
          <w:bCs/>
          <w:i/>
          <w:spacing w:val="-3"/>
          <w:sz w:val="20"/>
          <w:szCs w:val="20"/>
          <w:lang w:val="es-PE"/>
        </w:rPr>
        <w:t xml:space="preserve"> y a la </w:t>
      </w:r>
      <w:r w:rsidRPr="00AD34AA">
        <w:rPr>
          <w:rFonts w:ascii="Arial" w:hAnsi="Arial" w:cs="Arial"/>
          <w:i/>
          <w:sz w:val="20"/>
          <w:szCs w:val="20"/>
          <w:lang w:val="es-PE"/>
        </w:rPr>
        <w:t xml:space="preserve">Directiva N° 002-2019-OSCE/CD – </w:t>
      </w:r>
      <w:r>
        <w:rPr>
          <w:rFonts w:ascii="Arial" w:hAnsi="Arial" w:cs="Arial"/>
          <w:i/>
          <w:sz w:val="20"/>
          <w:szCs w:val="20"/>
          <w:lang w:val="es-PE"/>
        </w:rPr>
        <w:t xml:space="preserve">Ampliación del </w:t>
      </w:r>
      <w:r w:rsidRPr="00AD34AA">
        <w:rPr>
          <w:rFonts w:ascii="Arial" w:hAnsi="Arial" w:cs="Arial"/>
          <w:i/>
          <w:sz w:val="20"/>
          <w:szCs w:val="20"/>
          <w:lang w:val="es-PE"/>
        </w:rPr>
        <w:t>Plan Anual de Contrataciones</w:t>
      </w:r>
      <w:r>
        <w:rPr>
          <w:rFonts w:ascii="Arial" w:hAnsi="Arial" w:cs="Arial"/>
          <w:i/>
          <w:sz w:val="20"/>
          <w:szCs w:val="20"/>
          <w:lang w:val="es-PE"/>
        </w:rPr>
        <w:t>; y,</w:t>
      </w:r>
      <w:r w:rsidRPr="008B0AD2">
        <w:rPr>
          <w:rFonts w:ascii="Arial" w:eastAsiaTheme="minorHAnsi" w:hAnsi="Arial" w:cs="Arial"/>
          <w:i/>
          <w:sz w:val="20"/>
          <w:szCs w:val="20"/>
          <w:lang w:val="es-PE" w:eastAsia="en-US"/>
        </w:rPr>
        <w:t xml:space="preserve"> a las facultades conferidas mediante Resolución de Alcaldía N° 018-2024/MPP-A de fecha 12/01/24; </w:t>
      </w:r>
    </w:p>
    <w:p w14:paraId="5B1A653A" w14:textId="77777777" w:rsidR="004A4C8D" w:rsidRDefault="004A4C8D" w:rsidP="004A4C8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/>
          <w:bCs/>
          <w:i/>
          <w:spacing w:val="-3"/>
          <w:sz w:val="14"/>
          <w:szCs w:val="14"/>
          <w:lang w:val="es-PE"/>
        </w:rPr>
      </w:pPr>
    </w:p>
    <w:p w14:paraId="1EAA37CA" w14:textId="77777777" w:rsidR="004A4C8D" w:rsidRDefault="004A4C8D" w:rsidP="004A4C8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/>
          <w:bCs/>
          <w:i/>
          <w:spacing w:val="-3"/>
          <w:sz w:val="14"/>
          <w:szCs w:val="14"/>
          <w:lang w:val="es-PE"/>
        </w:rPr>
      </w:pPr>
    </w:p>
    <w:p w14:paraId="032B126F" w14:textId="77777777" w:rsidR="004A4C8D" w:rsidRDefault="004A4C8D" w:rsidP="004A4C8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/>
          <w:bCs/>
          <w:i/>
          <w:spacing w:val="-3"/>
          <w:sz w:val="14"/>
          <w:szCs w:val="14"/>
          <w:lang w:val="es-PE"/>
        </w:rPr>
      </w:pPr>
    </w:p>
    <w:p w14:paraId="266EDBD5" w14:textId="77777777" w:rsidR="004A4C8D" w:rsidRDefault="004A4C8D" w:rsidP="004A4C8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/>
          <w:bCs/>
          <w:i/>
          <w:spacing w:val="-3"/>
          <w:sz w:val="20"/>
          <w:szCs w:val="20"/>
        </w:rPr>
      </w:pPr>
      <w:r>
        <w:rPr>
          <w:rFonts w:ascii="Arial" w:hAnsi="Arial" w:cs="Arial"/>
          <w:b/>
          <w:bCs/>
          <w:i/>
          <w:spacing w:val="-3"/>
          <w:sz w:val="20"/>
          <w:szCs w:val="20"/>
        </w:rPr>
        <w:tab/>
      </w:r>
      <w:r w:rsidRPr="00953EE1">
        <w:rPr>
          <w:rFonts w:ascii="Arial" w:hAnsi="Arial" w:cs="Arial"/>
          <w:b/>
          <w:bCs/>
          <w:i/>
          <w:spacing w:val="-3"/>
          <w:sz w:val="20"/>
          <w:szCs w:val="20"/>
        </w:rPr>
        <w:t>SE RESUELVE:</w:t>
      </w:r>
    </w:p>
    <w:p w14:paraId="05F43401" w14:textId="77777777" w:rsidR="004A4C8D" w:rsidRPr="00953EE1" w:rsidRDefault="004A4C8D" w:rsidP="004A4C8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/>
          <w:bCs/>
          <w:i/>
          <w:spacing w:val="-3"/>
          <w:sz w:val="20"/>
          <w:szCs w:val="20"/>
        </w:rPr>
      </w:pPr>
    </w:p>
    <w:p w14:paraId="047BC8A2" w14:textId="480341F3" w:rsidR="004A4C8D" w:rsidRDefault="004A4C8D" w:rsidP="004A4C8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  <w:i/>
          <w:spacing w:val="-3"/>
          <w:sz w:val="20"/>
          <w:szCs w:val="20"/>
        </w:rPr>
      </w:pPr>
      <w:r w:rsidRPr="00953EE1">
        <w:rPr>
          <w:rFonts w:ascii="Arial" w:hAnsi="Arial" w:cs="Arial"/>
          <w:b/>
          <w:bCs/>
          <w:i/>
          <w:spacing w:val="-3"/>
          <w:sz w:val="20"/>
          <w:szCs w:val="20"/>
          <w:u w:val="single"/>
        </w:rPr>
        <w:t>ARTÍCULO PRIMERO</w:t>
      </w:r>
      <w:r w:rsidRPr="00953EE1">
        <w:rPr>
          <w:rFonts w:ascii="Arial" w:hAnsi="Arial" w:cs="Arial"/>
          <w:b/>
          <w:bCs/>
          <w:i/>
          <w:spacing w:val="-3"/>
          <w:sz w:val="20"/>
          <w:szCs w:val="20"/>
        </w:rPr>
        <w:t xml:space="preserve">: Aprobar </w:t>
      </w:r>
      <w:r>
        <w:rPr>
          <w:rFonts w:ascii="Arial" w:hAnsi="Arial" w:cs="Arial"/>
          <w:b/>
          <w:bCs/>
          <w:i/>
          <w:spacing w:val="-3"/>
          <w:sz w:val="20"/>
          <w:szCs w:val="20"/>
        </w:rPr>
        <w:t xml:space="preserve">la Ampliación del </w:t>
      </w:r>
      <w:r w:rsidRPr="00953EE1">
        <w:rPr>
          <w:rFonts w:ascii="Arial" w:hAnsi="Arial" w:cs="Arial"/>
          <w:b/>
          <w:bCs/>
          <w:i/>
          <w:spacing w:val="-3"/>
          <w:sz w:val="20"/>
          <w:szCs w:val="20"/>
        </w:rPr>
        <w:t xml:space="preserve">Plan Anual de Contrataciones </w:t>
      </w:r>
      <w:r>
        <w:rPr>
          <w:rFonts w:ascii="Arial" w:hAnsi="Arial" w:cs="Arial"/>
          <w:b/>
          <w:bCs/>
          <w:i/>
          <w:spacing w:val="-3"/>
          <w:sz w:val="20"/>
          <w:szCs w:val="20"/>
        </w:rPr>
        <w:t xml:space="preserve">2024 versión Nº </w:t>
      </w:r>
      <w:r w:rsidR="0080101F">
        <w:rPr>
          <w:rFonts w:ascii="Arial" w:hAnsi="Arial" w:cs="Arial"/>
          <w:b/>
          <w:bCs/>
          <w:i/>
          <w:spacing w:val="-3"/>
          <w:sz w:val="20"/>
          <w:szCs w:val="20"/>
        </w:rPr>
        <w:t>2</w:t>
      </w:r>
      <w:r w:rsidR="00B2060B">
        <w:rPr>
          <w:rFonts w:ascii="Arial" w:hAnsi="Arial" w:cs="Arial"/>
          <w:b/>
          <w:bCs/>
          <w:i/>
          <w:spacing w:val="-3"/>
          <w:sz w:val="20"/>
          <w:szCs w:val="20"/>
        </w:rPr>
        <w:t>6</w:t>
      </w:r>
      <w:r w:rsidRPr="00953EE1">
        <w:rPr>
          <w:rFonts w:ascii="Arial" w:hAnsi="Arial" w:cs="Arial"/>
          <w:b/>
          <w:bCs/>
          <w:i/>
          <w:spacing w:val="-3"/>
          <w:sz w:val="20"/>
          <w:szCs w:val="20"/>
        </w:rPr>
        <w:t xml:space="preserve">, </w:t>
      </w:r>
      <w:r w:rsidRPr="00953EE1">
        <w:rPr>
          <w:rFonts w:ascii="Arial" w:hAnsi="Arial" w:cs="Arial"/>
          <w:bCs/>
          <w:i/>
          <w:spacing w:val="-3"/>
          <w:sz w:val="20"/>
          <w:szCs w:val="20"/>
        </w:rPr>
        <w:t>correspondiente al año fiscal 202</w:t>
      </w:r>
      <w:r>
        <w:rPr>
          <w:rFonts w:ascii="Arial" w:hAnsi="Arial" w:cs="Arial"/>
          <w:bCs/>
          <w:i/>
          <w:spacing w:val="-3"/>
          <w:sz w:val="20"/>
          <w:szCs w:val="20"/>
        </w:rPr>
        <w:t>4</w:t>
      </w:r>
      <w:r w:rsidRPr="00953EE1">
        <w:rPr>
          <w:rFonts w:ascii="Arial" w:hAnsi="Arial" w:cs="Arial"/>
          <w:bCs/>
          <w:i/>
          <w:spacing w:val="-3"/>
          <w:sz w:val="20"/>
          <w:szCs w:val="20"/>
        </w:rPr>
        <w:t xml:space="preserve"> del pliego: Municipalidad Provincial de Paita, </w:t>
      </w:r>
      <w:r>
        <w:rPr>
          <w:rFonts w:ascii="Arial" w:hAnsi="Arial" w:cs="Arial"/>
          <w:bCs/>
          <w:i/>
          <w:spacing w:val="-3"/>
          <w:sz w:val="20"/>
          <w:szCs w:val="20"/>
        </w:rPr>
        <w:t>conforme al siguiente detalle</w:t>
      </w:r>
      <w:r w:rsidRPr="00953EE1">
        <w:rPr>
          <w:rFonts w:ascii="Arial" w:hAnsi="Arial" w:cs="Arial"/>
          <w:bCs/>
          <w:i/>
          <w:spacing w:val="-3"/>
          <w:sz w:val="20"/>
          <w:szCs w:val="20"/>
        </w:rPr>
        <w:t>:</w:t>
      </w:r>
    </w:p>
    <w:p w14:paraId="45F8AF21" w14:textId="77777777" w:rsidR="0080101F" w:rsidRDefault="0080101F" w:rsidP="004A4C8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Cs/>
          <w:i/>
          <w:spacing w:val="-3"/>
          <w:sz w:val="20"/>
          <w:szCs w:val="20"/>
        </w:rPr>
      </w:pPr>
    </w:p>
    <w:tbl>
      <w:tblPr>
        <w:tblW w:w="893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281"/>
        <w:gridCol w:w="709"/>
        <w:gridCol w:w="1129"/>
        <w:gridCol w:w="850"/>
        <w:gridCol w:w="993"/>
      </w:tblGrid>
      <w:tr w:rsidR="00B2060B" w:rsidRPr="00542464" w14:paraId="7BAB4627" w14:textId="77777777" w:rsidTr="00053BF8">
        <w:trPr>
          <w:trHeight w:val="396"/>
        </w:trPr>
        <w:tc>
          <w:tcPr>
            <w:tcW w:w="567" w:type="dxa"/>
            <w:shd w:val="clear" w:color="auto" w:fill="auto"/>
            <w:vAlign w:val="center"/>
            <w:hideMark/>
          </w:tcPr>
          <w:p w14:paraId="37592072" w14:textId="77777777" w:rsidR="00B2060B" w:rsidRPr="00145F3D" w:rsidRDefault="00B2060B" w:rsidP="00053BF8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lang w:val="es-PE" w:eastAsia="es-PE"/>
              </w:rPr>
            </w:pPr>
            <w:r w:rsidRPr="00145F3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lang w:val="es-PE" w:eastAsia="es-PE"/>
              </w:rPr>
              <w:t>N°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13E7BFE" w14:textId="77777777" w:rsidR="00B2060B" w:rsidRPr="00145F3D" w:rsidRDefault="00B2060B" w:rsidP="00053BF8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lang w:val="es-PE" w:eastAsia="es-PE"/>
              </w:rPr>
            </w:pPr>
            <w:r w:rsidRPr="00145F3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lang w:val="es-PE" w:eastAsia="es-PE"/>
              </w:rPr>
              <w:t>Descripción/</w:t>
            </w:r>
          </w:p>
          <w:p w14:paraId="0527C387" w14:textId="77777777" w:rsidR="00B2060B" w:rsidRPr="00145F3D" w:rsidRDefault="00B2060B" w:rsidP="00053BF8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lang w:val="es-PE" w:eastAsia="es-PE"/>
              </w:rPr>
            </w:pPr>
            <w:r w:rsidRPr="00145F3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lang w:val="es-PE" w:eastAsia="es-PE"/>
              </w:rPr>
              <w:t>Objeto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184B615" w14:textId="77777777" w:rsidR="00B2060B" w:rsidRPr="00145F3D" w:rsidRDefault="00B2060B" w:rsidP="00053BF8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lang w:val="es-PE" w:eastAsia="es-PE"/>
              </w:rPr>
            </w:pPr>
            <w:r w:rsidRPr="00145F3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lang w:val="es-PE" w:eastAsia="es-PE"/>
              </w:rPr>
              <w:t>Tipo de Selección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4A2BA1" w14:textId="77777777" w:rsidR="00B2060B" w:rsidRPr="00145F3D" w:rsidRDefault="00B2060B" w:rsidP="00053BF8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lang w:val="es-PE" w:eastAsia="es-PE"/>
              </w:rPr>
            </w:pPr>
            <w:r w:rsidRPr="00145F3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lang w:val="es-PE" w:eastAsia="es-PE"/>
              </w:rPr>
              <w:t>Cantidad</w:t>
            </w:r>
          </w:p>
          <w:p w14:paraId="27789DD3" w14:textId="77777777" w:rsidR="00B2060B" w:rsidRPr="00145F3D" w:rsidRDefault="00B2060B" w:rsidP="00053BF8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lang w:val="es-PE" w:eastAsia="es-PE"/>
              </w:rPr>
            </w:pPr>
            <w:r w:rsidRPr="00145F3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lang w:val="es-PE" w:eastAsia="es-PE"/>
              </w:rPr>
              <w:t>de Ítems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94B756D" w14:textId="77777777" w:rsidR="00B2060B" w:rsidRPr="00145F3D" w:rsidRDefault="00B2060B" w:rsidP="00053BF8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lang w:val="es-PE" w:eastAsia="es-PE"/>
              </w:rPr>
            </w:pPr>
            <w:r w:rsidRPr="00145F3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lang w:val="es-PE" w:eastAsia="es-PE"/>
              </w:rPr>
              <w:t>Valor Estimado</w:t>
            </w:r>
          </w:p>
          <w:p w14:paraId="3EE4C544" w14:textId="77777777" w:rsidR="00B2060B" w:rsidRPr="00145F3D" w:rsidRDefault="00B2060B" w:rsidP="00053BF8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lang w:val="es-PE" w:eastAsia="es-PE"/>
              </w:rPr>
            </w:pPr>
            <w:r w:rsidRPr="00145F3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lang w:val="es-PE" w:eastAsia="es-PE"/>
              </w:rPr>
              <w:t>(En Soles)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70A668" w14:textId="77777777" w:rsidR="00B2060B" w:rsidRPr="00145F3D" w:rsidRDefault="00B2060B" w:rsidP="00053BF8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lang w:val="es-PE" w:eastAsia="es-PE"/>
              </w:rPr>
            </w:pPr>
            <w:r w:rsidRPr="00145F3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lang w:val="es-PE" w:eastAsia="es-PE"/>
              </w:rPr>
              <w:t>Mes Programado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1ACC26B" w14:textId="77777777" w:rsidR="00B2060B" w:rsidRPr="00145F3D" w:rsidRDefault="00B2060B" w:rsidP="00053BF8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lang w:val="es-PE" w:eastAsia="es-PE"/>
              </w:rPr>
            </w:pPr>
            <w:r w:rsidRPr="00145F3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lang w:val="es-PE" w:eastAsia="es-PE"/>
              </w:rPr>
              <w:t xml:space="preserve">Fondo Fto. </w:t>
            </w:r>
          </w:p>
        </w:tc>
      </w:tr>
      <w:tr w:rsidR="00B2060B" w:rsidRPr="00542464" w14:paraId="76E08B77" w14:textId="77777777" w:rsidTr="00053BF8">
        <w:trPr>
          <w:trHeight w:val="888"/>
        </w:trPr>
        <w:tc>
          <w:tcPr>
            <w:tcW w:w="567" w:type="dxa"/>
            <w:shd w:val="clear" w:color="auto" w:fill="auto"/>
            <w:vAlign w:val="center"/>
            <w:hideMark/>
          </w:tcPr>
          <w:p w14:paraId="74AF4AB7" w14:textId="77777777" w:rsidR="00B2060B" w:rsidRPr="00145F3D" w:rsidRDefault="00B2060B" w:rsidP="00053BF8">
            <w:pPr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</w:pPr>
            <w:r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  <w:t>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3D234C3" w14:textId="77777777" w:rsidR="00B2060B" w:rsidRPr="00145F3D" w:rsidRDefault="00B2060B" w:rsidP="00053BF8">
            <w:pPr>
              <w:jc w:val="both"/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</w:pPr>
            <w:r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  <w:t>CONTRATACION DE EJECUCION DE LA OBRA: “REPARACION DE CAMPO DEPORTIVO; EN EL (A) AREA DE JUEGO DEL ESTADIO HERMANOS CARCAMO DISTRITO DE PAITA, PROVINCIA DE PAITA, DEPARTAMENTO DE PIURA” CUI N° 2660836</w:t>
            </w:r>
          </w:p>
          <w:p w14:paraId="323ECE12" w14:textId="77777777" w:rsidR="00B2060B" w:rsidRPr="00145F3D" w:rsidRDefault="00B2060B" w:rsidP="00053BF8">
            <w:pPr>
              <w:jc w:val="both"/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E7448FB" w14:textId="77777777" w:rsidR="00B2060B" w:rsidRPr="00145F3D" w:rsidRDefault="00B2060B" w:rsidP="00053BF8">
            <w:pPr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</w:pPr>
            <w:r w:rsidRPr="00145F3D"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  <w:t>Adjudicación Simplificada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2080C1" w14:textId="77777777" w:rsidR="00B2060B" w:rsidRPr="00145F3D" w:rsidRDefault="00B2060B" w:rsidP="00053BF8">
            <w:pPr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</w:pPr>
            <w:r w:rsidRPr="00145F3D"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  <w:t>1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FF82F18" w14:textId="77777777" w:rsidR="00B2060B" w:rsidRPr="00145F3D" w:rsidRDefault="00B2060B" w:rsidP="00053BF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</w:pPr>
            <w:r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  <w:t>S/. 2,156,258.80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33BAC1" w14:textId="77777777" w:rsidR="00B2060B" w:rsidRPr="00145F3D" w:rsidRDefault="00B2060B" w:rsidP="00053BF8">
            <w:pPr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</w:pPr>
            <w:r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  <w:t>Noviembre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9074E0" w14:textId="77777777" w:rsidR="00B2060B" w:rsidRPr="00145F3D" w:rsidRDefault="00B2060B" w:rsidP="00053BF8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lang w:val="es-PE" w:eastAsia="es-PE"/>
              </w:rPr>
            </w:pPr>
            <w:r w:rsidRPr="00145F3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lang w:val="es-PE" w:eastAsia="es-PE"/>
              </w:rPr>
              <w:t>*</w:t>
            </w:r>
            <w:r w:rsidRPr="00145F3D"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  <w:t>Recursos determinados</w:t>
            </w:r>
          </w:p>
        </w:tc>
      </w:tr>
      <w:tr w:rsidR="00B2060B" w:rsidRPr="00542464" w14:paraId="5B183C11" w14:textId="77777777" w:rsidTr="00053BF8">
        <w:trPr>
          <w:trHeight w:val="1000"/>
        </w:trPr>
        <w:tc>
          <w:tcPr>
            <w:tcW w:w="567" w:type="dxa"/>
            <w:shd w:val="clear" w:color="auto" w:fill="auto"/>
            <w:vAlign w:val="center"/>
          </w:tcPr>
          <w:p w14:paraId="1F53491F" w14:textId="77777777" w:rsidR="00B2060B" w:rsidRPr="00145F3D" w:rsidRDefault="00B2060B" w:rsidP="00053BF8">
            <w:pPr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</w:pPr>
            <w:r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  <w:t>69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28EB86" w14:textId="77777777" w:rsidR="00B2060B" w:rsidRPr="00145F3D" w:rsidRDefault="00B2060B" w:rsidP="00053BF8">
            <w:pPr>
              <w:jc w:val="both"/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</w:pPr>
            <w:r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  <w:t xml:space="preserve">ADQUISICION DE MATERIALES PARA LA IMPLEMENTACION DE COMITES DE VASO DE LECHE CON KITS DE COCINA Y MENAJE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E0558A" w14:textId="77777777" w:rsidR="00B2060B" w:rsidRPr="00145F3D" w:rsidRDefault="00B2060B" w:rsidP="00053BF8">
            <w:pPr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</w:pPr>
            <w:r w:rsidRPr="00145F3D"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  <w:t>Adjudicación Simplificada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3E4B26" w14:textId="77777777" w:rsidR="00B2060B" w:rsidRPr="00145F3D" w:rsidRDefault="00B2060B" w:rsidP="00053BF8">
            <w:pPr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</w:pPr>
            <w:r w:rsidRPr="00145F3D"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  <w:t>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ED5DD99" w14:textId="77777777" w:rsidR="00B2060B" w:rsidRPr="00145F3D" w:rsidRDefault="00B2060B" w:rsidP="00053BF8">
            <w:pPr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</w:pPr>
            <w:r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  <w:t>S/. 110,240.00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A32CE4" w14:textId="77777777" w:rsidR="00B2060B" w:rsidRPr="00145F3D" w:rsidRDefault="00B2060B" w:rsidP="00053BF8">
            <w:pPr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</w:pPr>
            <w:r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  <w:t>Noviembre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FE1FD7" w14:textId="77777777" w:rsidR="00B2060B" w:rsidRPr="00145F3D" w:rsidRDefault="00B2060B" w:rsidP="00053BF8">
            <w:pPr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</w:pPr>
            <w:r w:rsidRPr="00145F3D">
              <w:rPr>
                <w:rFonts w:ascii="Arial" w:hAnsi="Arial" w:cs="Arial"/>
                <w:i/>
                <w:color w:val="000000"/>
                <w:sz w:val="12"/>
                <w:szCs w:val="12"/>
                <w:lang w:val="es-PE" w:eastAsia="es-PE"/>
              </w:rPr>
              <w:t>Recursos Determinados</w:t>
            </w:r>
          </w:p>
        </w:tc>
      </w:tr>
    </w:tbl>
    <w:p w14:paraId="3B4F13E7" w14:textId="77777777" w:rsidR="0080101F" w:rsidRPr="00AD34AA" w:rsidRDefault="0080101F" w:rsidP="0080101F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/>
          <w:i/>
          <w:sz w:val="14"/>
          <w:szCs w:val="14"/>
          <w:u w:val="single"/>
        </w:rPr>
      </w:pPr>
    </w:p>
    <w:p w14:paraId="4976CD69" w14:textId="46141D7B" w:rsidR="004A4C8D" w:rsidRPr="00887F58" w:rsidRDefault="004A4C8D" w:rsidP="004A4C8D">
      <w:pPr>
        <w:tabs>
          <w:tab w:val="left" w:pos="-720"/>
        </w:tabs>
        <w:suppressAutoHyphens/>
        <w:ind w:right="-518"/>
        <w:jc w:val="both"/>
        <w:rPr>
          <w:rFonts w:ascii="Arial" w:hAnsi="Arial" w:cs="Arial"/>
          <w:bCs/>
          <w:i/>
          <w:spacing w:val="-3"/>
          <w:sz w:val="20"/>
          <w:szCs w:val="20"/>
        </w:rPr>
      </w:pPr>
      <w:r w:rsidRPr="00887F58">
        <w:rPr>
          <w:rFonts w:ascii="Arial" w:hAnsi="Arial" w:cs="Arial"/>
          <w:b/>
          <w:i/>
          <w:sz w:val="20"/>
          <w:szCs w:val="20"/>
          <w:u w:val="single"/>
        </w:rPr>
        <w:t>ARTICULO SEGUNDO</w:t>
      </w:r>
      <w:r w:rsidRPr="00887F58">
        <w:rPr>
          <w:rFonts w:ascii="Arial" w:hAnsi="Arial" w:cs="Arial"/>
          <w:b/>
          <w:i/>
          <w:sz w:val="20"/>
          <w:szCs w:val="20"/>
        </w:rPr>
        <w:tab/>
        <w:t xml:space="preserve">: </w:t>
      </w:r>
      <w:r w:rsidRPr="00887F58">
        <w:rPr>
          <w:rFonts w:ascii="Arial" w:hAnsi="Arial" w:cs="Arial"/>
          <w:b/>
          <w:bCs/>
          <w:i/>
          <w:spacing w:val="-3"/>
          <w:sz w:val="20"/>
          <w:szCs w:val="20"/>
        </w:rPr>
        <w:t>Encargar</w:t>
      </w:r>
      <w:r w:rsidRPr="00887F58">
        <w:rPr>
          <w:rFonts w:ascii="Arial" w:hAnsi="Arial" w:cs="Arial"/>
          <w:bCs/>
          <w:i/>
          <w:spacing w:val="-3"/>
          <w:sz w:val="20"/>
          <w:szCs w:val="20"/>
        </w:rPr>
        <w:t xml:space="preserve"> a la Subgerencia de Logística, la publicación de la presente resolución en el Sistema Electrónico de Contrataciones- SEACE</w:t>
      </w:r>
      <w:r>
        <w:rPr>
          <w:rFonts w:ascii="Arial" w:hAnsi="Arial" w:cs="Arial"/>
          <w:bCs/>
          <w:i/>
          <w:spacing w:val="-3"/>
          <w:sz w:val="20"/>
          <w:szCs w:val="20"/>
        </w:rPr>
        <w:t>, es decir el PAC modificado,</w:t>
      </w:r>
      <w:r w:rsidRPr="00887F58">
        <w:rPr>
          <w:rFonts w:ascii="Arial" w:hAnsi="Arial" w:cs="Arial"/>
          <w:bCs/>
          <w:i/>
          <w:spacing w:val="-3"/>
          <w:sz w:val="20"/>
          <w:szCs w:val="20"/>
        </w:rPr>
        <w:t xml:space="preserve"> dentro de los cinco (5) días hábiles siguientes a su aprobación, así como las demás atribuciones que establezca la Ley.</w:t>
      </w:r>
    </w:p>
    <w:p w14:paraId="6DB2FF65" w14:textId="77777777" w:rsidR="004A4C8D" w:rsidRPr="00887F58" w:rsidRDefault="004A4C8D" w:rsidP="004A4C8D">
      <w:pPr>
        <w:tabs>
          <w:tab w:val="left" w:pos="-720"/>
        </w:tabs>
        <w:suppressAutoHyphens/>
        <w:ind w:right="-518"/>
        <w:jc w:val="both"/>
        <w:rPr>
          <w:rFonts w:ascii="Arial" w:hAnsi="Arial" w:cs="Arial"/>
          <w:bCs/>
          <w:i/>
          <w:spacing w:val="-3"/>
          <w:sz w:val="20"/>
          <w:szCs w:val="20"/>
        </w:rPr>
      </w:pPr>
    </w:p>
    <w:p w14:paraId="06FCC61F" w14:textId="77777777" w:rsidR="004A4C8D" w:rsidRPr="00887F58" w:rsidRDefault="004A4C8D" w:rsidP="004A4C8D">
      <w:pPr>
        <w:tabs>
          <w:tab w:val="left" w:pos="-720"/>
        </w:tabs>
        <w:suppressAutoHyphens/>
        <w:ind w:right="-518"/>
        <w:jc w:val="both"/>
        <w:rPr>
          <w:rFonts w:ascii="Arial" w:hAnsi="Arial" w:cs="Arial"/>
          <w:bCs/>
          <w:i/>
          <w:spacing w:val="-3"/>
          <w:sz w:val="20"/>
          <w:szCs w:val="20"/>
        </w:rPr>
      </w:pPr>
      <w:r w:rsidRPr="00887F58">
        <w:rPr>
          <w:rFonts w:ascii="Arial" w:hAnsi="Arial" w:cs="Arial"/>
          <w:b/>
          <w:i/>
          <w:sz w:val="20"/>
          <w:szCs w:val="20"/>
          <w:u w:val="single"/>
        </w:rPr>
        <w:t>ARTICULO TERCERO</w:t>
      </w:r>
      <w:r w:rsidRPr="00887F58">
        <w:rPr>
          <w:rFonts w:ascii="Arial" w:hAnsi="Arial" w:cs="Arial"/>
          <w:b/>
          <w:i/>
          <w:sz w:val="20"/>
          <w:szCs w:val="20"/>
        </w:rPr>
        <w:tab/>
        <w:t xml:space="preserve">: </w:t>
      </w:r>
      <w:r w:rsidRPr="00887F58">
        <w:rPr>
          <w:rFonts w:ascii="Arial" w:hAnsi="Arial" w:cs="Arial"/>
          <w:b/>
          <w:bCs/>
          <w:i/>
          <w:spacing w:val="-3"/>
          <w:sz w:val="20"/>
          <w:szCs w:val="20"/>
        </w:rPr>
        <w:t xml:space="preserve">Hágase </w:t>
      </w:r>
      <w:r w:rsidRPr="00887F58">
        <w:rPr>
          <w:rFonts w:ascii="Arial" w:hAnsi="Arial" w:cs="Arial"/>
          <w:bCs/>
          <w:i/>
          <w:spacing w:val="-3"/>
          <w:sz w:val="20"/>
          <w:szCs w:val="20"/>
        </w:rPr>
        <w:t>de conocimiento lo dispuesto en la presente Resolución a las áreas administrativas correspondientes.</w:t>
      </w:r>
    </w:p>
    <w:p w14:paraId="2A4953A0" w14:textId="77777777" w:rsidR="004A4C8D" w:rsidRDefault="004A4C8D" w:rsidP="004A4C8D">
      <w:pPr>
        <w:tabs>
          <w:tab w:val="left" w:pos="-720"/>
        </w:tabs>
        <w:suppressAutoHyphens/>
        <w:ind w:left="284" w:right="-518" w:firstLine="425"/>
        <w:jc w:val="center"/>
        <w:rPr>
          <w:rFonts w:ascii="Arial" w:hAnsi="Arial" w:cs="Arial"/>
          <w:b/>
          <w:i/>
          <w:sz w:val="20"/>
          <w:szCs w:val="20"/>
        </w:rPr>
      </w:pPr>
    </w:p>
    <w:p w14:paraId="5A19FC16" w14:textId="77777777" w:rsidR="004A4C8D" w:rsidRPr="00953EE1" w:rsidRDefault="004A4C8D" w:rsidP="004A4C8D">
      <w:pPr>
        <w:tabs>
          <w:tab w:val="left" w:pos="-720"/>
        </w:tabs>
        <w:suppressAutoHyphens/>
        <w:ind w:left="284" w:right="-518" w:firstLine="425"/>
        <w:jc w:val="center"/>
        <w:rPr>
          <w:rFonts w:ascii="Arial" w:hAnsi="Arial" w:cs="Arial"/>
          <w:bCs/>
          <w:i/>
          <w:spacing w:val="-3"/>
          <w:sz w:val="20"/>
          <w:szCs w:val="20"/>
        </w:rPr>
      </w:pPr>
      <w:r w:rsidRPr="00887F58">
        <w:rPr>
          <w:rFonts w:ascii="Arial" w:hAnsi="Arial" w:cs="Arial"/>
          <w:b/>
          <w:i/>
          <w:sz w:val="20"/>
          <w:szCs w:val="20"/>
        </w:rPr>
        <w:t>REGÍSTRESE, COMUNÍQUESE, CÚMPLASE Y ARCHÍVESE.</w:t>
      </w:r>
    </w:p>
    <w:p w14:paraId="31E8C577" w14:textId="77777777" w:rsidR="004A4C8D" w:rsidRDefault="004A4C8D" w:rsidP="004A4C8D"/>
    <w:p w14:paraId="49EC282B" w14:textId="77777777" w:rsidR="004A4C8D" w:rsidRDefault="004A4C8D" w:rsidP="004A4C8D"/>
    <w:p w14:paraId="03CDCD78" w14:textId="77777777" w:rsidR="004A4C8D" w:rsidRDefault="004A4C8D" w:rsidP="004A4C8D"/>
    <w:p w14:paraId="095031E4" w14:textId="77777777" w:rsidR="004A4C8D" w:rsidRDefault="004A4C8D" w:rsidP="004A4C8D"/>
    <w:p w14:paraId="64969B44" w14:textId="77777777" w:rsidR="004A4C8D" w:rsidRDefault="004A4C8D" w:rsidP="004A4C8D"/>
    <w:p w14:paraId="5D5814E1" w14:textId="77777777" w:rsidR="000A6A9C" w:rsidRDefault="000A6A9C"/>
    <w:sectPr w:rsidR="000A6A9C" w:rsidSect="004A4C8D">
      <w:footerReference w:type="default" r:id="rId8"/>
      <w:pgSz w:w="12240" w:h="15840"/>
      <w:pgMar w:top="2410" w:right="1325" w:bottom="1702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90B3D" w14:textId="77777777" w:rsidR="00AF24DB" w:rsidRDefault="00AF24DB">
      <w:r>
        <w:separator/>
      </w:r>
    </w:p>
  </w:endnote>
  <w:endnote w:type="continuationSeparator" w:id="0">
    <w:p w14:paraId="3BA9B580" w14:textId="77777777" w:rsidR="00AF24DB" w:rsidRDefault="00AF2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8355018"/>
      <w:docPartObj>
        <w:docPartGallery w:val="Page Numbers (Bottom of Page)"/>
        <w:docPartUnique/>
      </w:docPartObj>
    </w:sdtPr>
    <w:sdtContent>
      <w:p w14:paraId="1A7278BC" w14:textId="77777777" w:rsidR="00B947D6" w:rsidRDefault="00B947D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8E8DEA" w14:textId="77777777" w:rsidR="00B947D6" w:rsidRDefault="00B94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FB598" w14:textId="77777777" w:rsidR="00AF24DB" w:rsidRDefault="00AF24DB">
      <w:r>
        <w:separator/>
      </w:r>
    </w:p>
  </w:footnote>
  <w:footnote w:type="continuationSeparator" w:id="0">
    <w:p w14:paraId="33D43705" w14:textId="77777777" w:rsidR="00AF24DB" w:rsidRDefault="00AF2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C8D"/>
    <w:rsid w:val="000A6A9C"/>
    <w:rsid w:val="00145F3D"/>
    <w:rsid w:val="0015255A"/>
    <w:rsid w:val="00203108"/>
    <w:rsid w:val="00367FF6"/>
    <w:rsid w:val="003F31DD"/>
    <w:rsid w:val="004A4C8D"/>
    <w:rsid w:val="0068548F"/>
    <w:rsid w:val="0080101F"/>
    <w:rsid w:val="00AF24DB"/>
    <w:rsid w:val="00B2060B"/>
    <w:rsid w:val="00B947D6"/>
    <w:rsid w:val="00F57612"/>
    <w:rsid w:val="00F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5D1830"/>
  <w15:chartTrackingRefBased/>
  <w15:docId w15:val="{5B43B085-4831-4337-BBC7-51915259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0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A4C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C8D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BA3B6-0600-47EB-B8C2-D5DD5A9CC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1247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Raysa Barbarita Neira Pacherres</dc:creator>
  <cp:keywords/>
  <dc:description/>
  <cp:lastModifiedBy>Raysa Barbarita Neira Pacherres</cp:lastModifiedBy>
  <cp:revision>2</cp:revision>
  <cp:lastPrinted>2024-08-16T19:09:00Z</cp:lastPrinted>
  <dcterms:created xsi:type="dcterms:W3CDTF">2025-03-13T22:02:00Z</dcterms:created>
  <dcterms:modified xsi:type="dcterms:W3CDTF">2025-03-13T22:02:00Z</dcterms:modified>
</cp:coreProperties>
</file>