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100-2025-</w:t>
      </w:r>
      <w:r>
        <w:rPr>
          <w:rFonts w:ascii="Arial" w:hAnsi="Arial"/>
          <w:b/>
          <w:spacing w:val="-5"/>
          <w:sz w:val="18"/>
        </w:rPr>
        <w:t>DAE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Derecho.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Arbitraje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Comercial Internacional o Arbitraje Internacional de Inversión.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84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61" w:lineRule="auto" w:before="0" w:after="0"/>
              <w:ind w:left="105" w:right="99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materia de</w:t>
            </w:r>
            <w:r>
              <w:rPr>
                <w:sz w:val="18"/>
              </w:rPr>
              <w:t> arbitraje</w:t>
            </w:r>
            <w:r>
              <w:rPr>
                <w:sz w:val="18"/>
              </w:rPr>
              <w:t> y/o solución de controversias, y/o desempeñando funciones equivalentes,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(03)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especialista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cuatro</w:t>
            </w:r>
          </w:p>
          <w:p>
            <w:pPr>
              <w:pStyle w:val="TableParagraph"/>
              <w:spacing w:line="202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(04)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5" w:hRule="atLeast"/>
        </w:trPr>
        <w:tc>
          <w:tcPr>
            <w:tcW w:w="1858" w:type="dxa"/>
          </w:tcPr>
          <w:p>
            <w:pPr>
              <w:pStyle w:val="TableParagraph"/>
              <w:spacing w:before="138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  <w:tab w:pos="362" w:val="left" w:leader="none"/>
              </w:tabs>
              <w:spacing w:line="259" w:lineRule="auto" w:before="0" w:after="0"/>
              <w:ind w:left="362" w:right="99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en Derecho Internacional Público, Derecho Internacional Económico, Derecho Civil, Derecho Constitucional, Arbitraje Internacional y Derecho Procesal.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04" w:lineRule="exact" w:before="15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avanzado.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8" w:type="dxa"/>
          </w:tcPr>
          <w:p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9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6" w:lineRule="auto" w:before="180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78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100-2025-</w:t>
      </w:r>
      <w:r>
        <w:rPr>
          <w:spacing w:val="-4"/>
          <w:sz w:val="18"/>
        </w:rPr>
        <w:t>DAE.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3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6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9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91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7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7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4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62" w:hanging="12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2025-05-26T21:27:04Z</dcterms:created>
  <dcterms:modified xsi:type="dcterms:W3CDTF">2025-05-26T21:27:04Z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