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33E24" w14:textId="06CDA0AD" w:rsidR="000F377D" w:rsidRPr="00121C38" w:rsidRDefault="00986645" w:rsidP="00986645">
      <w:pPr>
        <w:pStyle w:val="Sinespaciado"/>
        <w:ind w:firstLine="720"/>
        <w:jc w:val="center"/>
        <w:rPr>
          <w:rFonts w:ascii="Century Gothic" w:hAnsi="Century Gothic"/>
          <w:b/>
          <w:bCs/>
          <w:color w:val="000000" w:themeColor="text1"/>
          <w:sz w:val="24"/>
          <w:szCs w:val="28"/>
        </w:rPr>
      </w:pPr>
      <w:bookmarkStart w:id="0" w:name="_Toc97208298"/>
      <w:r w:rsidRPr="00121C38">
        <w:rPr>
          <w:rFonts w:ascii="Century Gothic" w:hAnsi="Century Gothic"/>
          <w:b/>
          <w:bCs/>
          <w:color w:val="000000" w:themeColor="text1"/>
          <w:sz w:val="24"/>
          <w:szCs w:val="28"/>
        </w:rPr>
        <w:t>REPORTE DE CUMPLIMIENTO DE POLÍTICAS NACIONALES</w:t>
      </w:r>
      <w:bookmarkEnd w:id="0"/>
    </w:p>
    <w:p w14:paraId="36F43599" w14:textId="77777777" w:rsidR="00351E81" w:rsidRPr="00121C38" w:rsidRDefault="00351E81" w:rsidP="00351E81">
      <w:pPr>
        <w:pStyle w:val="Sinespaciado"/>
        <w:rPr>
          <w:rFonts w:ascii="Arial Narrow" w:hAnsi="Arial Narrow"/>
          <w:b/>
          <w:color w:val="000000" w:themeColor="text1"/>
          <w:sz w:val="28"/>
          <w:szCs w:val="28"/>
        </w:rPr>
      </w:pPr>
    </w:p>
    <w:p w14:paraId="6134D8A5" w14:textId="2BE282D6" w:rsidR="000F377D" w:rsidRPr="00121C38" w:rsidRDefault="125941FF" w:rsidP="0DCC8F56">
      <w:pPr>
        <w:pStyle w:val="Prrafodelista"/>
        <w:numPr>
          <w:ilvl w:val="0"/>
          <w:numId w:val="23"/>
        </w:numPr>
        <w:ind w:left="284"/>
        <w:jc w:val="both"/>
        <w:outlineLvl w:val="2"/>
        <w:rPr>
          <w:rFonts w:ascii="Arial Narrow" w:hAnsi="Arial Narrow"/>
          <w:b/>
          <w:bCs/>
          <w:color w:val="000000" w:themeColor="text1"/>
          <w:sz w:val="24"/>
          <w:szCs w:val="24"/>
        </w:rPr>
      </w:pPr>
      <w:bookmarkStart w:id="1" w:name="_Toc97208299"/>
      <w:r w:rsidRPr="00121C38">
        <w:rPr>
          <w:rFonts w:ascii="Arial Narrow" w:hAnsi="Arial Narrow"/>
          <w:b/>
          <w:bCs/>
          <w:color w:val="000000" w:themeColor="text1"/>
          <w:sz w:val="24"/>
          <w:szCs w:val="24"/>
        </w:rPr>
        <w:t>Políticas nacionales aprobadas</w:t>
      </w:r>
      <w:r w:rsidR="3CABCB17" w:rsidRPr="00121C38">
        <w:rPr>
          <w:rFonts w:ascii="Arial Narrow" w:hAnsi="Arial Narrow"/>
          <w:b/>
          <w:bCs/>
          <w:color w:val="000000" w:themeColor="text1"/>
          <w:sz w:val="24"/>
          <w:szCs w:val="24"/>
        </w:rPr>
        <w:t xml:space="preserve"> en el marco del Decreto Supremo </w:t>
      </w:r>
      <w:r w:rsidR="1A57981C" w:rsidRPr="00121C38">
        <w:rPr>
          <w:rFonts w:ascii="Arial Narrow" w:hAnsi="Arial Narrow"/>
          <w:b/>
          <w:bCs/>
          <w:color w:val="000000" w:themeColor="text1"/>
          <w:sz w:val="24"/>
          <w:szCs w:val="24"/>
        </w:rPr>
        <w:t>N</w:t>
      </w:r>
      <w:r w:rsidR="3CABCB17" w:rsidRPr="00121C38">
        <w:rPr>
          <w:rFonts w:ascii="Arial Narrow" w:hAnsi="Arial Narrow"/>
          <w:b/>
          <w:bCs/>
          <w:color w:val="000000" w:themeColor="text1"/>
          <w:sz w:val="24"/>
          <w:szCs w:val="24"/>
        </w:rPr>
        <w:t>.° 029-2018-PCM</w:t>
      </w:r>
      <w:bookmarkEnd w:id="1"/>
    </w:p>
    <w:tbl>
      <w:tblPr>
        <w:tblStyle w:val="Tablaconcuadrcula"/>
        <w:tblW w:w="8921" w:type="dxa"/>
        <w:tblBorders>
          <w:top w:val="single" w:sz="8" w:space="0" w:color="1481AB" w:themeColor="accent1" w:themeShade="BF"/>
          <w:left w:val="single" w:sz="8" w:space="0" w:color="1481AB" w:themeColor="accent1" w:themeShade="BF"/>
          <w:bottom w:val="single" w:sz="8" w:space="0" w:color="1481AB" w:themeColor="accent1" w:themeShade="BF"/>
          <w:right w:val="single" w:sz="8" w:space="0" w:color="1481AB" w:themeColor="accent1" w:themeShade="BF"/>
          <w:insideH w:val="single" w:sz="8" w:space="0" w:color="1481AB" w:themeColor="accent1" w:themeShade="BF"/>
          <w:insideV w:val="single" w:sz="8" w:space="0" w:color="1481AB" w:themeColor="accent1" w:themeShade="BF"/>
        </w:tblBorders>
        <w:tblLook w:val="04A0" w:firstRow="1" w:lastRow="0" w:firstColumn="1" w:lastColumn="0" w:noHBand="0" w:noVBand="1"/>
      </w:tblPr>
      <w:tblGrid>
        <w:gridCol w:w="1858"/>
        <w:gridCol w:w="426"/>
        <w:gridCol w:w="1838"/>
        <w:gridCol w:w="571"/>
        <w:gridCol w:w="1693"/>
        <w:gridCol w:w="434"/>
        <w:gridCol w:w="2101"/>
      </w:tblGrid>
      <w:tr w:rsidR="00121C38" w:rsidRPr="00121C38" w14:paraId="6D0E7061" w14:textId="77777777" w:rsidTr="00986645">
        <w:tc>
          <w:tcPr>
            <w:tcW w:w="8921" w:type="dxa"/>
            <w:gridSpan w:val="7"/>
            <w:vAlign w:val="center"/>
          </w:tcPr>
          <w:p w14:paraId="0D8CC92D" w14:textId="77777777" w:rsidR="00411255" w:rsidRPr="00121C38" w:rsidRDefault="00411255" w:rsidP="00C90FF7">
            <w:pPr>
              <w:spacing w:before="120" w:after="120"/>
              <w:jc w:val="center"/>
              <w:rPr>
                <w:rFonts w:ascii="Arial Narrow" w:hAnsi="Arial Narrow"/>
                <w:b/>
                <w:color w:val="000000" w:themeColor="text1"/>
              </w:rPr>
            </w:pPr>
            <w:r w:rsidRPr="00121C38">
              <w:rPr>
                <w:rFonts w:ascii="Arial Narrow" w:hAnsi="Arial Narrow"/>
                <w:b/>
                <w:color w:val="000000" w:themeColor="text1"/>
              </w:rPr>
              <w:t>Reporte de cumplimiento de políticas nacionales</w:t>
            </w:r>
          </w:p>
        </w:tc>
      </w:tr>
      <w:tr w:rsidR="00121C38" w:rsidRPr="00121C38" w14:paraId="7C907448" w14:textId="77777777" w:rsidTr="001973A1">
        <w:tc>
          <w:tcPr>
            <w:tcW w:w="1858" w:type="dxa"/>
            <w:vAlign w:val="center"/>
          </w:tcPr>
          <w:p w14:paraId="5DFA1972" w14:textId="77777777" w:rsidR="00986645" w:rsidRPr="00121C38" w:rsidRDefault="00986645" w:rsidP="00986645">
            <w:pPr>
              <w:spacing w:before="120" w:after="120"/>
              <w:rPr>
                <w:rFonts w:ascii="Arial Narrow" w:hAnsi="Arial Narrow"/>
                <w:b/>
                <w:color w:val="000000" w:themeColor="text1"/>
              </w:rPr>
            </w:pPr>
            <w:r w:rsidRPr="00121C38">
              <w:rPr>
                <w:rFonts w:ascii="Arial Narrow" w:hAnsi="Arial Narrow"/>
                <w:b/>
                <w:color w:val="000000" w:themeColor="text1"/>
              </w:rPr>
              <w:t>Política nacional</w:t>
            </w:r>
          </w:p>
        </w:tc>
        <w:tc>
          <w:tcPr>
            <w:tcW w:w="7063" w:type="dxa"/>
            <w:gridSpan w:val="6"/>
          </w:tcPr>
          <w:p w14:paraId="5EAF0CF1" w14:textId="4D1171AB" w:rsidR="00986645" w:rsidRPr="00121C38" w:rsidRDefault="00986645" w:rsidP="00986645">
            <w:pPr>
              <w:spacing w:before="120" w:after="120" w:line="259" w:lineRule="auto"/>
              <w:rPr>
                <w:rFonts w:ascii="Arial Narrow" w:hAnsi="Arial Narrow"/>
                <w:color w:val="000000" w:themeColor="text1"/>
              </w:rPr>
            </w:pPr>
            <w:r w:rsidRPr="00121C38">
              <w:rPr>
                <w:rFonts w:ascii="Arial Narrow" w:hAnsi="Arial Narrow"/>
                <w:color w:val="000000" w:themeColor="text1"/>
              </w:rPr>
              <w:t>Política Nacional Marítima.</w:t>
            </w:r>
          </w:p>
        </w:tc>
      </w:tr>
      <w:tr w:rsidR="00121C38" w:rsidRPr="00121C38" w14:paraId="19716571" w14:textId="77777777" w:rsidTr="001E39E3">
        <w:tc>
          <w:tcPr>
            <w:tcW w:w="1858" w:type="dxa"/>
            <w:vAlign w:val="center"/>
          </w:tcPr>
          <w:p w14:paraId="4CC9DC3A" w14:textId="77777777" w:rsidR="00986645" w:rsidRPr="00121C38" w:rsidRDefault="00986645" w:rsidP="00986645">
            <w:pPr>
              <w:spacing w:before="120" w:after="120"/>
              <w:rPr>
                <w:rFonts w:ascii="Arial Narrow" w:hAnsi="Arial Narrow"/>
                <w:b/>
                <w:color w:val="000000" w:themeColor="text1"/>
              </w:rPr>
            </w:pPr>
            <w:r w:rsidRPr="00121C38">
              <w:rPr>
                <w:rFonts w:ascii="Arial Narrow" w:hAnsi="Arial Narrow"/>
                <w:b/>
                <w:color w:val="000000" w:themeColor="text1"/>
              </w:rPr>
              <w:t>Ministerio rector o conductor</w:t>
            </w:r>
          </w:p>
        </w:tc>
        <w:tc>
          <w:tcPr>
            <w:tcW w:w="7063" w:type="dxa"/>
            <w:gridSpan w:val="6"/>
            <w:vAlign w:val="center"/>
          </w:tcPr>
          <w:p w14:paraId="77127076" w14:textId="61F54961" w:rsidR="00986645" w:rsidRPr="00121C38" w:rsidRDefault="00986645" w:rsidP="001E39E3">
            <w:pPr>
              <w:spacing w:before="120" w:after="120" w:line="259" w:lineRule="auto"/>
              <w:rPr>
                <w:rFonts w:ascii="Arial Narrow" w:hAnsi="Arial Narrow"/>
                <w:color w:val="000000" w:themeColor="text1"/>
              </w:rPr>
            </w:pPr>
            <w:r w:rsidRPr="00121C38">
              <w:rPr>
                <w:rFonts w:ascii="Arial Narrow" w:hAnsi="Arial Narrow"/>
                <w:color w:val="000000" w:themeColor="text1"/>
              </w:rPr>
              <w:t>Ministerio de Defensa.</w:t>
            </w:r>
          </w:p>
        </w:tc>
      </w:tr>
      <w:tr w:rsidR="00121C38" w:rsidRPr="00121C38" w14:paraId="33D6C830" w14:textId="77777777" w:rsidTr="001973A1">
        <w:tc>
          <w:tcPr>
            <w:tcW w:w="1858" w:type="dxa"/>
            <w:vAlign w:val="center"/>
          </w:tcPr>
          <w:p w14:paraId="2E4D5C38" w14:textId="77777777" w:rsidR="00986645" w:rsidRPr="00121C38" w:rsidRDefault="00986645" w:rsidP="00986645">
            <w:pPr>
              <w:spacing w:before="120" w:after="120"/>
              <w:rPr>
                <w:rFonts w:ascii="Arial Narrow" w:hAnsi="Arial Narrow"/>
                <w:b/>
                <w:color w:val="000000" w:themeColor="text1"/>
              </w:rPr>
            </w:pPr>
            <w:r w:rsidRPr="00121C38">
              <w:rPr>
                <w:rFonts w:ascii="Arial Narrow" w:hAnsi="Arial Narrow"/>
                <w:b/>
                <w:color w:val="000000" w:themeColor="text1"/>
              </w:rPr>
              <w:t>Problema público</w:t>
            </w:r>
          </w:p>
        </w:tc>
        <w:tc>
          <w:tcPr>
            <w:tcW w:w="7063" w:type="dxa"/>
            <w:gridSpan w:val="6"/>
          </w:tcPr>
          <w:p w14:paraId="68D7A4B6" w14:textId="7FFBAD39" w:rsidR="00986645" w:rsidRPr="00121C38" w:rsidRDefault="00986645" w:rsidP="00986645">
            <w:pPr>
              <w:spacing w:before="120" w:after="120" w:line="259" w:lineRule="auto"/>
              <w:rPr>
                <w:rFonts w:ascii="Arial Narrow" w:hAnsi="Arial Narrow"/>
                <w:color w:val="000000" w:themeColor="text1"/>
              </w:rPr>
            </w:pPr>
            <w:r w:rsidRPr="00121C38">
              <w:rPr>
                <w:rFonts w:ascii="Arial Narrow" w:hAnsi="Arial Narrow"/>
                <w:color w:val="000000" w:themeColor="text1"/>
              </w:rPr>
              <w:t>Deficiente uso y aprovechamiento sostenible del ámbito marítimo.</w:t>
            </w:r>
          </w:p>
        </w:tc>
      </w:tr>
      <w:tr w:rsidR="00121C38" w:rsidRPr="00121C38" w14:paraId="7D88594A" w14:textId="77777777" w:rsidTr="001973A1">
        <w:tc>
          <w:tcPr>
            <w:tcW w:w="1858" w:type="dxa"/>
            <w:vAlign w:val="center"/>
          </w:tcPr>
          <w:p w14:paraId="25932D99" w14:textId="6AEFCCF8" w:rsidR="00986645" w:rsidRPr="00121C38" w:rsidRDefault="00986645" w:rsidP="00986645">
            <w:pPr>
              <w:spacing w:before="120" w:after="120"/>
              <w:rPr>
                <w:rFonts w:ascii="Arial Narrow" w:hAnsi="Arial Narrow"/>
                <w:b/>
                <w:color w:val="000000" w:themeColor="text1"/>
              </w:rPr>
            </w:pPr>
            <w:r w:rsidRPr="00121C38">
              <w:rPr>
                <w:rFonts w:ascii="Arial Narrow" w:hAnsi="Arial Narrow"/>
                <w:b/>
                <w:color w:val="000000" w:themeColor="text1"/>
              </w:rPr>
              <w:t>Dispositivo legal</w:t>
            </w:r>
          </w:p>
        </w:tc>
        <w:tc>
          <w:tcPr>
            <w:tcW w:w="7063" w:type="dxa"/>
            <w:gridSpan w:val="6"/>
          </w:tcPr>
          <w:p w14:paraId="1A48FFC1" w14:textId="00FB489B" w:rsidR="00986645" w:rsidRPr="00121C38" w:rsidRDefault="00986645" w:rsidP="00986645">
            <w:pPr>
              <w:spacing w:before="120" w:after="120" w:line="259" w:lineRule="auto"/>
              <w:rPr>
                <w:rFonts w:ascii="Arial Narrow" w:hAnsi="Arial Narrow"/>
                <w:color w:val="000000" w:themeColor="text1"/>
              </w:rPr>
            </w:pPr>
            <w:r w:rsidRPr="00121C38">
              <w:rPr>
                <w:rFonts w:ascii="Arial Narrow" w:hAnsi="Arial Narrow"/>
                <w:color w:val="000000" w:themeColor="text1"/>
              </w:rPr>
              <w:t>Decreto Supremo Nº 012-2019-DE del 20 de diciembre del 2019.</w:t>
            </w:r>
          </w:p>
        </w:tc>
      </w:tr>
      <w:tr w:rsidR="00121C38" w:rsidRPr="00121C38" w14:paraId="659F072A" w14:textId="77777777" w:rsidTr="001973A1">
        <w:tc>
          <w:tcPr>
            <w:tcW w:w="1858" w:type="dxa"/>
            <w:vMerge w:val="restart"/>
            <w:vAlign w:val="center"/>
          </w:tcPr>
          <w:p w14:paraId="30BAA4B9" w14:textId="769A8D06" w:rsidR="00455586" w:rsidRPr="00121C38" w:rsidRDefault="00455586" w:rsidP="00C90FF7">
            <w:pPr>
              <w:spacing w:before="120" w:after="120"/>
              <w:rPr>
                <w:rFonts w:ascii="Arial Narrow" w:hAnsi="Arial Narrow"/>
                <w:b/>
                <w:color w:val="000000" w:themeColor="text1"/>
              </w:rPr>
            </w:pPr>
            <w:r w:rsidRPr="00121C38">
              <w:rPr>
                <w:rFonts w:ascii="Arial Narrow" w:hAnsi="Arial Narrow"/>
                <w:b/>
                <w:color w:val="000000" w:themeColor="text1"/>
              </w:rPr>
              <w:t>Resumen del reporte de cumplimiento</w:t>
            </w:r>
          </w:p>
        </w:tc>
        <w:tc>
          <w:tcPr>
            <w:tcW w:w="7063" w:type="dxa"/>
            <w:gridSpan w:val="6"/>
            <w:vAlign w:val="center"/>
          </w:tcPr>
          <w:p w14:paraId="034E1597" w14:textId="5C88C674" w:rsidR="00455586" w:rsidRPr="00121C38" w:rsidRDefault="000B1264" w:rsidP="0565EC48">
            <w:pPr>
              <w:spacing w:before="120" w:after="120"/>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Valoración del nivel de implementación de la P</w:t>
            </w:r>
            <w:r w:rsidR="00297D12" w:rsidRPr="00121C38">
              <w:rPr>
                <w:rFonts w:ascii="Arial Narrow" w:eastAsia="Arial Narrow" w:hAnsi="Arial Narrow" w:cs="Arial Narrow"/>
                <w:color w:val="000000" w:themeColor="text1"/>
              </w:rPr>
              <w:t>olítica Nacional</w:t>
            </w:r>
            <w:r w:rsidR="00297D12" w:rsidRPr="00121C38">
              <w:rPr>
                <w:rStyle w:val="Refdenotaalpie"/>
                <w:rFonts w:ascii="Arial Narrow" w:eastAsia="Arial Narrow" w:hAnsi="Arial Narrow" w:cs="Arial Narrow"/>
                <w:b/>
                <w:color w:val="000000" w:themeColor="text1"/>
              </w:rPr>
              <w:footnoteReference w:id="1"/>
            </w:r>
          </w:p>
        </w:tc>
      </w:tr>
      <w:tr w:rsidR="00121C38" w:rsidRPr="00121C38" w14:paraId="0451ED19" w14:textId="77777777" w:rsidTr="001973A1">
        <w:tc>
          <w:tcPr>
            <w:tcW w:w="1858" w:type="dxa"/>
            <w:vMerge/>
            <w:vAlign w:val="center"/>
          </w:tcPr>
          <w:p w14:paraId="4BCFDA2F" w14:textId="77777777" w:rsidR="000B1264" w:rsidRPr="00121C38" w:rsidRDefault="000B1264" w:rsidP="00C90FF7">
            <w:pPr>
              <w:spacing w:before="120" w:after="120"/>
              <w:rPr>
                <w:rFonts w:ascii="Arial Narrow" w:hAnsi="Arial Narrow"/>
                <w:b/>
                <w:color w:val="000000" w:themeColor="text1"/>
              </w:rPr>
            </w:pPr>
          </w:p>
        </w:tc>
        <w:tc>
          <w:tcPr>
            <w:tcW w:w="426" w:type="dxa"/>
            <w:vAlign w:val="center"/>
          </w:tcPr>
          <w:p w14:paraId="5A1C5ABB" w14:textId="77777777" w:rsidR="000B1264" w:rsidRPr="00121C38" w:rsidRDefault="000B1264" w:rsidP="0565EC48">
            <w:pPr>
              <w:spacing w:before="120" w:after="120"/>
              <w:rPr>
                <w:rFonts w:ascii="Arial Narrow" w:eastAsia="Arial Narrow" w:hAnsi="Arial Narrow" w:cs="Arial Narrow"/>
                <w:color w:val="000000" w:themeColor="text1"/>
              </w:rPr>
            </w:pPr>
          </w:p>
        </w:tc>
        <w:tc>
          <w:tcPr>
            <w:tcW w:w="1838" w:type="dxa"/>
            <w:vAlign w:val="center"/>
          </w:tcPr>
          <w:p w14:paraId="0CD19E70" w14:textId="7A66B4D0" w:rsidR="000B1264" w:rsidRPr="00121C38" w:rsidRDefault="000B1264" w:rsidP="0565EC48">
            <w:pPr>
              <w:spacing w:before="120" w:after="120"/>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Inicial</w:t>
            </w:r>
          </w:p>
        </w:tc>
        <w:tc>
          <w:tcPr>
            <w:tcW w:w="571" w:type="dxa"/>
            <w:vAlign w:val="center"/>
          </w:tcPr>
          <w:p w14:paraId="60B7F4BE" w14:textId="1290E3D5" w:rsidR="000B1264" w:rsidRPr="00121C38" w:rsidRDefault="008C4891" w:rsidP="0565EC48">
            <w:pPr>
              <w:spacing w:before="120" w:after="120"/>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X</w:t>
            </w:r>
          </w:p>
        </w:tc>
        <w:tc>
          <w:tcPr>
            <w:tcW w:w="1693" w:type="dxa"/>
            <w:vAlign w:val="center"/>
          </w:tcPr>
          <w:p w14:paraId="0C3516DC" w14:textId="0E5ACD26" w:rsidR="000B1264" w:rsidRPr="00121C38" w:rsidRDefault="000B1264" w:rsidP="0565EC48">
            <w:pPr>
              <w:spacing w:before="120" w:after="120"/>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Intermedio</w:t>
            </w:r>
          </w:p>
        </w:tc>
        <w:tc>
          <w:tcPr>
            <w:tcW w:w="434" w:type="dxa"/>
            <w:vAlign w:val="center"/>
          </w:tcPr>
          <w:p w14:paraId="6BBAB6BC" w14:textId="77777777" w:rsidR="000B1264" w:rsidRPr="00121C38" w:rsidRDefault="000B1264" w:rsidP="0565EC48">
            <w:pPr>
              <w:spacing w:before="120" w:after="120"/>
              <w:rPr>
                <w:rFonts w:ascii="Arial Narrow" w:eastAsia="Arial Narrow" w:hAnsi="Arial Narrow" w:cs="Arial Narrow"/>
                <w:b/>
                <w:color w:val="000000" w:themeColor="text1"/>
              </w:rPr>
            </w:pPr>
          </w:p>
        </w:tc>
        <w:tc>
          <w:tcPr>
            <w:tcW w:w="2101" w:type="dxa"/>
            <w:vAlign w:val="center"/>
          </w:tcPr>
          <w:p w14:paraId="7FF20FB7" w14:textId="1296FD9D" w:rsidR="000B1264" w:rsidRPr="00121C38" w:rsidRDefault="000B1264" w:rsidP="0565EC48">
            <w:pPr>
              <w:spacing w:before="120" w:after="120"/>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Avanzado</w:t>
            </w:r>
          </w:p>
        </w:tc>
      </w:tr>
      <w:tr w:rsidR="00121C38" w:rsidRPr="00121C38" w14:paraId="382D54E0" w14:textId="77777777" w:rsidTr="001973A1">
        <w:tc>
          <w:tcPr>
            <w:tcW w:w="1858" w:type="dxa"/>
            <w:vMerge/>
            <w:vAlign w:val="center"/>
          </w:tcPr>
          <w:p w14:paraId="43C7F259" w14:textId="22210502" w:rsidR="008C4891" w:rsidRPr="00121C38" w:rsidRDefault="008C4891" w:rsidP="008C4891">
            <w:pPr>
              <w:spacing w:after="240"/>
              <w:rPr>
                <w:rFonts w:ascii="Arial Narrow" w:hAnsi="Arial Narrow"/>
                <w:b/>
                <w:color w:val="000000" w:themeColor="text1"/>
              </w:rPr>
            </w:pPr>
          </w:p>
        </w:tc>
        <w:tc>
          <w:tcPr>
            <w:tcW w:w="7063" w:type="dxa"/>
            <w:gridSpan w:val="6"/>
            <w:vAlign w:val="center"/>
          </w:tcPr>
          <w:p w14:paraId="4705E252" w14:textId="77777777" w:rsidR="008C4891" w:rsidRPr="00121C38" w:rsidRDefault="008C4891" w:rsidP="008C4891">
            <w:pPr>
              <w:jc w:val="both"/>
              <w:rPr>
                <w:rFonts w:ascii="Arial Narrow" w:eastAsia="Arial Narrow" w:hAnsi="Arial Narrow" w:cs="Arial Narrow"/>
                <w:color w:val="000000" w:themeColor="text1"/>
                <w:sz w:val="20"/>
              </w:rPr>
            </w:pPr>
          </w:p>
          <w:p w14:paraId="47C83084" w14:textId="77777777" w:rsidR="008C4891" w:rsidRPr="00121C38" w:rsidRDefault="008C4891" w:rsidP="008C4891">
            <w:pPr>
              <w:pStyle w:val="Prrafodelista"/>
              <w:numPr>
                <w:ilvl w:val="0"/>
                <w:numId w:val="24"/>
              </w:numPr>
              <w:ind w:left="176" w:hanging="142"/>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La Política Nacional Marítima (PNM) responde a la necesidad de integrar la acción del Estado en el mar y contribuye a fortalecer la articulación de las políticas sectoriales en el ámbito marítimo, para una mejor y oportuna toma de decisiones consensuadas a nivel del Estado, que fortalezca el bienestar general, considerando los enfoques de género e interculturalidad, en el análisis del problema público; en tal sentido, esta política nacional constituye el deseo colectivo de la nación de usar y proteger el ámbito marítimo y aprovechar sus recursos, que implican los espacios, actividades y factores vinculados a ella, para su desarrollo de una manera eficiente.</w:t>
            </w:r>
          </w:p>
          <w:p w14:paraId="65FA11CA" w14:textId="77777777" w:rsidR="008C4891" w:rsidRPr="00121C38" w:rsidRDefault="008C4891" w:rsidP="008C4891">
            <w:pPr>
              <w:ind w:left="176" w:hanging="142"/>
              <w:jc w:val="both"/>
              <w:rPr>
                <w:rFonts w:ascii="Arial Narrow" w:eastAsia="Arial Narrow" w:hAnsi="Arial Narrow" w:cs="Arial Narrow"/>
                <w:color w:val="000000" w:themeColor="text1"/>
                <w:sz w:val="20"/>
              </w:rPr>
            </w:pPr>
          </w:p>
          <w:p w14:paraId="45896A6B" w14:textId="00433409" w:rsidR="008C4891" w:rsidRPr="00121C38" w:rsidRDefault="00382BEB" w:rsidP="008C4891">
            <w:pPr>
              <w:pStyle w:val="Prrafodelista"/>
              <w:numPr>
                <w:ilvl w:val="0"/>
                <w:numId w:val="24"/>
              </w:numPr>
              <w:ind w:left="176" w:hanging="142"/>
              <w:jc w:val="both"/>
              <w:rPr>
                <w:rFonts w:ascii="Arial Narrow" w:hAnsi="Arial Narrow" w:cstheme="minorHAnsi"/>
                <w:color w:val="000000" w:themeColor="text1"/>
              </w:rPr>
            </w:pPr>
            <w:r w:rsidRPr="00121C38">
              <w:rPr>
                <w:rFonts w:ascii="Arial Narrow" w:eastAsia="Arial Narrow" w:hAnsi="Arial Narrow" w:cs="Arial Narrow"/>
                <w:color w:val="000000" w:themeColor="text1"/>
              </w:rPr>
              <w:t>Para tal propósito, l</w:t>
            </w:r>
            <w:r w:rsidR="008C4891" w:rsidRPr="00121C38">
              <w:rPr>
                <w:rFonts w:ascii="Arial Narrow" w:eastAsia="Arial Narrow" w:hAnsi="Arial Narrow" w:cs="Arial Narrow"/>
                <w:color w:val="000000" w:themeColor="text1"/>
              </w:rPr>
              <w:t xml:space="preserve">a Política Nacional Marítima (PNM) </w:t>
            </w:r>
            <w:r w:rsidRPr="00121C38">
              <w:rPr>
                <w:rFonts w:ascii="Arial Narrow" w:eastAsia="Arial Narrow" w:hAnsi="Arial Narrow" w:cs="Arial Narrow"/>
                <w:color w:val="000000" w:themeColor="text1"/>
              </w:rPr>
              <w:t>realiza</w:t>
            </w:r>
            <w:r w:rsidR="008C4891" w:rsidRPr="00121C38">
              <w:rPr>
                <w:rFonts w:ascii="Arial Narrow" w:eastAsia="Arial Narrow" w:hAnsi="Arial Narrow" w:cs="Arial Narrow"/>
                <w:color w:val="000000" w:themeColor="text1"/>
              </w:rPr>
              <w:t xml:space="preserve"> las acciones necesarias para concretar los objetivos, lineamientos, servicios y actividades operativas en los planes del </w:t>
            </w:r>
            <w:r w:rsidR="008C4891" w:rsidRPr="00121C38">
              <w:rPr>
                <w:rFonts w:ascii="Arial Narrow" w:hAnsi="Arial Narrow" w:cs="Arial"/>
                <w:color w:val="000000" w:themeColor="text1"/>
                <w:shd w:val="clear" w:color="auto" w:fill="FFFFFF"/>
              </w:rPr>
              <w:t>Sistema Nacional de Planeamiento Estratégico</w:t>
            </w:r>
            <w:r w:rsidR="008C4891" w:rsidRPr="00121C38">
              <w:rPr>
                <w:rFonts w:ascii="Arial Narrow" w:eastAsia="Arial Narrow" w:hAnsi="Arial Narrow" w:cs="Arial Narrow"/>
                <w:color w:val="000000" w:themeColor="text1"/>
              </w:rPr>
              <w:t xml:space="preserve"> (SINAPLAN), lo cual asegura el tránsito de la política nacional al planeamiento estratégico en los TRES (3) niveles de gobierno</w:t>
            </w:r>
            <w:r w:rsidRPr="00121C38">
              <w:rPr>
                <w:rFonts w:ascii="Arial Narrow" w:eastAsia="Arial Narrow" w:hAnsi="Arial Narrow" w:cs="Arial Narrow"/>
                <w:color w:val="000000" w:themeColor="text1"/>
              </w:rPr>
              <w:t xml:space="preserve">. </w:t>
            </w:r>
          </w:p>
          <w:p w14:paraId="43C46443" w14:textId="77777777" w:rsidR="008C4891" w:rsidRPr="00121C38" w:rsidRDefault="008C4891" w:rsidP="008C4891">
            <w:pPr>
              <w:ind w:left="176" w:hanging="142"/>
              <w:jc w:val="both"/>
              <w:rPr>
                <w:rFonts w:ascii="Arial Narrow" w:eastAsia="Arial Narrow" w:hAnsi="Arial Narrow" w:cs="Arial Narrow"/>
                <w:color w:val="000000" w:themeColor="text1"/>
                <w:sz w:val="20"/>
              </w:rPr>
            </w:pPr>
          </w:p>
          <w:p w14:paraId="587014E6" w14:textId="095CB737" w:rsidR="00893A3C" w:rsidRPr="00121C38" w:rsidRDefault="008C4891" w:rsidP="00893A3C">
            <w:pPr>
              <w:pStyle w:val="Prrafodelista"/>
              <w:numPr>
                <w:ilvl w:val="0"/>
                <w:numId w:val="24"/>
              </w:numPr>
              <w:ind w:left="176" w:hanging="142"/>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 xml:space="preserve">Al respecto, la Comisión Multisectorial de la Acción del Estado en el Ámbito Marítimo (COMAEM), ha iniciado desde su conformación en diciembre del 2019, las acciones para viabilizar el proceso de implementación de la Política Nacional Marítima (PNM), logrando avances en la articulación de </w:t>
            </w:r>
            <w:r w:rsidR="00382BEB" w:rsidRPr="00121C38">
              <w:rPr>
                <w:rFonts w:ascii="Arial Narrow" w:eastAsia="Arial Narrow" w:hAnsi="Arial Narrow" w:cs="Arial Narrow"/>
                <w:color w:val="000000" w:themeColor="text1"/>
              </w:rPr>
              <w:t>su</w:t>
            </w:r>
            <w:r w:rsidRPr="00121C38">
              <w:rPr>
                <w:rFonts w:ascii="Arial Narrow" w:eastAsia="Arial Narrow" w:hAnsi="Arial Narrow" w:cs="Arial Narrow"/>
                <w:color w:val="000000" w:themeColor="text1"/>
              </w:rPr>
              <w:t xml:space="preserve">s lineamientos y servicios con el Plan Estratégico Sectorial Multianual (PESEM) del </w:t>
            </w:r>
            <w:r w:rsidR="00893A3C" w:rsidRPr="00121C38">
              <w:rPr>
                <w:rFonts w:ascii="Arial Narrow" w:eastAsia="Arial Narrow" w:hAnsi="Arial Narrow" w:cs="Arial Narrow"/>
                <w:color w:val="000000" w:themeColor="text1"/>
              </w:rPr>
              <w:t>S</w:t>
            </w:r>
            <w:r w:rsidRPr="00121C38">
              <w:rPr>
                <w:rFonts w:ascii="Arial Narrow" w:eastAsia="Arial Narrow" w:hAnsi="Arial Narrow" w:cs="Arial Narrow"/>
                <w:color w:val="000000" w:themeColor="text1"/>
              </w:rPr>
              <w:t xml:space="preserve">ector </w:t>
            </w:r>
            <w:r w:rsidR="00893A3C" w:rsidRPr="00121C38">
              <w:rPr>
                <w:rFonts w:ascii="Arial Narrow" w:eastAsia="Arial Narrow" w:hAnsi="Arial Narrow" w:cs="Arial Narrow"/>
                <w:color w:val="000000" w:themeColor="text1"/>
              </w:rPr>
              <w:t>D</w:t>
            </w:r>
            <w:r w:rsidRPr="00121C38">
              <w:rPr>
                <w:rFonts w:ascii="Arial Narrow" w:eastAsia="Arial Narrow" w:hAnsi="Arial Narrow" w:cs="Arial Narrow"/>
                <w:color w:val="000000" w:themeColor="text1"/>
              </w:rPr>
              <w:t xml:space="preserve">efensa, </w:t>
            </w:r>
            <w:r w:rsidR="00382BEB" w:rsidRPr="00121C38">
              <w:rPr>
                <w:rFonts w:ascii="Arial Narrow" w:eastAsia="Arial Narrow" w:hAnsi="Arial Narrow" w:cs="Arial Narrow"/>
                <w:color w:val="000000" w:themeColor="text1"/>
              </w:rPr>
              <w:t xml:space="preserve">así como, con </w:t>
            </w:r>
            <w:r w:rsidRPr="00121C38">
              <w:rPr>
                <w:rFonts w:ascii="Arial Narrow" w:eastAsia="Arial Narrow" w:hAnsi="Arial Narrow" w:cs="Arial Narrow"/>
                <w:color w:val="000000" w:themeColor="text1"/>
              </w:rPr>
              <w:t>el Plan Estratégico Institucional (PEI) y el Plan Operativo Institucional (POI) de la Marina de Guerra del Perú, siguiendo las pautas recibidas por el CEPLAN.</w:t>
            </w:r>
          </w:p>
          <w:p w14:paraId="2D8D8F5F" w14:textId="77777777" w:rsidR="00893A3C" w:rsidRPr="00121C38" w:rsidRDefault="00893A3C" w:rsidP="00893A3C">
            <w:pPr>
              <w:pStyle w:val="Prrafodelista"/>
              <w:rPr>
                <w:rFonts w:ascii="Arial Narrow" w:eastAsia="Arial Narrow" w:hAnsi="Arial Narrow" w:cs="Arial Narrow"/>
                <w:color w:val="000000" w:themeColor="text1"/>
              </w:rPr>
            </w:pPr>
          </w:p>
          <w:p w14:paraId="07EA82EF" w14:textId="6ED9C9BE" w:rsidR="008C4891" w:rsidRPr="00121C38" w:rsidRDefault="00893A3C" w:rsidP="00893A3C">
            <w:pPr>
              <w:pStyle w:val="Prrafodelista"/>
              <w:numPr>
                <w:ilvl w:val="0"/>
                <w:numId w:val="24"/>
              </w:numPr>
              <w:ind w:left="176" w:hanging="142"/>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Actualmente, la Política Nacional Marítima (PNM) se encuentra en proceso de actualización, formalizada mediante Resolución Ministerial N° 00627-2024-DE de fecha 20 de junio del 2024, con el objeto de incorporar elementos relevantes no considerados en su oportunidad, a fin que se implemente directamente en los planes estratégicos del Sistema Nacional de Planeamiento (SINAPLAN)</w:t>
            </w:r>
            <w:r w:rsidR="00382BEB" w:rsidRPr="00121C38">
              <w:rPr>
                <w:rFonts w:ascii="Arial Narrow" w:eastAsia="Arial Narrow" w:hAnsi="Arial Narrow" w:cs="Arial Narrow"/>
                <w:color w:val="000000" w:themeColor="text1"/>
              </w:rPr>
              <w:t xml:space="preserve">; </w:t>
            </w:r>
            <w:r w:rsidR="00382BEB" w:rsidRPr="00121C38">
              <w:rPr>
                <w:rFonts w:ascii="Arial Narrow" w:hAnsi="Arial Narrow" w:cstheme="minorHAnsi"/>
                <w:color w:val="000000" w:themeColor="text1"/>
              </w:rPr>
              <w:t>motivo por el cual, no es posible brindar toda la información requerida en los formatos de cumplimiento y seguimiento.</w:t>
            </w:r>
            <w:r w:rsidRPr="00121C38">
              <w:rPr>
                <w:rFonts w:ascii="Arial Narrow" w:eastAsia="Arial Narrow" w:hAnsi="Arial Narrow" w:cs="Arial Narrow"/>
                <w:color w:val="000000" w:themeColor="text1"/>
              </w:rPr>
              <w:t xml:space="preserve"> </w:t>
            </w:r>
          </w:p>
          <w:p w14:paraId="2AC4D666" w14:textId="77777777" w:rsidR="008C4891" w:rsidRPr="00121C38" w:rsidRDefault="008C4891" w:rsidP="008C4891">
            <w:pPr>
              <w:ind w:left="176" w:hanging="142"/>
              <w:jc w:val="both"/>
              <w:rPr>
                <w:rFonts w:ascii="Arial Narrow" w:eastAsia="Arial Narrow" w:hAnsi="Arial Narrow" w:cs="Arial Narrow"/>
                <w:color w:val="000000" w:themeColor="text1"/>
                <w:sz w:val="20"/>
              </w:rPr>
            </w:pPr>
          </w:p>
          <w:p w14:paraId="4B71480F" w14:textId="77777777" w:rsidR="008C4891" w:rsidRPr="00121C38" w:rsidRDefault="008C4891" w:rsidP="008C4891">
            <w:pPr>
              <w:ind w:left="176" w:hanging="142"/>
              <w:jc w:val="both"/>
              <w:rPr>
                <w:rFonts w:ascii="Arial Narrow" w:eastAsia="Arial Narrow" w:hAnsi="Arial Narrow" w:cs="Arial Narrow"/>
                <w:color w:val="000000" w:themeColor="text1"/>
              </w:rPr>
            </w:pPr>
          </w:p>
          <w:p w14:paraId="53E63D17" w14:textId="77777777" w:rsidR="008C4891" w:rsidRPr="00121C38" w:rsidRDefault="008C4891" w:rsidP="008C4891">
            <w:pPr>
              <w:ind w:left="176" w:hanging="142"/>
              <w:jc w:val="both"/>
              <w:rPr>
                <w:rFonts w:ascii="Arial Narrow" w:eastAsia="Arial Narrow" w:hAnsi="Arial Narrow" w:cs="Arial Narrow"/>
                <w:color w:val="000000" w:themeColor="text1"/>
                <w:sz w:val="20"/>
              </w:rPr>
            </w:pPr>
          </w:p>
          <w:p w14:paraId="42C28CCC" w14:textId="29909794" w:rsidR="008C4891" w:rsidRPr="00121C38" w:rsidRDefault="008B3E6E" w:rsidP="008C4891">
            <w:pPr>
              <w:pStyle w:val="Prrafodelista"/>
              <w:numPr>
                <w:ilvl w:val="0"/>
                <w:numId w:val="24"/>
              </w:numPr>
              <w:ind w:left="176" w:hanging="142"/>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lastRenderedPageBreak/>
              <w:t>Para el desarrollo de la Política Nacional Marítima (PNM) 2019 – 2030, l</w:t>
            </w:r>
            <w:r w:rsidR="008C4891" w:rsidRPr="00121C38">
              <w:rPr>
                <w:rFonts w:ascii="Arial Narrow" w:eastAsia="Arial Narrow" w:hAnsi="Arial Narrow" w:cs="Arial Narrow"/>
                <w:color w:val="000000" w:themeColor="text1"/>
              </w:rPr>
              <w:t>a Comisión Multisectorial de la Acción del Estado en el Ámbito Marítimo (COMAEM), acordó la conformación de CUATRO (4) Comités de Trabajo</w:t>
            </w:r>
            <w:r w:rsidRPr="00121C38">
              <w:rPr>
                <w:rFonts w:ascii="Arial Narrow" w:eastAsia="Arial Narrow" w:hAnsi="Arial Narrow" w:cs="Arial Narrow"/>
                <w:color w:val="000000" w:themeColor="text1"/>
              </w:rPr>
              <w:t>,</w:t>
            </w:r>
            <w:r w:rsidR="008C4891" w:rsidRPr="00121C38">
              <w:rPr>
                <w:rFonts w:ascii="Arial Narrow" w:eastAsia="Arial Narrow" w:hAnsi="Arial Narrow" w:cs="Arial Narrow"/>
                <w:color w:val="000000" w:themeColor="text1"/>
              </w:rPr>
              <w:t xml:space="preserve"> los cuales son los siguientes:</w:t>
            </w:r>
          </w:p>
          <w:p w14:paraId="3CA04819" w14:textId="77777777" w:rsidR="008C4891" w:rsidRPr="00121C38" w:rsidRDefault="008C4891" w:rsidP="008C4891">
            <w:pPr>
              <w:jc w:val="both"/>
              <w:rPr>
                <w:rFonts w:ascii="Arial Narrow" w:eastAsia="Arial Narrow" w:hAnsi="Arial Narrow" w:cs="Arial Narrow"/>
                <w:color w:val="000000" w:themeColor="text1"/>
                <w:sz w:val="20"/>
              </w:rPr>
            </w:pPr>
          </w:p>
          <w:p w14:paraId="6BFAC6B0" w14:textId="0A04F899" w:rsidR="008C4891" w:rsidRPr="00121C38" w:rsidRDefault="008C4891" w:rsidP="008C4891">
            <w:pPr>
              <w:pStyle w:val="Prrafodelista"/>
              <w:numPr>
                <w:ilvl w:val="0"/>
                <w:numId w:val="25"/>
              </w:numPr>
              <w:ind w:left="459" w:hanging="283"/>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Comité de Trabajo para la determinación del PBI Marítimo, lidera: ST</w:t>
            </w:r>
            <w:r w:rsidR="00382BEB" w:rsidRPr="00121C38">
              <w:rPr>
                <w:rFonts w:ascii="Arial Narrow" w:eastAsia="Arial Narrow" w:hAnsi="Arial Narrow" w:cs="Arial Narrow"/>
                <w:color w:val="000000" w:themeColor="text1"/>
              </w:rPr>
              <w:t>­</w:t>
            </w:r>
            <w:r w:rsidRPr="00121C38">
              <w:rPr>
                <w:rFonts w:ascii="Arial Narrow" w:eastAsia="Arial Narrow" w:hAnsi="Arial Narrow" w:cs="Arial Narrow"/>
                <w:color w:val="000000" w:themeColor="text1"/>
              </w:rPr>
              <w:t>COMAEM, integrantes: todos los sectores.</w:t>
            </w:r>
          </w:p>
          <w:p w14:paraId="317668F1" w14:textId="26AE7AA4" w:rsidR="008C4891" w:rsidRPr="00121C38" w:rsidRDefault="008C4891" w:rsidP="008C4891">
            <w:pPr>
              <w:pStyle w:val="Prrafodelista"/>
              <w:ind w:left="459"/>
              <w:jc w:val="both"/>
              <w:rPr>
                <w:rFonts w:ascii="Arial Narrow" w:eastAsia="Arial Narrow" w:hAnsi="Arial Narrow" w:cs="Arial Narrow"/>
                <w:color w:val="000000" w:themeColor="text1"/>
                <w:sz w:val="12"/>
              </w:rPr>
            </w:pPr>
          </w:p>
          <w:p w14:paraId="0EA3BE5F" w14:textId="7A13268D" w:rsidR="008C4891" w:rsidRPr="00121C38" w:rsidRDefault="00893A3C" w:rsidP="008C4891">
            <w:pPr>
              <w:pStyle w:val="Prrafodelista"/>
              <w:ind w:left="459"/>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El presente Comité de Trabajo ha culminado los trabajos encargados, determinando un PBI Marítimo al año 2023, que representa el 1.3% respecto al PBI Nacional, según lo informado por el INEI.</w:t>
            </w:r>
          </w:p>
          <w:p w14:paraId="0EA54574" w14:textId="77777777" w:rsidR="008C4891" w:rsidRPr="00121C38" w:rsidRDefault="008C4891" w:rsidP="008C4891">
            <w:pPr>
              <w:ind w:left="459" w:hanging="283"/>
              <w:jc w:val="both"/>
              <w:rPr>
                <w:rFonts w:ascii="Arial Narrow" w:eastAsia="Arial Narrow" w:hAnsi="Arial Narrow" w:cs="Arial Narrow"/>
                <w:color w:val="000000" w:themeColor="text1"/>
                <w:sz w:val="20"/>
              </w:rPr>
            </w:pPr>
          </w:p>
          <w:p w14:paraId="75661BD3" w14:textId="132D6437" w:rsidR="008C4891" w:rsidRPr="00121C38" w:rsidRDefault="008C4891" w:rsidP="008C4891">
            <w:pPr>
              <w:pStyle w:val="Prrafodelista"/>
              <w:numPr>
                <w:ilvl w:val="0"/>
                <w:numId w:val="25"/>
              </w:numPr>
              <w:ind w:left="459" w:hanging="283"/>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 xml:space="preserve">Comité de Trabajo para la </w:t>
            </w:r>
            <w:r w:rsidR="00893A3C" w:rsidRPr="00121C38">
              <w:rPr>
                <w:rFonts w:ascii="Arial Narrow" w:eastAsia="Arial Narrow" w:hAnsi="Arial Narrow" w:cs="Arial Narrow"/>
                <w:color w:val="000000" w:themeColor="text1"/>
              </w:rPr>
              <w:t>actualización del Anexo 4 de la PNM</w:t>
            </w:r>
            <w:r w:rsidRPr="00121C38">
              <w:rPr>
                <w:rFonts w:ascii="Arial Narrow" w:eastAsia="Arial Narrow" w:hAnsi="Arial Narrow" w:cs="Arial Narrow"/>
                <w:color w:val="000000" w:themeColor="text1"/>
              </w:rPr>
              <w:t>, lidera: ST</w:t>
            </w:r>
            <w:r w:rsidR="00382BEB" w:rsidRPr="00121C38">
              <w:rPr>
                <w:rFonts w:ascii="Arial Narrow" w:eastAsia="Arial Narrow" w:hAnsi="Arial Narrow" w:cs="Courier New"/>
                <w:color w:val="000000" w:themeColor="text1"/>
              </w:rPr>
              <w:t>­</w:t>
            </w:r>
            <w:r w:rsidRPr="00121C38">
              <w:rPr>
                <w:rFonts w:ascii="Arial Narrow" w:eastAsia="Arial Narrow" w:hAnsi="Arial Narrow" w:cs="Arial Narrow"/>
                <w:color w:val="000000" w:themeColor="text1"/>
              </w:rPr>
              <w:t>COMAEM, integrantes: todos los sectores.</w:t>
            </w:r>
          </w:p>
          <w:p w14:paraId="2D876D48" w14:textId="5934C504" w:rsidR="00893A3C" w:rsidRPr="00121C38" w:rsidRDefault="00893A3C" w:rsidP="00893A3C">
            <w:pPr>
              <w:pStyle w:val="Prrafodelista"/>
              <w:ind w:left="459"/>
              <w:jc w:val="both"/>
              <w:rPr>
                <w:rFonts w:ascii="Arial Narrow" w:eastAsia="Arial Narrow" w:hAnsi="Arial Narrow" w:cs="Arial Narrow"/>
                <w:color w:val="000000" w:themeColor="text1"/>
                <w:sz w:val="12"/>
              </w:rPr>
            </w:pPr>
          </w:p>
          <w:p w14:paraId="587715F9" w14:textId="650DF0E5" w:rsidR="00893A3C" w:rsidRPr="00121C38" w:rsidRDefault="00893A3C" w:rsidP="00893A3C">
            <w:pPr>
              <w:pStyle w:val="Prrafodelista"/>
              <w:ind w:left="459"/>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 xml:space="preserve">El presente Comité de Trabajo, viene desarrollando gestiones a fin de actualizar las fichas de servicios e indicadores, de acuerdo a los lineamientos dictados </w:t>
            </w:r>
            <w:r w:rsidR="00B41BC2" w:rsidRPr="00121C38">
              <w:rPr>
                <w:rFonts w:ascii="Arial Narrow" w:eastAsia="Arial Narrow" w:hAnsi="Arial Narrow" w:cs="Arial Narrow"/>
                <w:color w:val="000000" w:themeColor="text1"/>
              </w:rPr>
              <w:t>por</w:t>
            </w:r>
            <w:r w:rsidRPr="00121C38">
              <w:rPr>
                <w:rFonts w:ascii="Arial Narrow" w:eastAsia="Arial Narrow" w:hAnsi="Arial Narrow" w:cs="Arial Narrow"/>
                <w:color w:val="000000" w:themeColor="text1"/>
              </w:rPr>
              <w:t xml:space="preserve"> el CEPLAN.</w:t>
            </w:r>
          </w:p>
          <w:p w14:paraId="69465FB1" w14:textId="77777777" w:rsidR="008C4891" w:rsidRPr="00121C38" w:rsidRDefault="008C4891" w:rsidP="008C4891">
            <w:pPr>
              <w:ind w:left="459" w:hanging="283"/>
              <w:jc w:val="both"/>
              <w:rPr>
                <w:rFonts w:ascii="Arial Narrow" w:eastAsia="Arial Narrow" w:hAnsi="Arial Narrow" w:cs="Arial Narrow"/>
                <w:color w:val="000000" w:themeColor="text1"/>
                <w:sz w:val="20"/>
              </w:rPr>
            </w:pPr>
          </w:p>
          <w:p w14:paraId="4BD1F4D3" w14:textId="3AD5AF03" w:rsidR="008C4891" w:rsidRPr="00121C38" w:rsidRDefault="008C4891" w:rsidP="008C4891">
            <w:pPr>
              <w:pStyle w:val="Prrafodelista"/>
              <w:numPr>
                <w:ilvl w:val="0"/>
                <w:numId w:val="25"/>
              </w:numPr>
              <w:ind w:left="459" w:hanging="283"/>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 xml:space="preserve">Comité de Trabajo para el desarrollo de la Base de Datos de la Realidad Marítima, lidera: </w:t>
            </w:r>
            <w:r w:rsidR="00382BEB" w:rsidRPr="00121C38">
              <w:rPr>
                <w:rFonts w:ascii="Arial Narrow" w:eastAsia="Arial Narrow" w:hAnsi="Arial Narrow" w:cs="Arial Narrow"/>
                <w:color w:val="000000" w:themeColor="text1"/>
              </w:rPr>
              <w:t>MINAM</w:t>
            </w:r>
            <w:r w:rsidRPr="00121C38">
              <w:rPr>
                <w:rFonts w:ascii="Arial Narrow" w:eastAsia="Arial Narrow" w:hAnsi="Arial Narrow" w:cs="Arial Narrow"/>
                <w:color w:val="000000" w:themeColor="text1"/>
              </w:rPr>
              <w:t>, integrantes: todos los sectores.</w:t>
            </w:r>
          </w:p>
          <w:p w14:paraId="478B591B" w14:textId="5F803D3B" w:rsidR="00893A3C" w:rsidRPr="00121C38" w:rsidRDefault="00893A3C" w:rsidP="00893A3C">
            <w:pPr>
              <w:pStyle w:val="Prrafodelista"/>
              <w:ind w:left="459"/>
              <w:jc w:val="both"/>
              <w:rPr>
                <w:rFonts w:ascii="Arial Narrow" w:eastAsia="Arial Narrow" w:hAnsi="Arial Narrow" w:cs="Arial Narrow"/>
                <w:color w:val="000000" w:themeColor="text1"/>
                <w:sz w:val="12"/>
              </w:rPr>
            </w:pPr>
          </w:p>
          <w:p w14:paraId="3F67C23B" w14:textId="7E68736B" w:rsidR="00893A3C" w:rsidRPr="00121C38" w:rsidRDefault="00893A3C" w:rsidP="00893A3C">
            <w:pPr>
              <w:pStyle w:val="Prrafodelista"/>
              <w:ind w:left="459"/>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El presente Comité de Trabajo ha culminado los trabajos encargados, consolidando la información en el sistema GEOMAR</w:t>
            </w:r>
            <w:r w:rsidR="00B41BC2" w:rsidRPr="00121C38">
              <w:rPr>
                <w:rFonts w:ascii="Arial Narrow" w:eastAsia="Arial Narrow" w:hAnsi="Arial Narrow" w:cs="Arial Narrow"/>
                <w:color w:val="000000" w:themeColor="text1"/>
              </w:rPr>
              <w:t>, que puede visualizarse en el siguiente enlace:</w:t>
            </w:r>
          </w:p>
          <w:p w14:paraId="152C1B72" w14:textId="7C264347" w:rsidR="00D3178A" w:rsidRPr="00121C38" w:rsidRDefault="00D3178A" w:rsidP="00B41BC2">
            <w:pPr>
              <w:ind w:left="454"/>
              <w:rPr>
                <w:rFonts w:ascii="Arial Narrow" w:hAnsi="Arial Narrow"/>
                <w:color w:val="000000" w:themeColor="text1"/>
                <w:sz w:val="8"/>
              </w:rPr>
            </w:pPr>
            <w:r w:rsidRPr="00121C38">
              <w:rPr>
                <w:rFonts w:ascii="Arial Narrow" w:hAnsi="Arial Narrow"/>
                <w:color w:val="000000" w:themeColor="text1"/>
                <w:sz w:val="16"/>
              </w:rPr>
              <w:t xml:space="preserve">    </w:t>
            </w:r>
          </w:p>
          <w:p w14:paraId="3E2B6CE1" w14:textId="2E82297B" w:rsidR="00B41BC2" w:rsidRPr="00121C38" w:rsidRDefault="00F23D5C" w:rsidP="00D3178A">
            <w:pPr>
              <w:ind w:left="454"/>
              <w:jc w:val="center"/>
              <w:rPr>
                <w:rFonts w:ascii="Arial Narrow" w:hAnsi="Arial Narrow"/>
                <w:color w:val="000000" w:themeColor="text1"/>
                <w:sz w:val="17"/>
                <w:szCs w:val="17"/>
                <w:u w:val="single"/>
              </w:rPr>
            </w:pPr>
            <w:r w:rsidRPr="00121C38">
              <w:rPr>
                <w:rFonts w:ascii="Arial Narrow" w:hAnsi="Arial Narrow"/>
                <w:color w:val="000000" w:themeColor="text1"/>
                <w:sz w:val="17"/>
                <w:szCs w:val="17"/>
                <w:u w:val="single"/>
              </w:rPr>
              <w:t>h</w:t>
            </w:r>
            <w:r w:rsidR="00B41BC2" w:rsidRPr="00121C38">
              <w:rPr>
                <w:rFonts w:ascii="Arial Narrow" w:hAnsi="Arial Narrow"/>
                <w:color w:val="000000" w:themeColor="text1"/>
                <w:sz w:val="17"/>
                <w:szCs w:val="17"/>
                <w:u w:val="single"/>
              </w:rPr>
              <w:t>ttps://www.arcgis.com/apps/instant/sidebar/index.html?appid=481a257fcc0e490bb49396e87679827c</w:t>
            </w:r>
          </w:p>
          <w:p w14:paraId="50AA0F3A" w14:textId="77777777" w:rsidR="008C4891" w:rsidRPr="00121C38" w:rsidRDefault="008C4891" w:rsidP="008C4891">
            <w:pPr>
              <w:ind w:left="459" w:hanging="283"/>
              <w:jc w:val="both"/>
              <w:rPr>
                <w:rFonts w:ascii="Arial Narrow" w:eastAsia="Arial Narrow" w:hAnsi="Arial Narrow" w:cs="Arial Narrow"/>
                <w:color w:val="000000" w:themeColor="text1"/>
                <w:sz w:val="20"/>
              </w:rPr>
            </w:pPr>
          </w:p>
          <w:p w14:paraId="27171656" w14:textId="45292102" w:rsidR="008C4891" w:rsidRPr="00121C38" w:rsidRDefault="008C4891" w:rsidP="008C4891">
            <w:pPr>
              <w:pStyle w:val="Prrafodelista"/>
              <w:numPr>
                <w:ilvl w:val="0"/>
                <w:numId w:val="25"/>
              </w:numPr>
              <w:ind w:left="459" w:hanging="283"/>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 xml:space="preserve">Comité de Trabajo para el Análisis y Evaluación de Normatividad Marítima, lidera: </w:t>
            </w:r>
            <w:r w:rsidR="00382BEB" w:rsidRPr="00121C38">
              <w:rPr>
                <w:rFonts w:ascii="Arial Narrow" w:eastAsia="Arial Narrow" w:hAnsi="Arial Narrow" w:cs="Arial Narrow"/>
                <w:color w:val="000000" w:themeColor="text1"/>
              </w:rPr>
              <w:t>MRREE</w:t>
            </w:r>
            <w:r w:rsidRPr="00121C38">
              <w:rPr>
                <w:rFonts w:ascii="Arial Narrow" w:eastAsia="Arial Narrow" w:hAnsi="Arial Narrow" w:cs="Arial Narrow"/>
                <w:color w:val="000000" w:themeColor="text1"/>
              </w:rPr>
              <w:t>, integrantes: todos los sectores.</w:t>
            </w:r>
          </w:p>
          <w:p w14:paraId="05D768BA" w14:textId="77777777" w:rsidR="00B41BC2" w:rsidRPr="00121C38" w:rsidRDefault="00B41BC2" w:rsidP="00B41BC2">
            <w:pPr>
              <w:pStyle w:val="Prrafodelista"/>
              <w:ind w:left="459"/>
              <w:jc w:val="both"/>
              <w:rPr>
                <w:rFonts w:ascii="Arial Narrow" w:eastAsia="Arial Narrow" w:hAnsi="Arial Narrow" w:cs="Arial Narrow"/>
                <w:color w:val="000000" w:themeColor="text1"/>
                <w:sz w:val="12"/>
              </w:rPr>
            </w:pPr>
          </w:p>
          <w:p w14:paraId="2FC24171" w14:textId="501BD948" w:rsidR="00B41BC2" w:rsidRPr="00121C38" w:rsidRDefault="00B41BC2" w:rsidP="00B41BC2">
            <w:pPr>
              <w:pStyle w:val="Prrafodelista"/>
              <w:ind w:left="459"/>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El presente Comité de Trabajo, está realizando coordinaciones con diferentes entidades, con el objetivo de analizar los tratados relacionados al ámbito marítimo, trabajo que viene efectuando en 4 ejes temáticos, estimando el término de sus actividades para julio del presente año.</w:t>
            </w:r>
          </w:p>
          <w:p w14:paraId="3BC0BB28" w14:textId="77777777" w:rsidR="008C4891" w:rsidRPr="00121C38" w:rsidRDefault="008C4891" w:rsidP="008C4891">
            <w:pPr>
              <w:jc w:val="both"/>
              <w:rPr>
                <w:rFonts w:ascii="Arial Narrow" w:eastAsia="Arial Narrow" w:hAnsi="Arial Narrow" w:cs="Arial Narrow"/>
                <w:color w:val="000000" w:themeColor="text1"/>
                <w:sz w:val="20"/>
              </w:rPr>
            </w:pPr>
          </w:p>
          <w:p w14:paraId="6BD8C62B" w14:textId="4F96746F" w:rsidR="008C4891" w:rsidRPr="00121C38" w:rsidRDefault="00B41BC2" w:rsidP="008C4891">
            <w:pPr>
              <w:pStyle w:val="Prrafodelista"/>
              <w:numPr>
                <w:ilvl w:val="0"/>
                <w:numId w:val="24"/>
              </w:numPr>
              <w:ind w:left="176" w:hanging="142"/>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A</w:t>
            </w:r>
            <w:r w:rsidR="005F5FDF" w:rsidRPr="00121C38">
              <w:rPr>
                <w:rFonts w:ascii="Arial Narrow" w:eastAsia="Arial Narrow" w:hAnsi="Arial Narrow" w:cs="Arial Narrow"/>
                <w:color w:val="000000" w:themeColor="text1"/>
              </w:rPr>
              <w:t>ctualmente</w:t>
            </w:r>
            <w:r w:rsidRPr="00121C38">
              <w:rPr>
                <w:rFonts w:ascii="Arial Narrow" w:eastAsia="Arial Narrow" w:hAnsi="Arial Narrow" w:cs="Arial Narrow"/>
                <w:color w:val="000000" w:themeColor="text1"/>
              </w:rPr>
              <w:t>, la Comisión Multisectorial de la Acción del Estado en el Ámbito Marítimo (COMAEM), ha constituido TRES (3) Mesas de Trabajo de carácter temporal, los cuales son los siguientes:</w:t>
            </w:r>
          </w:p>
          <w:p w14:paraId="70541DBF" w14:textId="77777777" w:rsidR="00B41BC2" w:rsidRPr="00121C38" w:rsidRDefault="00B41BC2" w:rsidP="00B41BC2">
            <w:pPr>
              <w:jc w:val="both"/>
              <w:rPr>
                <w:rFonts w:ascii="Arial Narrow" w:eastAsia="Arial Narrow" w:hAnsi="Arial Narrow" w:cs="Arial Narrow"/>
                <w:color w:val="000000" w:themeColor="text1"/>
                <w:sz w:val="20"/>
              </w:rPr>
            </w:pPr>
          </w:p>
          <w:p w14:paraId="660616FB" w14:textId="50AD0FDC" w:rsidR="00B41BC2" w:rsidRPr="00121C38" w:rsidRDefault="00B41BC2" w:rsidP="00B41BC2">
            <w:pPr>
              <w:pStyle w:val="Prrafodelista"/>
              <w:numPr>
                <w:ilvl w:val="0"/>
                <w:numId w:val="25"/>
              </w:numPr>
              <w:spacing w:after="160" w:line="259" w:lineRule="auto"/>
              <w:ind w:left="459" w:hanging="283"/>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Mesa de Trabajo para la concordancia de las regulaciones intersectoriales vinculadas a la protección del patrimonio cultural subacuático, lidera: MINCUL, integrantes: MINCUL, APN y MGP-DICAPI.</w:t>
            </w:r>
          </w:p>
          <w:p w14:paraId="7A310D0C" w14:textId="77777777" w:rsidR="00B41BC2" w:rsidRPr="00121C38" w:rsidRDefault="00B41BC2" w:rsidP="00B41BC2">
            <w:pPr>
              <w:pStyle w:val="Prrafodelista"/>
              <w:spacing w:after="160" w:line="259" w:lineRule="auto"/>
              <w:ind w:left="459"/>
              <w:jc w:val="both"/>
              <w:rPr>
                <w:rFonts w:ascii="Arial Narrow" w:eastAsia="Arial Narrow" w:hAnsi="Arial Narrow" w:cs="Arial Narrow"/>
                <w:color w:val="000000" w:themeColor="text1"/>
              </w:rPr>
            </w:pPr>
          </w:p>
          <w:p w14:paraId="566A7F56" w14:textId="1D54FA27" w:rsidR="00B41BC2" w:rsidRPr="00121C38" w:rsidRDefault="00B41BC2" w:rsidP="00B41BC2">
            <w:pPr>
              <w:pStyle w:val="Prrafodelista"/>
              <w:numPr>
                <w:ilvl w:val="0"/>
                <w:numId w:val="25"/>
              </w:numPr>
              <w:spacing w:after="160" w:line="259" w:lineRule="auto"/>
              <w:ind w:left="459" w:hanging="283"/>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Mesa de Trabajo para la definición del alcance territorial de la Zona Marino Costera, lidera: MINAM, integrantes: MINAM, MGP-DICAPI, MGP-DIHIDRONAV y ST-COMAEM.</w:t>
            </w:r>
          </w:p>
          <w:p w14:paraId="4EA3E1A7" w14:textId="77777777" w:rsidR="00B41BC2" w:rsidRPr="00121C38" w:rsidRDefault="00B41BC2" w:rsidP="00B41BC2">
            <w:pPr>
              <w:pStyle w:val="Prrafodelista"/>
              <w:ind w:left="459"/>
              <w:jc w:val="both"/>
              <w:rPr>
                <w:rFonts w:ascii="Arial Narrow" w:eastAsia="Arial Narrow" w:hAnsi="Arial Narrow" w:cs="Arial Narrow"/>
                <w:color w:val="000000" w:themeColor="text1"/>
              </w:rPr>
            </w:pPr>
          </w:p>
          <w:p w14:paraId="59029845" w14:textId="21325B9F" w:rsidR="00B41BC2" w:rsidRPr="00121C38" w:rsidRDefault="00B41BC2" w:rsidP="00B41BC2">
            <w:pPr>
              <w:pStyle w:val="Prrafodelista"/>
              <w:numPr>
                <w:ilvl w:val="0"/>
                <w:numId w:val="25"/>
              </w:numPr>
              <w:spacing w:after="160" w:line="259" w:lineRule="auto"/>
              <w:ind w:left="459" w:hanging="283"/>
              <w:jc w:val="both"/>
              <w:rPr>
                <w:rFonts w:ascii="Arial Narrow" w:eastAsia="Arial Narrow" w:hAnsi="Arial Narrow" w:cs="Arial Narrow"/>
                <w:color w:val="000000" w:themeColor="text1"/>
              </w:rPr>
            </w:pPr>
            <w:r w:rsidRPr="00121C38">
              <w:rPr>
                <w:rFonts w:ascii="Arial Narrow" w:eastAsia="Arial Narrow" w:hAnsi="Arial Narrow" w:cs="Arial Narrow"/>
                <w:color w:val="000000" w:themeColor="text1"/>
              </w:rPr>
              <w:t>Mesa de Trabajo para la elaboración de la lista de verificación y el cronograma de visitas a los diferentes sectores del estado que tengan funciones vinculadas al ámbito marítimo, integrantes: todos los sectores.</w:t>
            </w:r>
          </w:p>
          <w:p w14:paraId="53986B3A" w14:textId="4DFBAAE3" w:rsidR="00B41BC2" w:rsidRPr="00121C38" w:rsidRDefault="00B41BC2" w:rsidP="00B41BC2">
            <w:pPr>
              <w:pStyle w:val="Prrafodelista"/>
              <w:ind w:left="459"/>
              <w:jc w:val="both"/>
              <w:rPr>
                <w:rFonts w:ascii="Arial Narrow" w:eastAsia="Arial Narrow" w:hAnsi="Arial Narrow" w:cs="Arial Narrow"/>
                <w:color w:val="000000" w:themeColor="text1"/>
              </w:rPr>
            </w:pPr>
          </w:p>
          <w:p w14:paraId="4AD79D75" w14:textId="77777777" w:rsidR="005F5FDF" w:rsidRPr="00121C38" w:rsidRDefault="005F5FDF" w:rsidP="00B41BC2">
            <w:pPr>
              <w:pStyle w:val="Prrafodelista"/>
              <w:ind w:left="459"/>
              <w:jc w:val="both"/>
              <w:rPr>
                <w:rFonts w:ascii="Arial Narrow" w:eastAsia="Arial Narrow" w:hAnsi="Arial Narrow" w:cs="Arial Narrow"/>
                <w:color w:val="000000" w:themeColor="text1"/>
              </w:rPr>
            </w:pPr>
          </w:p>
          <w:p w14:paraId="102C9CD4" w14:textId="77777777" w:rsidR="008C4891" w:rsidRPr="00121C38" w:rsidRDefault="008C4891" w:rsidP="00B41BC2">
            <w:pPr>
              <w:pStyle w:val="Prrafodelista"/>
              <w:ind w:left="176"/>
              <w:jc w:val="both"/>
              <w:rPr>
                <w:rFonts w:ascii="Arial Narrow" w:hAnsi="Arial Narrow"/>
                <w:color w:val="000000" w:themeColor="text1"/>
              </w:rPr>
            </w:pPr>
          </w:p>
          <w:p w14:paraId="68A90B8F" w14:textId="161DCC20" w:rsidR="00F23D5C" w:rsidRPr="00121C38" w:rsidRDefault="00F23D5C" w:rsidP="00B41BC2">
            <w:pPr>
              <w:pStyle w:val="Prrafodelista"/>
              <w:ind w:left="176"/>
              <w:jc w:val="both"/>
              <w:rPr>
                <w:rFonts w:ascii="Arial Narrow" w:hAnsi="Arial Narrow"/>
                <w:color w:val="000000" w:themeColor="text1"/>
              </w:rPr>
            </w:pPr>
          </w:p>
        </w:tc>
      </w:tr>
      <w:tr w:rsidR="00121C38" w:rsidRPr="00121C38" w14:paraId="0AE653AB" w14:textId="77777777" w:rsidTr="00986645">
        <w:tc>
          <w:tcPr>
            <w:tcW w:w="8921" w:type="dxa"/>
            <w:gridSpan w:val="7"/>
          </w:tcPr>
          <w:p w14:paraId="1D1006EC" w14:textId="7548C69C" w:rsidR="008C4891" w:rsidRPr="00121C38" w:rsidRDefault="008C4891" w:rsidP="008C4891">
            <w:pPr>
              <w:pStyle w:val="Prrafodelista"/>
              <w:numPr>
                <w:ilvl w:val="0"/>
                <w:numId w:val="7"/>
              </w:numPr>
              <w:spacing w:before="120" w:after="120"/>
              <w:ind w:left="164" w:hanging="204"/>
              <w:rPr>
                <w:rFonts w:ascii="Arial Narrow" w:hAnsi="Arial Narrow"/>
                <w:b/>
                <w:bCs/>
                <w:color w:val="000000" w:themeColor="text1"/>
              </w:rPr>
            </w:pPr>
            <w:r w:rsidRPr="00121C38">
              <w:rPr>
                <w:rFonts w:ascii="Arial Narrow" w:hAnsi="Arial Narrow"/>
                <w:b/>
                <w:bCs/>
                <w:color w:val="000000" w:themeColor="text1"/>
              </w:rPr>
              <w:t>Cumplimiento de los objetivos prioritarios de la política nacional</w:t>
            </w:r>
          </w:p>
        </w:tc>
      </w:tr>
      <w:tr w:rsidR="00121C38" w:rsidRPr="00121C38" w14:paraId="46122B80" w14:textId="77777777" w:rsidTr="001973A1">
        <w:trPr>
          <w:trHeight w:val="1211"/>
        </w:trPr>
        <w:tc>
          <w:tcPr>
            <w:tcW w:w="1858" w:type="dxa"/>
            <w:vAlign w:val="center"/>
          </w:tcPr>
          <w:p w14:paraId="5937BD2B" w14:textId="77777777" w:rsidR="008353D4" w:rsidRPr="00121C38" w:rsidRDefault="008353D4" w:rsidP="008353D4">
            <w:pPr>
              <w:spacing w:before="120" w:after="120"/>
              <w:jc w:val="center"/>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OP.01.</w:t>
            </w:r>
          </w:p>
          <w:p w14:paraId="418C61F3" w14:textId="4A60F13D" w:rsidR="008C4891" w:rsidRPr="00121C38" w:rsidRDefault="008353D4" w:rsidP="008353D4">
            <w:pPr>
              <w:spacing w:before="120" w:after="120"/>
              <w:jc w:val="center"/>
              <w:rPr>
                <w:rFonts w:ascii="Arial Narrow" w:hAnsi="Arial Narrow"/>
                <w:b/>
                <w:color w:val="000000" w:themeColor="text1"/>
              </w:rPr>
            </w:pPr>
            <w:r w:rsidRPr="00121C38">
              <w:rPr>
                <w:rFonts w:ascii="Arial Narrow" w:eastAsia="Arial Narrow" w:hAnsi="Arial Narrow" w:cs="Arial Narrow"/>
                <w:b/>
                <w:color w:val="000000" w:themeColor="text1"/>
              </w:rPr>
              <w:t>Fortalecer la influencia del Perú en asuntos marítimos internacionales</w:t>
            </w:r>
          </w:p>
        </w:tc>
        <w:tc>
          <w:tcPr>
            <w:tcW w:w="7063" w:type="dxa"/>
            <w:gridSpan w:val="6"/>
          </w:tcPr>
          <w:p w14:paraId="17150B87" w14:textId="7664B015" w:rsidR="008353D4" w:rsidRPr="00121C38" w:rsidRDefault="008353D4" w:rsidP="008353D4">
            <w:pPr>
              <w:spacing w:before="120" w:after="120"/>
              <w:jc w:val="both"/>
              <w:rPr>
                <w:rFonts w:ascii="Arial Narrow" w:hAnsi="Arial Narrow"/>
                <w:color w:val="000000" w:themeColor="text1"/>
              </w:rPr>
            </w:pPr>
            <w:r w:rsidRPr="00121C38">
              <w:rPr>
                <w:rFonts w:ascii="Arial Narrow" w:hAnsi="Arial Narrow"/>
                <w:color w:val="000000" w:themeColor="text1"/>
              </w:rPr>
              <w:t>El cumplimiento de este objetivo prioritario busca valorar la participación del Perú en los principales espacios marítimos internacionales compuesto por tratados internacionales, instrumentos internacionales no vinculantes, procesos internacionales y foros oficiales, organizaciones y órganos internacionales, para el período 2024 se obtuvo un valor del 90.9% en cuanto al porcentaje de la participación del Perú en los principales espacios marítimos internacionales, ante una expectativa de logro esperado de 81.75%. Asimismo, se obtuvo un valor del 0.88% en cuanto al Índice de Influencia del Perú en asuntos marítimos internacionales.</w:t>
            </w:r>
          </w:p>
          <w:p w14:paraId="41968251" w14:textId="5C1D35B6" w:rsidR="008353D4" w:rsidRPr="00121C38" w:rsidRDefault="008353D4" w:rsidP="008353D4">
            <w:pPr>
              <w:spacing w:before="120" w:after="120"/>
              <w:jc w:val="both"/>
              <w:rPr>
                <w:rFonts w:ascii="Arial Narrow" w:hAnsi="Arial Narrow"/>
                <w:color w:val="000000" w:themeColor="text1"/>
              </w:rPr>
            </w:pPr>
            <w:r w:rsidRPr="00121C38">
              <w:rPr>
                <w:rFonts w:ascii="Arial Narrow" w:hAnsi="Arial Narrow"/>
                <w:color w:val="000000" w:themeColor="text1"/>
              </w:rPr>
              <w:t>La política exterior en asuntos marítimos se ha posicionado cada año, tomando en consideración los puntos porcentuales esperados y estipulados en la Política Nacional Marítima. Esto también se refleja en los diversos acuerdos a consecuencia de la participación del Estado en los foros internacionales</w:t>
            </w:r>
            <w:r w:rsidR="00BF2825" w:rsidRPr="00121C38">
              <w:rPr>
                <w:rFonts w:ascii="Arial Narrow" w:hAnsi="Arial Narrow"/>
                <w:color w:val="000000" w:themeColor="text1"/>
              </w:rPr>
              <w:t>, lo cual demuestra un avance óptimo en este Objetivo Prioritario</w:t>
            </w:r>
            <w:r w:rsidRPr="00121C38">
              <w:rPr>
                <w:rFonts w:ascii="Arial Narrow" w:hAnsi="Arial Narrow"/>
                <w:color w:val="000000" w:themeColor="text1"/>
              </w:rPr>
              <w:t>.</w:t>
            </w:r>
          </w:p>
        </w:tc>
      </w:tr>
      <w:tr w:rsidR="00121C38" w:rsidRPr="00121C38" w14:paraId="681F4B3C" w14:textId="77777777" w:rsidTr="001973A1">
        <w:trPr>
          <w:trHeight w:val="1211"/>
        </w:trPr>
        <w:tc>
          <w:tcPr>
            <w:tcW w:w="1858" w:type="dxa"/>
            <w:vAlign w:val="center"/>
          </w:tcPr>
          <w:p w14:paraId="6410966E" w14:textId="77777777" w:rsidR="008353D4" w:rsidRPr="00121C38" w:rsidRDefault="008353D4" w:rsidP="008353D4">
            <w:pPr>
              <w:spacing w:before="120" w:after="120"/>
              <w:jc w:val="center"/>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OP.02.</w:t>
            </w:r>
          </w:p>
          <w:p w14:paraId="2AEF402C" w14:textId="6B67EEA9" w:rsidR="008353D4" w:rsidRPr="00121C38" w:rsidRDefault="008353D4" w:rsidP="008353D4">
            <w:pPr>
              <w:spacing w:before="120" w:after="120"/>
              <w:jc w:val="center"/>
              <w:rPr>
                <w:rFonts w:ascii="Arial Narrow" w:hAnsi="Arial Narrow"/>
                <w:b/>
                <w:color w:val="000000" w:themeColor="text1"/>
                <w:highlight w:val="yellow"/>
              </w:rPr>
            </w:pPr>
            <w:r w:rsidRPr="00121C38">
              <w:rPr>
                <w:rFonts w:ascii="Arial Narrow" w:eastAsia="Arial Narrow" w:hAnsi="Arial Narrow" w:cs="Arial Narrow"/>
                <w:b/>
                <w:color w:val="000000" w:themeColor="text1"/>
              </w:rPr>
              <w:t>Fortalecer las actividades productivas en el ámbito marítimo, en forma racional y sostenible</w:t>
            </w:r>
          </w:p>
        </w:tc>
        <w:tc>
          <w:tcPr>
            <w:tcW w:w="7063" w:type="dxa"/>
            <w:gridSpan w:val="6"/>
          </w:tcPr>
          <w:p w14:paraId="377D973A" w14:textId="3BFBC57C" w:rsidR="008353D4" w:rsidRPr="00121C38" w:rsidRDefault="008353D4" w:rsidP="00BF2825">
            <w:pPr>
              <w:spacing w:before="120" w:after="120"/>
              <w:jc w:val="both"/>
              <w:rPr>
                <w:rFonts w:ascii="Arial Narrow" w:hAnsi="Arial Narrow"/>
                <w:color w:val="000000" w:themeColor="text1"/>
              </w:rPr>
            </w:pPr>
            <w:r w:rsidRPr="00121C38">
              <w:rPr>
                <w:rFonts w:ascii="Arial Narrow" w:hAnsi="Arial Narrow"/>
                <w:color w:val="000000" w:themeColor="text1"/>
              </w:rPr>
              <w:t xml:space="preserve">Este objetivo prioritario nos permite medir el incremento de las actividades productivas en el ámbito marítimo; </w:t>
            </w:r>
            <w:r w:rsidR="00A75B95" w:rsidRPr="00121C38">
              <w:rPr>
                <w:rFonts w:ascii="Arial Narrow" w:hAnsi="Arial Narrow"/>
                <w:color w:val="000000" w:themeColor="text1"/>
              </w:rPr>
              <w:t xml:space="preserve">al respecto, con los esfuerzos </w:t>
            </w:r>
            <w:r w:rsidR="00C505F1" w:rsidRPr="00121C38">
              <w:rPr>
                <w:rFonts w:ascii="Arial Narrow" w:hAnsi="Arial Narrow"/>
                <w:color w:val="000000" w:themeColor="text1"/>
              </w:rPr>
              <w:t>del INEI y</w:t>
            </w:r>
            <w:r w:rsidR="00A75B95" w:rsidRPr="00121C38">
              <w:rPr>
                <w:rFonts w:ascii="Arial Narrow" w:hAnsi="Arial Narrow"/>
                <w:color w:val="000000" w:themeColor="text1"/>
              </w:rPr>
              <w:t xml:space="preserve"> los sectores que integran la COMAEM, se ha logrado </w:t>
            </w:r>
            <w:r w:rsidRPr="00121C38">
              <w:rPr>
                <w:rFonts w:ascii="Arial Narrow" w:hAnsi="Arial Narrow"/>
                <w:color w:val="000000" w:themeColor="text1"/>
              </w:rPr>
              <w:t xml:space="preserve">calcular </w:t>
            </w:r>
            <w:r w:rsidR="004F79DC" w:rsidRPr="00121C38">
              <w:rPr>
                <w:rFonts w:ascii="Arial Narrow" w:hAnsi="Arial Narrow"/>
                <w:color w:val="000000" w:themeColor="text1"/>
              </w:rPr>
              <w:t xml:space="preserve">por primera vez, </w:t>
            </w:r>
            <w:r w:rsidRPr="00121C38">
              <w:rPr>
                <w:rFonts w:ascii="Arial Narrow" w:hAnsi="Arial Narrow"/>
                <w:color w:val="000000" w:themeColor="text1"/>
              </w:rPr>
              <w:t>el PBI marítimo</w:t>
            </w:r>
            <w:r w:rsidR="00C505F1" w:rsidRPr="00121C38">
              <w:rPr>
                <w:rFonts w:ascii="Arial Narrow" w:hAnsi="Arial Narrow"/>
                <w:color w:val="000000" w:themeColor="text1"/>
              </w:rPr>
              <w:t xml:space="preserve"> al año 2023</w:t>
            </w:r>
            <w:r w:rsidRPr="00121C38">
              <w:rPr>
                <w:rFonts w:ascii="Arial Narrow" w:hAnsi="Arial Narrow"/>
                <w:color w:val="000000" w:themeColor="text1"/>
              </w:rPr>
              <w:t xml:space="preserve"> </w:t>
            </w:r>
            <w:r w:rsidR="00C505F1" w:rsidRPr="00121C38">
              <w:rPr>
                <w:rFonts w:ascii="Arial Narrow" w:hAnsi="Arial Narrow"/>
                <w:color w:val="000000" w:themeColor="text1"/>
              </w:rPr>
              <w:t>determinándose</w:t>
            </w:r>
            <w:r w:rsidRPr="00121C38">
              <w:rPr>
                <w:rFonts w:ascii="Arial Narrow" w:hAnsi="Arial Narrow"/>
                <w:color w:val="000000" w:themeColor="text1"/>
              </w:rPr>
              <w:t xml:space="preserve"> un </w:t>
            </w:r>
            <w:r w:rsidR="00C505F1" w:rsidRPr="00121C38">
              <w:rPr>
                <w:rFonts w:ascii="Arial Narrow" w:hAnsi="Arial Narrow"/>
                <w:color w:val="000000" w:themeColor="text1"/>
              </w:rPr>
              <w:t>val</w:t>
            </w:r>
            <w:r w:rsidRPr="00121C38">
              <w:rPr>
                <w:rFonts w:ascii="Arial Narrow" w:hAnsi="Arial Narrow"/>
                <w:color w:val="000000" w:themeColor="text1"/>
              </w:rPr>
              <w:t>o</w:t>
            </w:r>
            <w:r w:rsidR="00C505F1" w:rsidRPr="00121C38">
              <w:rPr>
                <w:rFonts w:ascii="Arial Narrow" w:hAnsi="Arial Narrow"/>
                <w:color w:val="000000" w:themeColor="text1"/>
              </w:rPr>
              <w:t>r</w:t>
            </w:r>
            <w:r w:rsidR="00A75B95" w:rsidRPr="00121C38">
              <w:rPr>
                <w:rFonts w:ascii="Arial Narrow" w:hAnsi="Arial Narrow"/>
                <w:color w:val="000000" w:themeColor="text1"/>
              </w:rPr>
              <w:t xml:space="preserve"> de</w:t>
            </w:r>
            <w:r w:rsidRPr="00121C38">
              <w:rPr>
                <w:rFonts w:ascii="Arial Narrow" w:hAnsi="Arial Narrow"/>
                <w:color w:val="000000" w:themeColor="text1"/>
              </w:rPr>
              <w:t xml:space="preserve"> </w:t>
            </w:r>
            <w:r w:rsidR="00A75B95" w:rsidRPr="00121C38">
              <w:rPr>
                <w:rFonts w:ascii="Arial Narrow" w:hAnsi="Arial Narrow"/>
                <w:color w:val="000000" w:themeColor="text1"/>
              </w:rPr>
              <w:t>1</w:t>
            </w:r>
            <w:r w:rsidRPr="00121C38">
              <w:rPr>
                <w:rFonts w:ascii="Arial Narrow" w:hAnsi="Arial Narrow"/>
                <w:color w:val="000000" w:themeColor="text1"/>
              </w:rPr>
              <w:t xml:space="preserve">.3% </w:t>
            </w:r>
            <w:r w:rsidR="00A75B95" w:rsidRPr="00121C38">
              <w:rPr>
                <w:rFonts w:ascii="Arial Narrow" w:hAnsi="Arial Narrow"/>
                <w:color w:val="000000" w:themeColor="text1"/>
              </w:rPr>
              <w:t>con respecto al</w:t>
            </w:r>
            <w:r w:rsidRPr="00121C38">
              <w:rPr>
                <w:rFonts w:ascii="Arial Narrow" w:hAnsi="Arial Narrow"/>
                <w:color w:val="000000" w:themeColor="text1"/>
              </w:rPr>
              <w:t xml:space="preserve"> PBI</w:t>
            </w:r>
            <w:r w:rsidR="00A75B95" w:rsidRPr="00121C38">
              <w:rPr>
                <w:rFonts w:ascii="Arial Narrow" w:hAnsi="Arial Narrow"/>
                <w:color w:val="000000" w:themeColor="text1"/>
              </w:rPr>
              <w:t xml:space="preserve"> Nacional</w:t>
            </w:r>
            <w:r w:rsidR="00BF2825" w:rsidRPr="00121C38">
              <w:rPr>
                <w:rFonts w:ascii="Arial Narrow" w:hAnsi="Arial Narrow"/>
                <w:color w:val="000000" w:themeColor="text1"/>
              </w:rPr>
              <w:t>, elaborado en base a actividades y productos existentes</w:t>
            </w:r>
            <w:r w:rsidR="004F79DC" w:rsidRPr="00121C38">
              <w:rPr>
                <w:rFonts w:ascii="Arial Narrow" w:hAnsi="Arial Narrow"/>
                <w:color w:val="000000" w:themeColor="text1"/>
              </w:rPr>
              <w:t>, el cual se encuentra por debajo del 4% que fue considerado como logro esperado</w:t>
            </w:r>
            <w:r w:rsidR="00BF2825" w:rsidRPr="00121C38">
              <w:rPr>
                <w:rFonts w:ascii="Arial Narrow" w:hAnsi="Arial Narrow"/>
                <w:color w:val="000000" w:themeColor="text1"/>
              </w:rPr>
              <w:t xml:space="preserve"> estimado en un panorama muy optimista al momento de formular la Política Nacional Marítima en el año 2019, por lo cual no podría definirse como un bajo cumplimiento</w:t>
            </w:r>
            <w:r w:rsidR="00EE0500" w:rsidRPr="00121C38">
              <w:rPr>
                <w:rFonts w:ascii="Arial Narrow" w:hAnsi="Arial Narrow"/>
                <w:color w:val="000000" w:themeColor="text1"/>
              </w:rPr>
              <w:t>.</w:t>
            </w:r>
            <w:r w:rsidRPr="00121C38">
              <w:rPr>
                <w:rFonts w:ascii="Arial Narrow" w:hAnsi="Arial Narrow"/>
                <w:color w:val="000000" w:themeColor="text1"/>
              </w:rPr>
              <w:t xml:space="preserve"> </w:t>
            </w:r>
          </w:p>
        </w:tc>
      </w:tr>
      <w:tr w:rsidR="00121C38" w:rsidRPr="00121C38" w14:paraId="6D543541" w14:textId="77777777" w:rsidTr="001973A1">
        <w:trPr>
          <w:trHeight w:val="1211"/>
        </w:trPr>
        <w:tc>
          <w:tcPr>
            <w:tcW w:w="1858" w:type="dxa"/>
            <w:vAlign w:val="center"/>
          </w:tcPr>
          <w:p w14:paraId="08825588" w14:textId="77777777" w:rsidR="004F79DC" w:rsidRPr="00121C38" w:rsidRDefault="004F79DC" w:rsidP="004F79DC">
            <w:pPr>
              <w:spacing w:before="120" w:after="120"/>
              <w:jc w:val="center"/>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OP.03.</w:t>
            </w:r>
          </w:p>
          <w:p w14:paraId="3E3D6CBF" w14:textId="0B17F091" w:rsidR="008353D4" w:rsidRPr="00121C38" w:rsidRDefault="004F79DC" w:rsidP="004F79DC">
            <w:pPr>
              <w:spacing w:before="120" w:after="120"/>
              <w:jc w:val="center"/>
              <w:rPr>
                <w:rFonts w:ascii="Arial Narrow" w:hAnsi="Arial Narrow"/>
                <w:b/>
                <w:color w:val="000000" w:themeColor="text1"/>
              </w:rPr>
            </w:pPr>
            <w:r w:rsidRPr="00121C38">
              <w:rPr>
                <w:rFonts w:ascii="Arial Narrow" w:eastAsia="Arial Narrow" w:hAnsi="Arial Narrow" w:cs="Arial Narrow"/>
                <w:b/>
                <w:color w:val="000000" w:themeColor="text1"/>
              </w:rPr>
              <w:t>Incrementar el comercio de manera sostenible y diversificada en el ámbito marítimo</w:t>
            </w:r>
          </w:p>
        </w:tc>
        <w:tc>
          <w:tcPr>
            <w:tcW w:w="7063" w:type="dxa"/>
            <w:gridSpan w:val="6"/>
          </w:tcPr>
          <w:p w14:paraId="5581BD9E" w14:textId="5777657E" w:rsidR="008353D4" w:rsidRPr="00121C38" w:rsidRDefault="004F79DC" w:rsidP="001973A1">
            <w:pPr>
              <w:spacing w:before="120" w:after="120"/>
              <w:jc w:val="both"/>
              <w:rPr>
                <w:rFonts w:ascii="Arial Narrow" w:hAnsi="Arial Narrow"/>
                <w:color w:val="000000" w:themeColor="text1"/>
              </w:rPr>
            </w:pPr>
            <w:r w:rsidRPr="00121C38">
              <w:rPr>
                <w:rFonts w:ascii="Arial Narrow" w:hAnsi="Arial Narrow"/>
                <w:color w:val="000000" w:themeColor="text1"/>
              </w:rPr>
              <w:t xml:space="preserve">El cumplimiento de este objetivo prioritario busca incrementar tanto las exportaciones como el trasporte de mercancías para el consumo por vía marítima, en forma sostenible y diversificada e incrementar el flujo de carga anual de los puertos marítimos nacionales. </w:t>
            </w:r>
            <w:r w:rsidR="001973A1" w:rsidRPr="00121C38">
              <w:rPr>
                <w:rFonts w:ascii="Arial Narrow" w:hAnsi="Arial Narrow"/>
                <w:color w:val="000000" w:themeColor="text1"/>
              </w:rPr>
              <w:t>De acuerdo con lo informado por MTC, hay un incremento del valor porcentual del 7.3% en 2023 al 14.5% en el movimiento de carga por vía marítima a nivel nacional durante el año 2024, superando en creces al 4% de logro esperado programado en la PNM</w:t>
            </w:r>
            <w:r w:rsidRPr="00121C38">
              <w:rPr>
                <w:rFonts w:ascii="Arial Narrow" w:hAnsi="Arial Narrow"/>
                <w:color w:val="000000" w:themeColor="text1"/>
              </w:rPr>
              <w:t>.</w:t>
            </w:r>
            <w:r w:rsidR="001973A1" w:rsidRPr="00121C38">
              <w:rPr>
                <w:rFonts w:ascii="Arial Narrow" w:hAnsi="Arial Narrow"/>
                <w:color w:val="000000" w:themeColor="text1"/>
              </w:rPr>
              <w:t xml:space="preserve"> Lo cual indica un crecimiento considerable en los últimos años en cuanto al volumen del comercio en el ámbito marítimo. Por ello, podemos indicar que el objetivo se viene cumpliendo</w:t>
            </w:r>
            <w:r w:rsidR="00BF2825" w:rsidRPr="00121C38">
              <w:rPr>
                <w:rFonts w:ascii="Arial Narrow" w:hAnsi="Arial Narrow"/>
                <w:color w:val="000000" w:themeColor="text1"/>
              </w:rPr>
              <w:t xml:space="preserve"> </w:t>
            </w:r>
            <w:r w:rsidR="008B3E6E" w:rsidRPr="00121C38">
              <w:rPr>
                <w:rFonts w:ascii="Arial Narrow" w:hAnsi="Arial Narrow"/>
                <w:color w:val="000000" w:themeColor="text1"/>
              </w:rPr>
              <w:t>eficazmente</w:t>
            </w:r>
            <w:r w:rsidR="001973A1" w:rsidRPr="00121C38">
              <w:rPr>
                <w:rFonts w:ascii="Arial Narrow" w:hAnsi="Arial Narrow"/>
                <w:color w:val="000000" w:themeColor="text1"/>
              </w:rPr>
              <w:t>.</w:t>
            </w:r>
          </w:p>
        </w:tc>
      </w:tr>
      <w:tr w:rsidR="00121C38" w:rsidRPr="00121C38" w14:paraId="5619142D" w14:textId="77777777" w:rsidTr="001973A1">
        <w:trPr>
          <w:trHeight w:val="1211"/>
        </w:trPr>
        <w:tc>
          <w:tcPr>
            <w:tcW w:w="1858" w:type="dxa"/>
            <w:vAlign w:val="center"/>
          </w:tcPr>
          <w:p w14:paraId="2955736C" w14:textId="77777777" w:rsidR="00833DC5" w:rsidRPr="00121C38" w:rsidRDefault="00833DC5" w:rsidP="00833DC5">
            <w:pPr>
              <w:spacing w:before="120" w:after="120"/>
              <w:jc w:val="center"/>
              <w:rPr>
                <w:rFonts w:ascii="Arial Narrow" w:hAnsi="Arial Narrow"/>
                <w:b/>
                <w:color w:val="000000" w:themeColor="text1"/>
              </w:rPr>
            </w:pPr>
            <w:r w:rsidRPr="00121C38">
              <w:rPr>
                <w:rFonts w:ascii="Arial Narrow" w:hAnsi="Arial Narrow"/>
                <w:b/>
                <w:color w:val="000000" w:themeColor="text1"/>
              </w:rPr>
              <w:t>OP.04.</w:t>
            </w:r>
          </w:p>
          <w:p w14:paraId="740CA929" w14:textId="4E39C8CE" w:rsidR="008353D4" w:rsidRPr="00121C38" w:rsidRDefault="00833DC5" w:rsidP="00833DC5">
            <w:pPr>
              <w:spacing w:before="120" w:after="120"/>
              <w:jc w:val="center"/>
              <w:rPr>
                <w:rFonts w:ascii="Arial Narrow" w:hAnsi="Arial Narrow"/>
                <w:b/>
                <w:color w:val="000000" w:themeColor="text1"/>
              </w:rPr>
            </w:pPr>
            <w:r w:rsidRPr="00121C38">
              <w:rPr>
                <w:rFonts w:ascii="Arial Narrow" w:hAnsi="Arial Narrow"/>
                <w:b/>
                <w:color w:val="000000" w:themeColor="text1"/>
              </w:rPr>
              <w:t>Asegurar la sostenibilidad de los recursos y ecosistemas en el ámbito marítimo</w:t>
            </w:r>
          </w:p>
        </w:tc>
        <w:tc>
          <w:tcPr>
            <w:tcW w:w="7063" w:type="dxa"/>
            <w:gridSpan w:val="6"/>
          </w:tcPr>
          <w:p w14:paraId="24C28946" w14:textId="37DC09A7" w:rsidR="00BF2825" w:rsidRPr="00121C38" w:rsidRDefault="00833DC5" w:rsidP="00BF2825">
            <w:pPr>
              <w:spacing w:before="120" w:after="120"/>
              <w:jc w:val="both"/>
              <w:rPr>
                <w:rFonts w:ascii="Arial Narrow" w:hAnsi="Arial Narrow"/>
                <w:color w:val="000000" w:themeColor="text1"/>
              </w:rPr>
            </w:pPr>
            <w:r w:rsidRPr="00121C38">
              <w:rPr>
                <w:rFonts w:ascii="Arial Narrow" w:hAnsi="Arial Narrow"/>
                <w:color w:val="000000" w:themeColor="text1"/>
              </w:rPr>
              <w:t>El cumplimiento de este objetivo prioritario busca, contar con las características físicas y químicas de la calidad de agua, y valora la calidad de las aguas marinas, es decir, su capacidad de soportar la vida ma</w:t>
            </w:r>
            <w:r w:rsidR="000E3EEC" w:rsidRPr="00121C38">
              <w:rPr>
                <w:rFonts w:ascii="Arial Narrow" w:hAnsi="Arial Narrow"/>
                <w:color w:val="000000" w:themeColor="text1"/>
              </w:rPr>
              <w:t>rina y sus procesos biológicos</w:t>
            </w:r>
            <w:r w:rsidRPr="00121C38">
              <w:rPr>
                <w:rFonts w:ascii="Arial Narrow" w:hAnsi="Arial Narrow"/>
                <w:color w:val="000000" w:themeColor="text1"/>
              </w:rPr>
              <w:t>.</w:t>
            </w:r>
            <w:r w:rsidR="000E3EEC" w:rsidRPr="00121C38">
              <w:rPr>
                <w:rFonts w:ascii="Arial Narrow" w:hAnsi="Arial Narrow"/>
                <w:color w:val="000000" w:themeColor="text1"/>
              </w:rPr>
              <w:t xml:space="preserve"> Para el período 2024, MINAM informa que se evaluaron 34 bahías, de las cuales cumplieron 27 bahías  con el estándar de calidad de agua de mar</w:t>
            </w:r>
            <w:r w:rsidR="00BF2825" w:rsidRPr="00121C38">
              <w:rPr>
                <w:rFonts w:ascii="Arial Narrow" w:hAnsi="Arial Narrow"/>
                <w:color w:val="000000" w:themeColor="text1"/>
              </w:rPr>
              <w:t xml:space="preserve">, lo cual representa un 79.4%, valor que es menor respecto al logro esperado que estimaba un 93%, que si bien indica un desvío desfavorable moderado entre los valores obtenidos respecto a los logros esperados con un valor de 85.4%, hay que considerar que </w:t>
            </w:r>
            <w:r w:rsidR="000023F6" w:rsidRPr="00121C38">
              <w:rPr>
                <w:rFonts w:ascii="Arial Narrow" w:hAnsi="Arial Narrow"/>
                <w:color w:val="000000" w:themeColor="text1"/>
              </w:rPr>
              <w:t>l</w:t>
            </w:r>
            <w:r w:rsidR="00BF2825" w:rsidRPr="00121C38">
              <w:rPr>
                <w:rFonts w:ascii="Arial Narrow" w:hAnsi="Arial Narrow"/>
                <w:color w:val="000000" w:themeColor="text1"/>
              </w:rPr>
              <w:t>as limitaciones presupuestarias impiden la evaluación de un mayor número de bahías, además de la falta de personal y recursos necesarios para adquirir los</w:t>
            </w:r>
            <w:r w:rsidR="000023F6" w:rsidRPr="00121C38">
              <w:rPr>
                <w:rFonts w:ascii="Arial Narrow" w:hAnsi="Arial Narrow"/>
                <w:color w:val="000000" w:themeColor="text1"/>
              </w:rPr>
              <w:t xml:space="preserve"> reactivos químicos requeridos, agregando que el </w:t>
            </w:r>
            <w:r w:rsidR="00BF2825" w:rsidRPr="00121C38">
              <w:rPr>
                <w:rFonts w:ascii="Arial Narrow" w:hAnsi="Arial Narrow"/>
                <w:color w:val="000000" w:themeColor="text1"/>
              </w:rPr>
              <w:t>mantenimiento preventivo y correctivo en los laboratorios de Calidad Acuática también es insuficiente, lo que representa un obstáculo adicional para realizar estas evaluaciones de manera efectiva.</w:t>
            </w:r>
          </w:p>
        </w:tc>
      </w:tr>
      <w:tr w:rsidR="00121C38" w:rsidRPr="00121C38" w14:paraId="47FD2C05" w14:textId="77777777" w:rsidTr="001973A1">
        <w:trPr>
          <w:trHeight w:val="1211"/>
        </w:trPr>
        <w:tc>
          <w:tcPr>
            <w:tcW w:w="1858" w:type="dxa"/>
            <w:vAlign w:val="center"/>
          </w:tcPr>
          <w:p w14:paraId="7BC9E72E" w14:textId="77777777" w:rsidR="001621E7" w:rsidRPr="00121C38" w:rsidRDefault="001621E7" w:rsidP="001621E7">
            <w:pPr>
              <w:spacing w:before="120" w:after="120"/>
              <w:jc w:val="center"/>
              <w:rPr>
                <w:rFonts w:ascii="Arial Narrow" w:eastAsia="Arial Narrow" w:hAnsi="Arial Narrow" w:cs="Arial Narrow"/>
                <w:b/>
                <w:color w:val="000000" w:themeColor="text1"/>
              </w:rPr>
            </w:pPr>
            <w:bookmarkStart w:id="2" w:name="_GoBack"/>
            <w:r w:rsidRPr="00121C38">
              <w:rPr>
                <w:rFonts w:ascii="Arial Narrow" w:eastAsia="Arial Narrow" w:hAnsi="Arial Narrow" w:cs="Arial Narrow"/>
                <w:b/>
                <w:color w:val="000000" w:themeColor="text1"/>
              </w:rPr>
              <w:t>OP.05.</w:t>
            </w:r>
          </w:p>
          <w:p w14:paraId="118EE8CC" w14:textId="0BB6BED5" w:rsidR="008353D4" w:rsidRPr="00121C38" w:rsidRDefault="001621E7" w:rsidP="001621E7">
            <w:pPr>
              <w:spacing w:before="120" w:after="120"/>
              <w:jc w:val="center"/>
              <w:rPr>
                <w:rFonts w:ascii="Arial Narrow" w:hAnsi="Arial Narrow"/>
                <w:b/>
                <w:color w:val="000000" w:themeColor="text1"/>
              </w:rPr>
            </w:pPr>
            <w:r w:rsidRPr="00121C38">
              <w:rPr>
                <w:rFonts w:ascii="Arial Narrow" w:eastAsia="Arial Narrow" w:hAnsi="Arial Narrow" w:cs="Arial Narrow"/>
                <w:b/>
                <w:color w:val="000000" w:themeColor="text1"/>
              </w:rPr>
              <w:t>Fortalecer la seguridad en el ámbito marítimo</w:t>
            </w:r>
          </w:p>
        </w:tc>
        <w:tc>
          <w:tcPr>
            <w:tcW w:w="7063" w:type="dxa"/>
            <w:gridSpan w:val="6"/>
          </w:tcPr>
          <w:p w14:paraId="3285899D" w14:textId="11F9ECCC" w:rsidR="008353D4" w:rsidRPr="00121C38" w:rsidRDefault="001621E7" w:rsidP="001621E7">
            <w:pPr>
              <w:spacing w:before="120" w:after="120"/>
              <w:jc w:val="both"/>
              <w:rPr>
                <w:rFonts w:ascii="Arial Narrow" w:hAnsi="Arial Narrow"/>
                <w:b/>
                <w:color w:val="000000" w:themeColor="text1"/>
              </w:rPr>
            </w:pPr>
            <w:r w:rsidRPr="00121C38">
              <w:rPr>
                <w:rFonts w:ascii="Arial Narrow" w:eastAsia="Arial Narrow" w:hAnsi="Arial Narrow" w:cs="Arial Narrow"/>
                <w:color w:val="000000" w:themeColor="text1"/>
              </w:rPr>
              <w:t>El cumplimiento de este objetivo prioritario busca que el estado peruano tenga la responsabilidad de velar por la seguridad de la vida humana en el mar, la navegación y transporte acuático, así como de vigilar y proteger las instalaciones ribereñas y los recursos naturales, en su ámbito de jurisdicción, entre otras responsabilidades, de conformidad con la normativa nacional, los instrumentos internacionales de los que el Perú es parte y otras normas de derecho internacional sobre la materia aplicables al estado. De acuerdo con la ley, estas responsabilidades le han sido asignadas a la Marina de Guerra del Perú, a través de la Autoridad Marítima Nacional (AMN), quien informa un óptimo avance en el cumplimiento de este objetivo prioritario, precisando un valor del 1.06% en cuanto al ratio de actividades ilícitas reportadas anualmente, teniendo una variación positiva frente al logro esperado de 0.98%.</w:t>
            </w:r>
          </w:p>
        </w:tc>
      </w:tr>
      <w:bookmarkEnd w:id="2"/>
      <w:tr w:rsidR="00121C38" w:rsidRPr="00121C38" w14:paraId="0A5006A6" w14:textId="77777777" w:rsidTr="00986645">
        <w:tc>
          <w:tcPr>
            <w:tcW w:w="8921" w:type="dxa"/>
            <w:gridSpan w:val="7"/>
          </w:tcPr>
          <w:p w14:paraId="034BB449" w14:textId="0F1A003E" w:rsidR="008C4891" w:rsidRPr="00121C38" w:rsidRDefault="008C4891" w:rsidP="008C4891">
            <w:pPr>
              <w:pStyle w:val="Prrafodelista"/>
              <w:numPr>
                <w:ilvl w:val="0"/>
                <w:numId w:val="7"/>
              </w:numPr>
              <w:spacing w:before="120" w:after="120"/>
              <w:ind w:left="164" w:hanging="204"/>
              <w:contextualSpacing w:val="0"/>
              <w:rPr>
                <w:rFonts w:ascii="Arial Narrow" w:hAnsi="Arial Narrow"/>
                <w:b/>
                <w:color w:val="000000" w:themeColor="text1"/>
              </w:rPr>
            </w:pPr>
            <w:r w:rsidRPr="00121C38">
              <w:rPr>
                <w:rFonts w:ascii="Arial Narrow" w:hAnsi="Arial Narrow"/>
                <w:b/>
                <w:bCs/>
                <w:color w:val="000000" w:themeColor="text1"/>
              </w:rPr>
              <w:t>Situación de las principales actividades que contribuyen al cumplimiento del objetivo de la política nacional y uso de recursos</w:t>
            </w:r>
          </w:p>
        </w:tc>
      </w:tr>
      <w:tr w:rsidR="00121C38" w:rsidRPr="00121C38" w14:paraId="001B8752" w14:textId="77777777" w:rsidTr="001973A1">
        <w:trPr>
          <w:trHeight w:val="1276"/>
        </w:trPr>
        <w:tc>
          <w:tcPr>
            <w:tcW w:w="1858" w:type="dxa"/>
            <w:vAlign w:val="center"/>
          </w:tcPr>
          <w:p w14:paraId="631B9031" w14:textId="77777777" w:rsidR="008353D4" w:rsidRPr="00121C38" w:rsidRDefault="008353D4" w:rsidP="008353D4">
            <w:pPr>
              <w:spacing w:before="120" w:after="120"/>
              <w:jc w:val="center"/>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OP.01.</w:t>
            </w:r>
          </w:p>
          <w:p w14:paraId="02D99733" w14:textId="33779A25" w:rsidR="008C4891" w:rsidRPr="00121C38" w:rsidRDefault="008353D4" w:rsidP="008353D4">
            <w:pPr>
              <w:spacing w:before="120" w:after="120"/>
              <w:jc w:val="center"/>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Fortalecer la influencia del Perú en asuntos marítimos internacionales</w:t>
            </w:r>
          </w:p>
        </w:tc>
        <w:tc>
          <w:tcPr>
            <w:tcW w:w="7063" w:type="dxa"/>
            <w:gridSpan w:val="6"/>
            <w:vAlign w:val="center"/>
          </w:tcPr>
          <w:p w14:paraId="16F32142" w14:textId="77777777" w:rsidR="00EE0500" w:rsidRPr="00121C38" w:rsidRDefault="00EE0500" w:rsidP="008353D4">
            <w:pPr>
              <w:spacing w:before="120" w:after="120"/>
              <w:jc w:val="both"/>
              <w:rPr>
                <w:rFonts w:ascii="Arial Narrow" w:hAnsi="Arial Narrow"/>
                <w:color w:val="000000" w:themeColor="text1"/>
              </w:rPr>
            </w:pPr>
            <w:r w:rsidRPr="00121C38">
              <w:rPr>
                <w:rFonts w:ascii="Arial Narrow" w:hAnsi="Arial Narrow"/>
                <w:b/>
                <w:color w:val="000000" w:themeColor="text1"/>
                <w:u w:val="single"/>
              </w:rPr>
              <w:t>MRREE</w:t>
            </w:r>
            <w:r w:rsidRPr="00121C38">
              <w:rPr>
                <w:rFonts w:ascii="Arial Narrow" w:hAnsi="Arial Narrow"/>
                <w:color w:val="000000" w:themeColor="text1"/>
              </w:rPr>
              <w:t xml:space="preserve"> </w:t>
            </w:r>
          </w:p>
          <w:p w14:paraId="22275130" w14:textId="61D3D72F" w:rsidR="008353D4" w:rsidRPr="00121C38" w:rsidRDefault="008353D4" w:rsidP="008353D4">
            <w:pPr>
              <w:spacing w:before="120" w:after="120"/>
              <w:jc w:val="both"/>
              <w:rPr>
                <w:rFonts w:ascii="Arial Narrow" w:hAnsi="Arial Narrow"/>
                <w:color w:val="000000" w:themeColor="text1"/>
              </w:rPr>
            </w:pPr>
            <w:r w:rsidRPr="00121C38">
              <w:rPr>
                <w:rFonts w:ascii="Arial Narrow" w:hAnsi="Arial Narrow"/>
                <w:color w:val="000000" w:themeColor="text1"/>
              </w:rPr>
              <w:t>Se observa que el número actualizado a la fecha supera 9.3 puntos del estimado en su mo</w:t>
            </w:r>
            <w:r w:rsidR="00A75B95" w:rsidRPr="00121C38">
              <w:rPr>
                <w:rFonts w:ascii="Arial Narrow" w:hAnsi="Arial Narrow"/>
                <w:color w:val="000000" w:themeColor="text1"/>
              </w:rPr>
              <w:t>mento. En ese sentido, el Ministerio de Relaciones Exteriores</w:t>
            </w:r>
            <w:r w:rsidRPr="00121C38">
              <w:rPr>
                <w:rFonts w:ascii="Arial Narrow" w:hAnsi="Arial Narrow"/>
                <w:color w:val="000000" w:themeColor="text1"/>
              </w:rPr>
              <w:t xml:space="preserve"> ha participado activamente en diversos foros internacionales sobre temas marítimos en el año 2024, </w:t>
            </w:r>
            <w:r w:rsidR="00A75B95" w:rsidRPr="00121C38">
              <w:rPr>
                <w:rFonts w:ascii="Arial Narrow" w:hAnsi="Arial Narrow"/>
                <w:color w:val="000000" w:themeColor="text1"/>
              </w:rPr>
              <w:t>tales como</w:t>
            </w:r>
            <w:r w:rsidRPr="00121C38">
              <w:rPr>
                <w:rFonts w:ascii="Arial Narrow" w:hAnsi="Arial Narrow"/>
                <w:color w:val="000000" w:themeColor="text1"/>
              </w:rPr>
              <w:t>:</w:t>
            </w:r>
          </w:p>
          <w:p w14:paraId="5962610C" w14:textId="77777777" w:rsidR="008353D4" w:rsidRPr="00121C38" w:rsidRDefault="008353D4" w:rsidP="008353D4">
            <w:pPr>
              <w:pStyle w:val="Prrafodelista"/>
              <w:numPr>
                <w:ilvl w:val="0"/>
                <w:numId w:val="27"/>
              </w:numPr>
              <w:spacing w:before="120" w:after="120" w:line="259" w:lineRule="auto"/>
              <w:ind w:left="289" w:hanging="283"/>
              <w:jc w:val="both"/>
              <w:rPr>
                <w:rFonts w:ascii="Arial Narrow" w:hAnsi="Arial Narrow"/>
                <w:color w:val="000000" w:themeColor="text1"/>
              </w:rPr>
            </w:pPr>
            <w:r w:rsidRPr="00121C38">
              <w:rPr>
                <w:rFonts w:ascii="Arial Narrow" w:hAnsi="Arial Narrow"/>
                <w:color w:val="000000" w:themeColor="text1"/>
              </w:rPr>
              <w:t>9na. Edición de Conferencia "</w:t>
            </w:r>
            <w:proofErr w:type="spellStart"/>
            <w:r w:rsidRPr="00121C38">
              <w:rPr>
                <w:rFonts w:ascii="Arial Narrow" w:hAnsi="Arial Narrow"/>
                <w:color w:val="000000" w:themeColor="text1"/>
              </w:rPr>
              <w:t>Our</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Ocean</w:t>
            </w:r>
            <w:proofErr w:type="spellEnd"/>
            <w:r w:rsidRPr="00121C38">
              <w:rPr>
                <w:rFonts w:ascii="Arial Narrow" w:hAnsi="Arial Narrow"/>
                <w:color w:val="000000" w:themeColor="text1"/>
              </w:rPr>
              <w:t xml:space="preserve">": Dentro de esta actividad se expusieron los compromisos voluntarios y avances que ha tenido el Estado en conjunto con sus sectores. Cabe señalar que la participación del Perú tiene continuidad hasta la fecha. </w:t>
            </w:r>
          </w:p>
          <w:p w14:paraId="2E31F58F" w14:textId="77777777" w:rsidR="008353D4" w:rsidRPr="00121C38" w:rsidRDefault="008353D4" w:rsidP="008353D4">
            <w:pPr>
              <w:pStyle w:val="Prrafodelista"/>
              <w:spacing w:before="120" w:after="120" w:line="259" w:lineRule="auto"/>
              <w:ind w:left="289" w:hanging="283"/>
              <w:jc w:val="both"/>
              <w:rPr>
                <w:rFonts w:ascii="Arial Narrow" w:hAnsi="Arial Narrow"/>
                <w:color w:val="000000" w:themeColor="text1"/>
              </w:rPr>
            </w:pPr>
          </w:p>
          <w:p w14:paraId="4DA62D84" w14:textId="77777777" w:rsidR="008353D4" w:rsidRPr="00121C38" w:rsidRDefault="008353D4" w:rsidP="008353D4">
            <w:pPr>
              <w:pStyle w:val="Prrafodelista"/>
              <w:numPr>
                <w:ilvl w:val="0"/>
                <w:numId w:val="27"/>
              </w:numPr>
              <w:spacing w:before="120" w:after="120" w:line="259" w:lineRule="auto"/>
              <w:ind w:left="289" w:hanging="283"/>
              <w:jc w:val="both"/>
              <w:rPr>
                <w:rFonts w:ascii="Arial Narrow" w:hAnsi="Arial Narrow"/>
                <w:color w:val="000000" w:themeColor="text1"/>
              </w:rPr>
            </w:pPr>
            <w:r w:rsidRPr="00121C38">
              <w:rPr>
                <w:rFonts w:ascii="Arial Narrow" w:hAnsi="Arial Narrow"/>
                <w:color w:val="000000" w:themeColor="text1"/>
              </w:rPr>
              <w:t xml:space="preserve">69° Comisión Ballenera Internacional (CBI): El Estado peruano celebró un tratado con la referida organización internacional, por lo que fue sede en el año 2024. Asimismo, se llevaron a cabo diversos acuerdos en el que distintos sectores participaron. </w:t>
            </w:r>
          </w:p>
          <w:p w14:paraId="7B2CEE20" w14:textId="77777777" w:rsidR="008353D4" w:rsidRPr="00121C38" w:rsidRDefault="008353D4" w:rsidP="008353D4">
            <w:pPr>
              <w:pStyle w:val="Prrafodelista"/>
              <w:spacing w:before="120" w:after="120" w:line="259" w:lineRule="auto"/>
              <w:ind w:left="289" w:hanging="283"/>
              <w:jc w:val="both"/>
              <w:rPr>
                <w:rFonts w:ascii="Arial Narrow" w:hAnsi="Arial Narrow"/>
                <w:color w:val="000000" w:themeColor="text1"/>
              </w:rPr>
            </w:pPr>
          </w:p>
          <w:p w14:paraId="05B84547" w14:textId="77777777" w:rsidR="008353D4" w:rsidRPr="00121C38" w:rsidRDefault="008353D4" w:rsidP="008353D4">
            <w:pPr>
              <w:pStyle w:val="Prrafodelista"/>
              <w:numPr>
                <w:ilvl w:val="0"/>
                <w:numId w:val="27"/>
              </w:numPr>
              <w:spacing w:before="120" w:after="120" w:line="259" w:lineRule="auto"/>
              <w:ind w:left="289" w:hanging="283"/>
              <w:jc w:val="both"/>
              <w:rPr>
                <w:rFonts w:ascii="Arial Narrow" w:hAnsi="Arial Narrow"/>
                <w:color w:val="000000" w:themeColor="text1"/>
              </w:rPr>
            </w:pPr>
            <w:r w:rsidRPr="00121C38">
              <w:rPr>
                <w:rFonts w:ascii="Arial Narrow" w:hAnsi="Arial Narrow"/>
                <w:color w:val="000000" w:themeColor="text1"/>
              </w:rPr>
              <w:t>Encuentro de Alto Nivel de Acción Oceánica “Inmersos en el cambio”: (i) Impulso al proceso de preparación de la III Conferencia de los Océanos; (ii) llamado global a la moratoria de la explotación minera de la Zona de los Fondos Marinos;(iii) Promover el Acuerdo sobre conservación y uso sostenible de la diversidad biológica situada fuera de la jurisdicción nacional (iv) "Declaración por un Océano de Paz"; (v) Plan de Trabajo 2024-2026, el cual ha considerado  una reunión de alto nivel en el marco de la Conferencia de los Océanos de Niza, en el 2025.</w:t>
            </w:r>
          </w:p>
          <w:p w14:paraId="708A2E34" w14:textId="49A6E18A" w:rsidR="008C4891" w:rsidRPr="00121C38" w:rsidRDefault="008C4891" w:rsidP="008C4891">
            <w:pPr>
              <w:spacing w:before="120" w:after="120"/>
              <w:rPr>
                <w:rFonts w:ascii="Arial Narrow" w:hAnsi="Arial Narrow"/>
                <w:b/>
                <w:color w:val="000000" w:themeColor="text1"/>
              </w:rPr>
            </w:pPr>
          </w:p>
        </w:tc>
      </w:tr>
      <w:tr w:rsidR="00121C38" w:rsidRPr="00121C38" w14:paraId="3DEA6D1E" w14:textId="77777777" w:rsidTr="001973A1">
        <w:trPr>
          <w:trHeight w:val="1276"/>
        </w:trPr>
        <w:tc>
          <w:tcPr>
            <w:tcW w:w="1858" w:type="dxa"/>
            <w:vAlign w:val="center"/>
          </w:tcPr>
          <w:p w14:paraId="44F5CE61" w14:textId="77777777" w:rsidR="00EE0500" w:rsidRPr="00121C38" w:rsidRDefault="00EE0500" w:rsidP="00EE7306">
            <w:pPr>
              <w:jc w:val="center"/>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OP.02.</w:t>
            </w:r>
          </w:p>
          <w:p w14:paraId="67070B47" w14:textId="24FB3DF3" w:rsidR="008353D4" w:rsidRPr="00121C38" w:rsidRDefault="00EE0500" w:rsidP="00EE7306">
            <w:pPr>
              <w:jc w:val="center"/>
              <w:rPr>
                <w:rFonts w:ascii="Arial Narrow" w:hAnsi="Arial Narrow"/>
                <w:b/>
                <w:color w:val="000000" w:themeColor="text1"/>
              </w:rPr>
            </w:pPr>
            <w:r w:rsidRPr="00121C38">
              <w:rPr>
                <w:rFonts w:ascii="Arial Narrow" w:eastAsia="Arial Narrow" w:hAnsi="Arial Narrow" w:cs="Arial Narrow"/>
                <w:b/>
                <w:color w:val="000000" w:themeColor="text1"/>
              </w:rPr>
              <w:t>Fortalecer las actividades productivas en el ámbito marítimo, en forma racional y sostenible</w:t>
            </w:r>
          </w:p>
        </w:tc>
        <w:tc>
          <w:tcPr>
            <w:tcW w:w="7063" w:type="dxa"/>
            <w:gridSpan w:val="6"/>
            <w:vAlign w:val="center"/>
          </w:tcPr>
          <w:p w14:paraId="101E4F4B" w14:textId="77777777" w:rsidR="00F23D5C" w:rsidRPr="00121C38" w:rsidRDefault="00F23D5C" w:rsidP="008B3E6E">
            <w:pPr>
              <w:jc w:val="both"/>
              <w:rPr>
                <w:rFonts w:ascii="Arial Narrow" w:hAnsi="Arial Narrow"/>
                <w:b/>
                <w:color w:val="000000" w:themeColor="text1"/>
                <w:sz w:val="16"/>
                <w:u w:val="single"/>
              </w:rPr>
            </w:pPr>
          </w:p>
          <w:p w14:paraId="4F2495A0" w14:textId="708742E5" w:rsidR="00EE0500" w:rsidRPr="00121C38" w:rsidRDefault="00EE0500" w:rsidP="008B3E6E">
            <w:pPr>
              <w:jc w:val="both"/>
              <w:rPr>
                <w:rFonts w:ascii="Arial Narrow" w:hAnsi="Arial Narrow"/>
                <w:b/>
                <w:color w:val="000000" w:themeColor="text1"/>
                <w:u w:val="single"/>
              </w:rPr>
            </w:pPr>
            <w:r w:rsidRPr="00121C38">
              <w:rPr>
                <w:rFonts w:ascii="Arial Narrow" w:hAnsi="Arial Narrow"/>
                <w:b/>
                <w:color w:val="000000" w:themeColor="text1"/>
                <w:u w:val="single"/>
              </w:rPr>
              <w:t>INEI</w:t>
            </w:r>
          </w:p>
          <w:p w14:paraId="4011788A" w14:textId="77777777" w:rsidR="007C793C" w:rsidRPr="00121C38" w:rsidRDefault="00EE0500" w:rsidP="008B3E6E">
            <w:pPr>
              <w:jc w:val="both"/>
              <w:rPr>
                <w:rFonts w:ascii="Arial Narrow" w:hAnsi="Arial Narrow"/>
                <w:color w:val="000000" w:themeColor="text1"/>
              </w:rPr>
            </w:pPr>
            <w:r w:rsidRPr="00121C38">
              <w:rPr>
                <w:rFonts w:ascii="Arial Narrow" w:hAnsi="Arial Narrow"/>
                <w:color w:val="000000" w:themeColor="text1"/>
              </w:rPr>
              <w:t>Actualmente, viene realizándose el levantamiento de información para la obtención de dicho indicador para el año 2024 con una proyección al año 2030.</w:t>
            </w:r>
            <w:r w:rsidR="007C793C" w:rsidRPr="00121C38">
              <w:rPr>
                <w:rFonts w:ascii="Arial Narrow" w:hAnsi="Arial Narrow"/>
                <w:color w:val="000000" w:themeColor="text1"/>
              </w:rPr>
              <w:t xml:space="preserve"> </w:t>
            </w:r>
          </w:p>
          <w:p w14:paraId="19FD12C8" w14:textId="77777777" w:rsidR="007C793C" w:rsidRPr="00121C38" w:rsidRDefault="007C793C" w:rsidP="008B3E6E">
            <w:pPr>
              <w:jc w:val="both"/>
              <w:rPr>
                <w:rFonts w:ascii="Arial Narrow" w:hAnsi="Arial Narrow"/>
                <w:color w:val="000000" w:themeColor="text1"/>
              </w:rPr>
            </w:pPr>
          </w:p>
          <w:p w14:paraId="449DE0F9" w14:textId="435467EB" w:rsidR="00EE0500" w:rsidRPr="00121C38" w:rsidRDefault="007C793C" w:rsidP="008B3E6E">
            <w:pPr>
              <w:jc w:val="both"/>
              <w:rPr>
                <w:rFonts w:ascii="Arial Narrow" w:hAnsi="Arial Narrow"/>
                <w:b/>
                <w:color w:val="000000" w:themeColor="text1"/>
                <w:u w:val="single"/>
              </w:rPr>
            </w:pPr>
            <w:r w:rsidRPr="00121C38">
              <w:rPr>
                <w:rFonts w:ascii="Arial Narrow" w:hAnsi="Arial Narrow"/>
                <w:color w:val="000000" w:themeColor="text1"/>
              </w:rPr>
              <w:t>Asimismo, se ha propuesto la suscripción del estado peruano</w:t>
            </w:r>
            <w:r w:rsidR="00CF64B7" w:rsidRPr="00121C38">
              <w:rPr>
                <w:rFonts w:ascii="Arial Narrow" w:hAnsi="Arial Narrow"/>
                <w:color w:val="000000" w:themeColor="text1"/>
              </w:rPr>
              <w:t>, a través de la COMAEM,</w:t>
            </w:r>
            <w:r w:rsidRPr="00121C38">
              <w:rPr>
                <w:rFonts w:ascii="Arial Narrow" w:hAnsi="Arial Narrow"/>
                <w:color w:val="000000" w:themeColor="text1"/>
              </w:rPr>
              <w:t xml:space="preserve"> a la Alianza Mundial de Cuentas Oceánicas (GOAP), </w:t>
            </w:r>
            <w:r w:rsidR="00CF64B7" w:rsidRPr="00121C38">
              <w:rPr>
                <w:rFonts w:ascii="Arial Narrow" w:hAnsi="Arial Narrow"/>
                <w:color w:val="000000" w:themeColor="text1"/>
              </w:rPr>
              <w:t>la</w:t>
            </w:r>
            <w:r w:rsidRPr="00121C38">
              <w:rPr>
                <w:rFonts w:ascii="Arial Narrow" w:hAnsi="Arial Narrow"/>
                <w:color w:val="000000" w:themeColor="text1"/>
              </w:rPr>
              <w:t xml:space="preserve"> cual proporcionaría información proveniente de las Cuentas Oceánicas, el cual sería un indicador relevante para el cálculo de la explotación </w:t>
            </w:r>
            <w:r w:rsidR="00EE7306" w:rsidRPr="00121C38">
              <w:rPr>
                <w:rFonts w:ascii="Arial Narrow" w:hAnsi="Arial Narrow"/>
                <w:color w:val="000000" w:themeColor="text1"/>
              </w:rPr>
              <w:t xml:space="preserve">y </w:t>
            </w:r>
            <w:r w:rsidRPr="00121C38">
              <w:rPr>
                <w:rFonts w:ascii="Arial Narrow" w:hAnsi="Arial Narrow"/>
                <w:color w:val="000000" w:themeColor="text1"/>
              </w:rPr>
              <w:t>stock de recursos marinos en el ámbito marítimo.</w:t>
            </w:r>
          </w:p>
          <w:p w14:paraId="32FE3D9A" w14:textId="77777777" w:rsidR="00F23D5C" w:rsidRPr="00121C38" w:rsidRDefault="00F23D5C" w:rsidP="008B3E6E">
            <w:pPr>
              <w:shd w:val="clear" w:color="auto" w:fill="FFFFFF"/>
              <w:jc w:val="both"/>
              <w:rPr>
                <w:rFonts w:ascii="Arial Narrow" w:eastAsia="Times New Roman" w:hAnsi="Arial Narrow" w:cs="Segoe UI"/>
                <w:b/>
                <w:color w:val="000000" w:themeColor="text1"/>
                <w:sz w:val="20"/>
                <w:u w:val="single"/>
              </w:rPr>
            </w:pPr>
          </w:p>
          <w:p w14:paraId="17D982E9" w14:textId="04CC7702" w:rsidR="002D22C9" w:rsidRPr="00121C38" w:rsidRDefault="002D22C9" w:rsidP="008B3E6E">
            <w:pPr>
              <w:shd w:val="clear" w:color="auto" w:fill="FFFFFF"/>
              <w:jc w:val="both"/>
              <w:rPr>
                <w:rFonts w:ascii="Arial Narrow" w:eastAsia="Times New Roman" w:hAnsi="Arial Narrow" w:cs="Segoe UI"/>
                <w:b/>
                <w:color w:val="000000" w:themeColor="text1"/>
                <w:u w:val="single"/>
              </w:rPr>
            </w:pPr>
            <w:r w:rsidRPr="00121C38">
              <w:rPr>
                <w:rFonts w:ascii="Arial Narrow" w:eastAsia="Times New Roman" w:hAnsi="Arial Narrow" w:cs="Segoe UI"/>
                <w:b/>
                <w:color w:val="000000" w:themeColor="text1"/>
                <w:u w:val="single"/>
              </w:rPr>
              <w:t>CONCYTEC</w:t>
            </w:r>
          </w:p>
          <w:p w14:paraId="086F18AA" w14:textId="57E2532B" w:rsidR="002D22C9" w:rsidRPr="00121C38" w:rsidRDefault="007C793C" w:rsidP="008B3E6E">
            <w:pPr>
              <w:shd w:val="clear" w:color="auto" w:fill="FFFFFF"/>
              <w:jc w:val="both"/>
              <w:rPr>
                <w:rFonts w:ascii="Arial Narrow" w:eastAsia="Times New Roman" w:hAnsi="Arial Narrow" w:cs="Segoe UI"/>
                <w:color w:val="000000" w:themeColor="text1"/>
              </w:rPr>
            </w:pPr>
            <w:r w:rsidRPr="00121C38">
              <w:rPr>
                <w:rFonts w:ascii="Arial Narrow" w:eastAsia="Times New Roman" w:hAnsi="Arial Narrow" w:cs="Segoe UI"/>
                <w:color w:val="000000" w:themeColor="text1"/>
              </w:rPr>
              <w:t xml:space="preserve">En el marco del seguimiento a la Política Nacional Marítima para el periodo 2024, la Oficina General de Planeamiento y Presupuesto del CONCYTEC, </w:t>
            </w:r>
            <w:r w:rsidR="002D22C9" w:rsidRPr="00121C38">
              <w:rPr>
                <w:rFonts w:ascii="Arial Narrow" w:eastAsia="Times New Roman" w:hAnsi="Arial Narrow" w:cs="Segoe UI"/>
                <w:color w:val="000000" w:themeColor="text1"/>
              </w:rPr>
              <w:t xml:space="preserve">informa que se han publicado 174 publicaciones en ciencia, tecnología e innovación tecnológica relacionadas con el ámbito marítimo documentos para el año 2024, lo cual es menor respecto a las 210 publicaciones reportadas en el año 2023: </w:t>
            </w:r>
          </w:p>
          <w:p w14:paraId="7984DD19" w14:textId="6D87580A" w:rsidR="007C793C" w:rsidRPr="00121C38" w:rsidRDefault="007C793C" w:rsidP="008B3E6E">
            <w:pPr>
              <w:shd w:val="clear" w:color="auto" w:fill="FFFFFF"/>
              <w:jc w:val="both"/>
              <w:rPr>
                <w:rFonts w:ascii="Arial Narrow" w:eastAsia="Times New Roman" w:hAnsi="Arial Narrow" w:cs="Segoe UI"/>
                <w:color w:val="000000" w:themeColor="text1"/>
              </w:rPr>
            </w:pPr>
          </w:p>
          <w:p w14:paraId="7C4976EF" w14:textId="77777777" w:rsidR="00EE7306" w:rsidRPr="00121C38" w:rsidRDefault="00EE7306" w:rsidP="008B3E6E">
            <w:pPr>
              <w:shd w:val="clear" w:color="auto" w:fill="FFFFFF"/>
              <w:jc w:val="both"/>
              <w:rPr>
                <w:rFonts w:ascii="Arial Narrow" w:eastAsia="Times New Roman" w:hAnsi="Arial Narrow" w:cs="Segoe UI"/>
                <w:color w:val="000000" w:themeColor="text1"/>
              </w:rPr>
            </w:pPr>
          </w:p>
          <w:p w14:paraId="7922F300" w14:textId="073D3A83" w:rsidR="007C793C" w:rsidRPr="00121C38" w:rsidRDefault="007C793C" w:rsidP="008B3E6E">
            <w:pPr>
              <w:shd w:val="clear" w:color="auto" w:fill="FFFFFF"/>
              <w:jc w:val="both"/>
              <w:rPr>
                <w:rFonts w:ascii="Arial Narrow" w:eastAsia="Times New Roman" w:hAnsi="Arial Narrow" w:cs="Segoe UI"/>
                <w:color w:val="000000" w:themeColor="text1"/>
              </w:rPr>
            </w:pPr>
            <w:r w:rsidRPr="00121C38">
              <w:rPr>
                <w:rFonts w:ascii="Arial Narrow" w:eastAsia="Times New Roman" w:hAnsi="Arial Narrow" w:cs="Segoe UI"/>
                <w:color w:val="000000" w:themeColor="text1"/>
              </w:rPr>
              <w:t xml:space="preserve">Es preciso recalcar que la Política Nacional Marítima no cuenta con una ficha de indicadores que recoja los criterios de medición; sin embargo, se procedió a definir criterios de búsqueda relevantes para el ámbito marítimo con el objetivo de obtener el dato de publicaciones pertinentes. En ese sentido, se tomó como fuente </w:t>
            </w:r>
            <w:r w:rsidR="002D22C9" w:rsidRPr="00121C38">
              <w:rPr>
                <w:rFonts w:ascii="Arial Narrow" w:eastAsia="Times New Roman" w:hAnsi="Arial Narrow" w:cs="Segoe UI"/>
                <w:color w:val="000000" w:themeColor="text1"/>
              </w:rPr>
              <w:t>SCIMAGO</w:t>
            </w:r>
            <w:r w:rsidRPr="00121C38">
              <w:rPr>
                <w:rFonts w:ascii="Arial Narrow" w:eastAsia="Times New Roman" w:hAnsi="Arial Narrow" w:cs="Segoe UI"/>
                <w:color w:val="000000" w:themeColor="text1"/>
              </w:rPr>
              <w:t>, el cual reporta datos de manera anual, a través de las categorías de ingeniería oceánica, oceanografía y ciencia</w:t>
            </w:r>
            <w:r w:rsidR="002D22C9" w:rsidRPr="00121C38">
              <w:rPr>
                <w:rFonts w:ascii="Arial Narrow" w:eastAsia="Times New Roman" w:hAnsi="Arial Narrow" w:cs="Segoe UI"/>
                <w:color w:val="000000" w:themeColor="text1"/>
              </w:rPr>
              <w:t xml:space="preserve"> acuática.</w:t>
            </w:r>
          </w:p>
          <w:p w14:paraId="74FFC025" w14:textId="77777777" w:rsidR="007C793C" w:rsidRPr="00121C38" w:rsidRDefault="007C793C" w:rsidP="008B3E6E">
            <w:pPr>
              <w:jc w:val="both"/>
              <w:rPr>
                <w:rFonts w:ascii="Arial Narrow" w:hAnsi="Arial Narrow"/>
                <w:b/>
                <w:color w:val="000000" w:themeColor="text1"/>
                <w:u w:val="single"/>
              </w:rPr>
            </w:pPr>
          </w:p>
          <w:p w14:paraId="624B0716" w14:textId="1AEC442A" w:rsidR="00EE0500" w:rsidRPr="00121C38" w:rsidRDefault="00EE0500" w:rsidP="008B3E6E">
            <w:pPr>
              <w:jc w:val="both"/>
              <w:rPr>
                <w:rFonts w:ascii="Arial Narrow" w:hAnsi="Arial Narrow"/>
                <w:color w:val="000000" w:themeColor="text1"/>
              </w:rPr>
            </w:pPr>
            <w:r w:rsidRPr="00121C38">
              <w:rPr>
                <w:rFonts w:ascii="Arial Narrow" w:hAnsi="Arial Narrow"/>
                <w:b/>
                <w:color w:val="000000" w:themeColor="text1"/>
                <w:u w:val="single"/>
              </w:rPr>
              <w:t>MINEDU</w:t>
            </w:r>
            <w:r w:rsidRPr="00121C38">
              <w:rPr>
                <w:rFonts w:ascii="Arial Narrow" w:hAnsi="Arial Narrow"/>
                <w:color w:val="000000" w:themeColor="text1"/>
              </w:rPr>
              <w:t xml:space="preserve"> </w:t>
            </w:r>
          </w:p>
          <w:p w14:paraId="2F25EBEE" w14:textId="409B6A34" w:rsidR="00EE0500" w:rsidRPr="00121C38" w:rsidRDefault="00EE0500" w:rsidP="008B3E6E">
            <w:pPr>
              <w:jc w:val="both"/>
              <w:rPr>
                <w:rFonts w:ascii="Arial Narrow" w:hAnsi="Arial Narrow"/>
                <w:color w:val="000000" w:themeColor="text1"/>
              </w:rPr>
            </w:pPr>
            <w:r w:rsidRPr="00121C38">
              <w:rPr>
                <w:rFonts w:ascii="Arial Narrow" w:hAnsi="Arial Narrow"/>
                <w:color w:val="000000" w:themeColor="text1"/>
              </w:rPr>
              <w:t>Durante el período se realizaron asistencias técnicas y talleres de manera presencial o virtual, orientados a fortalecer competencias de docentes de las II.EE de la educación básica a fin de poder implementar el enfoque ambiental en la gestión escolar, así como el desarrollo de los proyectos educativos ambientales integrados (PEAI) como estrategia para desarrollar el enfoque ambiental, considerando las múltiples problemáticas como las vinculadas a la protección de la biodiversidad marino costera, otros.</w:t>
            </w:r>
          </w:p>
          <w:p w14:paraId="07F41069" w14:textId="77777777" w:rsidR="00EE0500" w:rsidRPr="00121C38" w:rsidRDefault="00EE0500" w:rsidP="008B3E6E">
            <w:pPr>
              <w:jc w:val="both"/>
              <w:rPr>
                <w:rFonts w:ascii="Arial Narrow" w:hAnsi="Arial Narrow"/>
                <w:color w:val="000000" w:themeColor="text1"/>
              </w:rPr>
            </w:pPr>
          </w:p>
          <w:p w14:paraId="794657C8" w14:textId="5AD72BAA" w:rsidR="00EE0500" w:rsidRPr="00121C38" w:rsidRDefault="00EE0500" w:rsidP="008B3E6E">
            <w:pPr>
              <w:jc w:val="both"/>
              <w:rPr>
                <w:rFonts w:ascii="Arial Narrow" w:hAnsi="Arial Narrow"/>
                <w:color w:val="000000" w:themeColor="text1"/>
              </w:rPr>
            </w:pPr>
            <w:r w:rsidRPr="00121C38">
              <w:rPr>
                <w:rFonts w:ascii="Arial Narrow" w:hAnsi="Arial Narrow"/>
                <w:color w:val="000000" w:themeColor="text1"/>
              </w:rPr>
              <w:t>Las II.EE de la educación básica reportan las acciones implementadas desde el enfoque ambienta logrando el año 2024 que 42,549 II.EE de la educación básica (45,38%) reportaran sus acciones de educación ambiental y un total, de 29,501 II.EE de la educación básica, informan haber implementado el componente de educación en biodiversidad del enfoque ambiental.</w:t>
            </w:r>
          </w:p>
          <w:p w14:paraId="0A41D234" w14:textId="77777777" w:rsidR="00EE0500" w:rsidRPr="00121C38" w:rsidRDefault="00EE0500" w:rsidP="008B3E6E">
            <w:pPr>
              <w:jc w:val="both"/>
              <w:rPr>
                <w:rFonts w:ascii="Arial Narrow" w:hAnsi="Arial Narrow"/>
                <w:color w:val="000000" w:themeColor="text1"/>
              </w:rPr>
            </w:pPr>
          </w:p>
          <w:p w14:paraId="14488A32" w14:textId="12098946" w:rsidR="008353D4" w:rsidRPr="00121C38" w:rsidRDefault="00EE0500" w:rsidP="008B3E6E">
            <w:pPr>
              <w:jc w:val="both"/>
              <w:rPr>
                <w:rFonts w:ascii="Arial Narrow" w:hAnsi="Arial Narrow"/>
                <w:b/>
                <w:color w:val="000000" w:themeColor="text1"/>
              </w:rPr>
            </w:pPr>
            <w:r w:rsidRPr="00121C38">
              <w:rPr>
                <w:rFonts w:ascii="Arial Narrow" w:hAnsi="Arial Narrow"/>
                <w:color w:val="000000" w:themeColor="text1"/>
              </w:rPr>
              <w:t>De igual forma, 44,094 II.EE de la educación básica (47,06%) reportaron la conformación de su BEA y GRD, como estrategia para complementar las acciones de educación ambiental con la comunidad educativa. El brigadista de protección de la biodiversidad, coordina e implementa actividades para el cuidado y protección de la biodiversidad en la IE, el entorno y la región; contribuyendo así, desde el trabajo de la escuela, a la conservación de nuestra biodiversidad. De esta cifra, 39,368 II.EE de la educación básica han integrado al brigadista de protección de la biodiversidad, el cual desarrollan acciones para organizar actividades para promover acciones vinculadas a la producción y consumo responsable.</w:t>
            </w:r>
          </w:p>
        </w:tc>
      </w:tr>
      <w:tr w:rsidR="00121C38" w:rsidRPr="00121C38" w14:paraId="3B7D6E63" w14:textId="77777777" w:rsidTr="001973A1">
        <w:trPr>
          <w:trHeight w:val="1276"/>
        </w:trPr>
        <w:tc>
          <w:tcPr>
            <w:tcW w:w="1858" w:type="dxa"/>
            <w:vAlign w:val="center"/>
          </w:tcPr>
          <w:p w14:paraId="5577DC1A" w14:textId="77777777" w:rsidR="001973A1" w:rsidRPr="00121C38" w:rsidRDefault="001973A1" w:rsidP="00EE7306">
            <w:pPr>
              <w:jc w:val="center"/>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OP.03.</w:t>
            </w:r>
          </w:p>
          <w:p w14:paraId="02CD5E84" w14:textId="7243B087" w:rsidR="001973A1" w:rsidRPr="00121C38" w:rsidRDefault="001973A1" w:rsidP="00EE7306">
            <w:pPr>
              <w:jc w:val="center"/>
              <w:rPr>
                <w:rFonts w:ascii="Arial Narrow" w:hAnsi="Arial Narrow"/>
                <w:b/>
                <w:color w:val="000000" w:themeColor="text1"/>
              </w:rPr>
            </w:pPr>
            <w:r w:rsidRPr="00121C38">
              <w:rPr>
                <w:rFonts w:ascii="Arial Narrow" w:eastAsia="Arial Narrow" w:hAnsi="Arial Narrow" w:cs="Arial Narrow"/>
                <w:b/>
                <w:color w:val="000000" w:themeColor="text1"/>
              </w:rPr>
              <w:t>Incrementar el comercio de manera sostenible y diversificada en el ámbito marítimo</w:t>
            </w:r>
          </w:p>
        </w:tc>
        <w:tc>
          <w:tcPr>
            <w:tcW w:w="7063" w:type="dxa"/>
            <w:gridSpan w:val="6"/>
            <w:vAlign w:val="center"/>
          </w:tcPr>
          <w:p w14:paraId="0C3983F8" w14:textId="77777777" w:rsidR="00F23D5C" w:rsidRPr="00121C38" w:rsidRDefault="00F23D5C" w:rsidP="008B3E6E">
            <w:pPr>
              <w:jc w:val="both"/>
              <w:rPr>
                <w:rFonts w:ascii="Arial Narrow" w:hAnsi="Arial Narrow"/>
                <w:b/>
                <w:color w:val="000000" w:themeColor="text1"/>
                <w:u w:val="single"/>
              </w:rPr>
            </w:pPr>
          </w:p>
          <w:p w14:paraId="1403B089" w14:textId="011E8DFB" w:rsidR="001973A1" w:rsidRPr="00121C38" w:rsidRDefault="002D22C9" w:rsidP="008B3E6E">
            <w:pPr>
              <w:jc w:val="both"/>
              <w:rPr>
                <w:rFonts w:ascii="Arial Narrow" w:hAnsi="Arial Narrow"/>
                <w:b/>
                <w:color w:val="000000" w:themeColor="text1"/>
                <w:u w:val="single"/>
              </w:rPr>
            </w:pPr>
            <w:r w:rsidRPr="00121C38">
              <w:rPr>
                <w:rFonts w:ascii="Arial Narrow" w:hAnsi="Arial Narrow"/>
                <w:b/>
                <w:color w:val="000000" w:themeColor="text1"/>
                <w:u w:val="single"/>
              </w:rPr>
              <w:t>MTC</w:t>
            </w:r>
          </w:p>
          <w:p w14:paraId="360430D9" w14:textId="7524CE9A" w:rsidR="001973A1" w:rsidRPr="00121C38" w:rsidRDefault="002D22C9" w:rsidP="008B3E6E">
            <w:pPr>
              <w:pStyle w:val="Prrafodelista"/>
              <w:ind w:left="0"/>
              <w:jc w:val="both"/>
              <w:rPr>
                <w:rFonts w:ascii="Arial Narrow" w:hAnsi="Arial Narrow"/>
                <w:bCs/>
                <w:color w:val="000000" w:themeColor="text1"/>
              </w:rPr>
            </w:pPr>
            <w:r w:rsidRPr="00121C38">
              <w:rPr>
                <w:rFonts w:ascii="Arial Narrow" w:hAnsi="Arial Narrow"/>
                <w:bCs/>
                <w:color w:val="000000" w:themeColor="text1"/>
              </w:rPr>
              <w:t>En cumplimiento a la Política Nacional Marítima 2019-2030, el p</w:t>
            </w:r>
            <w:r w:rsidR="001973A1" w:rsidRPr="00121C38">
              <w:rPr>
                <w:rFonts w:ascii="Arial Narrow" w:hAnsi="Arial Narrow"/>
                <w:bCs/>
                <w:color w:val="000000" w:themeColor="text1"/>
              </w:rPr>
              <w:t xml:space="preserve">orcentaje de iniciativas de inversión públicas y privadas alcanzadas en el marco de la promoción del Plan de Desarrollo </w:t>
            </w:r>
            <w:r w:rsidRPr="00121C38">
              <w:rPr>
                <w:rFonts w:ascii="Arial Narrow" w:hAnsi="Arial Narrow"/>
                <w:bCs/>
                <w:color w:val="000000" w:themeColor="text1"/>
              </w:rPr>
              <w:t xml:space="preserve">Portuario Nacional”, </w:t>
            </w:r>
            <w:r w:rsidR="001973A1" w:rsidRPr="00121C38">
              <w:rPr>
                <w:rFonts w:ascii="Arial Narrow" w:hAnsi="Arial Narrow"/>
                <w:bCs/>
                <w:color w:val="000000" w:themeColor="text1"/>
              </w:rPr>
              <w:t>presenta una mayor ejecución del presupuesto comprometido en 2024 respecto a 2023.</w:t>
            </w:r>
          </w:p>
          <w:p w14:paraId="7BFDA8EC" w14:textId="77777777" w:rsidR="002D22C9" w:rsidRPr="00121C38" w:rsidRDefault="002D22C9" w:rsidP="008B3E6E">
            <w:pPr>
              <w:pStyle w:val="Prrafodelista"/>
              <w:jc w:val="both"/>
              <w:rPr>
                <w:rFonts w:ascii="Arial Narrow" w:hAnsi="Arial Narrow"/>
                <w:bCs/>
                <w:color w:val="000000" w:themeColor="text1"/>
                <w:u w:val="single"/>
              </w:rPr>
            </w:pPr>
          </w:p>
          <w:p w14:paraId="2EAC35A6" w14:textId="77777777" w:rsidR="002D22C9" w:rsidRPr="00121C38" w:rsidRDefault="002D22C9" w:rsidP="008B3E6E">
            <w:pPr>
              <w:pStyle w:val="Prrafodelista"/>
              <w:ind w:left="7"/>
              <w:jc w:val="both"/>
              <w:rPr>
                <w:rFonts w:ascii="Arial Narrow" w:hAnsi="Arial Narrow"/>
                <w:bCs/>
                <w:color w:val="000000" w:themeColor="text1"/>
              </w:rPr>
            </w:pPr>
            <w:r w:rsidRPr="00121C38">
              <w:rPr>
                <w:rFonts w:ascii="Arial Narrow" w:hAnsi="Arial Narrow"/>
                <w:bCs/>
                <w:color w:val="000000" w:themeColor="text1"/>
              </w:rPr>
              <w:t>Por otro lado, en relación al p</w:t>
            </w:r>
            <w:r w:rsidR="001973A1" w:rsidRPr="00121C38">
              <w:rPr>
                <w:rFonts w:ascii="Arial Narrow" w:hAnsi="Arial Narrow"/>
                <w:bCs/>
                <w:color w:val="000000" w:themeColor="text1"/>
              </w:rPr>
              <w:t>or</w:t>
            </w:r>
            <w:r w:rsidRPr="00121C38">
              <w:rPr>
                <w:rFonts w:ascii="Arial Narrow" w:hAnsi="Arial Narrow"/>
                <w:bCs/>
                <w:color w:val="000000" w:themeColor="text1"/>
              </w:rPr>
              <w:t xml:space="preserve">centaje de naves con control de </w:t>
            </w:r>
            <w:r w:rsidR="001973A1" w:rsidRPr="00121C38">
              <w:rPr>
                <w:rFonts w:ascii="Arial Narrow" w:hAnsi="Arial Narrow"/>
                <w:bCs/>
                <w:color w:val="000000" w:themeColor="text1"/>
              </w:rPr>
              <w:t>documentación oportuna de</w:t>
            </w:r>
            <w:r w:rsidRPr="00121C38">
              <w:rPr>
                <w:rFonts w:ascii="Arial Narrow" w:hAnsi="Arial Narrow"/>
                <w:bCs/>
                <w:color w:val="000000" w:themeColor="text1"/>
              </w:rPr>
              <w:t>ntro de los plazos establecidos, l</w:t>
            </w:r>
            <w:r w:rsidR="001973A1" w:rsidRPr="00121C38">
              <w:rPr>
                <w:rFonts w:ascii="Arial Narrow" w:hAnsi="Arial Narrow"/>
                <w:bCs/>
                <w:color w:val="000000" w:themeColor="text1"/>
              </w:rPr>
              <w:t>a Dirección de Autorizaciones de Transporte Acuático del MTC exige que todos los certificados estén vigentes para emitir el "Permiso de Operación" de cada nave. Si un certificado vence, el permiso es suspendido y la nave no puede operar. Por lo tanto, el indicador solicitado se mantiene al 100%.</w:t>
            </w:r>
          </w:p>
          <w:p w14:paraId="7BC414A0" w14:textId="031A5B9A" w:rsidR="002D22C9" w:rsidRPr="00121C38" w:rsidRDefault="002D22C9" w:rsidP="008B3E6E">
            <w:pPr>
              <w:pStyle w:val="Prrafodelista"/>
              <w:ind w:left="7"/>
              <w:jc w:val="both"/>
              <w:rPr>
                <w:rFonts w:ascii="Arial Narrow" w:hAnsi="Arial Narrow"/>
                <w:bCs/>
                <w:color w:val="000000" w:themeColor="text1"/>
              </w:rPr>
            </w:pPr>
          </w:p>
          <w:p w14:paraId="2538D1ED" w14:textId="77777777" w:rsidR="00F23D5C" w:rsidRPr="00121C38" w:rsidRDefault="00F23D5C" w:rsidP="008B3E6E">
            <w:pPr>
              <w:pStyle w:val="Prrafodelista"/>
              <w:ind w:left="7"/>
              <w:jc w:val="both"/>
              <w:rPr>
                <w:rFonts w:ascii="Arial Narrow" w:hAnsi="Arial Narrow"/>
                <w:bCs/>
                <w:color w:val="000000" w:themeColor="text1"/>
              </w:rPr>
            </w:pPr>
          </w:p>
          <w:p w14:paraId="6518B549" w14:textId="77777777" w:rsidR="001973A1" w:rsidRPr="00121C38" w:rsidRDefault="002D22C9" w:rsidP="008B3E6E">
            <w:pPr>
              <w:pStyle w:val="Prrafodelista"/>
              <w:ind w:left="7"/>
              <w:jc w:val="both"/>
              <w:rPr>
                <w:rFonts w:ascii="Arial Narrow" w:hAnsi="Arial Narrow"/>
                <w:bCs/>
                <w:color w:val="000000" w:themeColor="text1"/>
              </w:rPr>
            </w:pPr>
            <w:r w:rsidRPr="00121C38">
              <w:rPr>
                <w:rFonts w:ascii="Arial Narrow" w:hAnsi="Arial Narrow"/>
                <w:bCs/>
                <w:color w:val="000000" w:themeColor="text1"/>
              </w:rPr>
              <w:t>Asimismo, sobre la a</w:t>
            </w:r>
            <w:r w:rsidR="001973A1" w:rsidRPr="00121C38">
              <w:rPr>
                <w:rFonts w:ascii="Arial Narrow" w:hAnsi="Arial Narrow"/>
                <w:bCs/>
                <w:color w:val="000000" w:themeColor="text1"/>
              </w:rPr>
              <w:t>sistencia técnica integral en la formación de cadenas logísticas desde los centros de producción o distribución hasta los puertos y viceversa, a los agentes económicos vinc</w:t>
            </w:r>
            <w:r w:rsidRPr="00121C38">
              <w:rPr>
                <w:rFonts w:ascii="Arial Narrow" w:hAnsi="Arial Narrow"/>
                <w:bCs/>
                <w:color w:val="000000" w:themeColor="text1"/>
              </w:rPr>
              <w:t>ulados con el comercio marítimo, e</w:t>
            </w:r>
            <w:r w:rsidR="001973A1" w:rsidRPr="00121C38">
              <w:rPr>
                <w:rFonts w:ascii="Arial Narrow" w:hAnsi="Arial Narrow"/>
                <w:bCs/>
                <w:color w:val="000000" w:themeColor="text1"/>
              </w:rPr>
              <w:t>n el marco del Plan Nacional de Servicios e Infraestructura Logística de Transportes al 2032, se analizó e identificó 52 cadenas logísticas en Perú</w:t>
            </w:r>
            <w:r w:rsidRPr="00121C38">
              <w:rPr>
                <w:rFonts w:ascii="Arial Narrow" w:hAnsi="Arial Narrow"/>
                <w:bCs/>
                <w:color w:val="000000" w:themeColor="text1"/>
              </w:rPr>
              <w:t xml:space="preserve"> y respecto a la v</w:t>
            </w:r>
            <w:r w:rsidR="001973A1" w:rsidRPr="00121C38">
              <w:rPr>
                <w:rFonts w:ascii="Arial Narrow" w:hAnsi="Arial Narrow"/>
                <w:bCs/>
                <w:color w:val="000000" w:themeColor="text1"/>
              </w:rPr>
              <w:t>ariación porcentual de la cantidad de toneladas transportada</w:t>
            </w:r>
            <w:r w:rsidRPr="00121C38">
              <w:rPr>
                <w:rFonts w:ascii="Arial Narrow" w:hAnsi="Arial Narrow"/>
                <w:bCs/>
                <w:color w:val="000000" w:themeColor="text1"/>
              </w:rPr>
              <w:t xml:space="preserve">s anualmente en litoral peruano, el </w:t>
            </w:r>
            <w:r w:rsidR="001973A1" w:rsidRPr="00121C38">
              <w:rPr>
                <w:rFonts w:ascii="Arial Narrow" w:hAnsi="Arial Narrow"/>
                <w:bCs/>
                <w:color w:val="000000" w:themeColor="text1"/>
              </w:rPr>
              <w:t>movimiento de cabotaje mantiene la recuperación de 2023, con una leve reducción del 18.3% al 11.9% en 2024 en movimiento de toneladas en cabotaje.</w:t>
            </w:r>
          </w:p>
          <w:p w14:paraId="57B3ACCA" w14:textId="77777777" w:rsidR="002D22C9" w:rsidRPr="00121C38" w:rsidRDefault="002D22C9" w:rsidP="008B3E6E">
            <w:pPr>
              <w:pStyle w:val="Prrafodelista"/>
              <w:ind w:left="7"/>
              <w:jc w:val="both"/>
              <w:rPr>
                <w:rFonts w:ascii="Arial Narrow" w:hAnsi="Arial Narrow"/>
                <w:bCs/>
                <w:color w:val="000000" w:themeColor="text1"/>
              </w:rPr>
            </w:pPr>
          </w:p>
          <w:p w14:paraId="6E0013E3" w14:textId="77777777" w:rsidR="002D22C9" w:rsidRPr="00121C38" w:rsidRDefault="009E5F03" w:rsidP="008B3E6E">
            <w:pPr>
              <w:pStyle w:val="Prrafodelista"/>
              <w:ind w:left="7"/>
              <w:jc w:val="both"/>
              <w:rPr>
                <w:rFonts w:ascii="Arial Narrow" w:hAnsi="Arial Narrow"/>
                <w:b/>
                <w:bCs/>
                <w:color w:val="000000" w:themeColor="text1"/>
                <w:u w:val="single"/>
              </w:rPr>
            </w:pPr>
            <w:r w:rsidRPr="00121C38">
              <w:rPr>
                <w:rFonts w:ascii="Arial Narrow" w:hAnsi="Arial Narrow"/>
                <w:b/>
                <w:bCs/>
                <w:color w:val="000000" w:themeColor="text1"/>
                <w:u w:val="single"/>
              </w:rPr>
              <w:t>MINCETUR</w:t>
            </w:r>
          </w:p>
          <w:p w14:paraId="724DE210" w14:textId="7BF6D1FA" w:rsidR="009E5F03" w:rsidRPr="00121C38" w:rsidRDefault="009E5F03" w:rsidP="008B3E6E">
            <w:pPr>
              <w:pStyle w:val="Prrafodelista"/>
              <w:ind w:left="7"/>
              <w:jc w:val="both"/>
              <w:rPr>
                <w:rFonts w:ascii="Arial Narrow" w:hAnsi="Arial Narrow"/>
                <w:bCs/>
                <w:color w:val="000000" w:themeColor="text1"/>
              </w:rPr>
            </w:pPr>
            <w:r w:rsidRPr="00121C38">
              <w:rPr>
                <w:rFonts w:ascii="Arial Narrow" w:hAnsi="Arial Narrow"/>
                <w:bCs/>
                <w:color w:val="000000" w:themeColor="text1"/>
              </w:rPr>
              <w:t>El Ministerio de Comercio Exterior y Turismo (MINCETUR), a través del co</w:t>
            </w:r>
            <w:r w:rsidR="00D45A25" w:rsidRPr="00121C38">
              <w:rPr>
                <w:rFonts w:ascii="Arial Narrow" w:hAnsi="Arial Narrow"/>
                <w:bCs/>
                <w:color w:val="000000" w:themeColor="text1"/>
              </w:rPr>
              <w:t xml:space="preserve">mponente portuario de la VUCE, </w:t>
            </w:r>
            <w:r w:rsidRPr="00121C38">
              <w:rPr>
                <w:rFonts w:ascii="Arial Narrow" w:hAnsi="Arial Narrow"/>
                <w:bCs/>
                <w:color w:val="000000" w:themeColor="text1"/>
              </w:rPr>
              <w:t>ha promovido la integración de los procedimientos de las distintas instituciones públicas vinculadas a las operaciones de comercio exterior.</w:t>
            </w:r>
          </w:p>
          <w:p w14:paraId="08F16CA2" w14:textId="77777777" w:rsidR="00EE7306" w:rsidRPr="00121C38" w:rsidRDefault="00EE7306" w:rsidP="008B3E6E">
            <w:pPr>
              <w:pStyle w:val="Prrafodelista"/>
              <w:ind w:left="7"/>
              <w:jc w:val="both"/>
              <w:rPr>
                <w:rFonts w:ascii="Arial Narrow" w:hAnsi="Arial Narrow"/>
                <w:bCs/>
                <w:color w:val="000000" w:themeColor="text1"/>
              </w:rPr>
            </w:pPr>
          </w:p>
          <w:p w14:paraId="7B54A349" w14:textId="1F047461" w:rsidR="009E5F03" w:rsidRPr="00121C38" w:rsidRDefault="009E5F03" w:rsidP="008B3E6E">
            <w:pPr>
              <w:pStyle w:val="Prrafodelista"/>
              <w:ind w:left="7"/>
              <w:jc w:val="both"/>
              <w:rPr>
                <w:rFonts w:ascii="Arial Narrow" w:hAnsi="Arial Narrow"/>
                <w:bCs/>
                <w:color w:val="000000" w:themeColor="text1"/>
              </w:rPr>
            </w:pPr>
            <w:r w:rsidRPr="00121C38">
              <w:rPr>
                <w:rFonts w:ascii="Arial Narrow" w:hAnsi="Arial Narrow"/>
                <w:bCs/>
                <w:color w:val="000000" w:themeColor="text1"/>
              </w:rPr>
              <w:t>La implementación del sistema integrado de intercambio de información entre</w:t>
            </w:r>
            <w:r w:rsidR="00D45A25" w:rsidRPr="00121C38">
              <w:rPr>
                <w:rFonts w:ascii="Arial Narrow" w:hAnsi="Arial Narrow"/>
                <w:bCs/>
                <w:color w:val="000000" w:themeColor="text1"/>
              </w:rPr>
              <w:t xml:space="preserve"> los diversos agentes públicos </w:t>
            </w:r>
            <w:r w:rsidRPr="00121C38">
              <w:rPr>
                <w:rFonts w:ascii="Arial Narrow" w:hAnsi="Arial Narrow"/>
                <w:bCs/>
                <w:color w:val="000000" w:themeColor="text1"/>
              </w:rPr>
              <w:t>para el ingreso y salida de naves a través del componente portuario de la VUCE ha permitido una mayor articulación y eficiencia entre entidades como la Autoridad Portuaria Nacional, SUNAT, SENASA y otras, beneficiando directamente a los usuarios del comercio exterior.</w:t>
            </w:r>
          </w:p>
          <w:p w14:paraId="13AEDAA5" w14:textId="77777777" w:rsidR="009E5F03" w:rsidRPr="00121C38" w:rsidRDefault="009E5F03" w:rsidP="008B3E6E">
            <w:pPr>
              <w:pStyle w:val="Prrafodelista"/>
              <w:ind w:left="7"/>
              <w:jc w:val="both"/>
              <w:rPr>
                <w:rFonts w:ascii="Arial Narrow" w:hAnsi="Arial Narrow"/>
                <w:bCs/>
                <w:color w:val="000000" w:themeColor="text1"/>
              </w:rPr>
            </w:pPr>
          </w:p>
          <w:p w14:paraId="1BAF9F42" w14:textId="34A51620" w:rsidR="009E5F03" w:rsidRPr="00121C38" w:rsidRDefault="00D45A25" w:rsidP="008B3E6E">
            <w:pPr>
              <w:pStyle w:val="Prrafodelista"/>
              <w:ind w:left="7"/>
              <w:jc w:val="both"/>
              <w:rPr>
                <w:rFonts w:ascii="Arial Narrow" w:hAnsi="Arial Narrow"/>
                <w:bCs/>
                <w:color w:val="000000" w:themeColor="text1"/>
              </w:rPr>
            </w:pPr>
            <w:r w:rsidRPr="00121C38">
              <w:rPr>
                <w:rFonts w:ascii="Arial Narrow" w:hAnsi="Arial Narrow"/>
                <w:bCs/>
                <w:color w:val="000000" w:themeColor="text1"/>
              </w:rPr>
              <w:t>Por otro lado, la DDCOE informa que en el 2024 se realizaron 98 capacitaciones alcanzando a 1630 beneficiarios de las regiones del litoral marítimo, lo que significó un incremento de 93% en relación con el año anterior, mantenido una tendencia creciente. Sin embargo, en el último año, se ha desacelerado a raíz de que las empresas ya no priorizan mucho las capacitaciones virtuales. Las capacitaciones en cultura exportadora en beneficio de las empresas del litoral marítimo coadyuvan a generar capacidades para la internacionalización de la oferta exportable a través del ámbito marítimo</w:t>
            </w:r>
          </w:p>
        </w:tc>
      </w:tr>
      <w:tr w:rsidR="00121C38" w:rsidRPr="00121C38" w14:paraId="7FB6F05F" w14:textId="77777777" w:rsidTr="001973A1">
        <w:trPr>
          <w:trHeight w:val="1276"/>
        </w:trPr>
        <w:tc>
          <w:tcPr>
            <w:tcW w:w="1858" w:type="dxa"/>
            <w:vAlign w:val="center"/>
          </w:tcPr>
          <w:p w14:paraId="3E104B0C" w14:textId="77777777" w:rsidR="000023F6" w:rsidRPr="00121C38" w:rsidRDefault="000023F6" w:rsidP="00EE7306">
            <w:pPr>
              <w:jc w:val="center"/>
              <w:rPr>
                <w:rFonts w:ascii="Arial Narrow" w:hAnsi="Arial Narrow"/>
                <w:b/>
                <w:color w:val="000000" w:themeColor="text1"/>
              </w:rPr>
            </w:pPr>
            <w:r w:rsidRPr="00121C38">
              <w:rPr>
                <w:rFonts w:ascii="Arial Narrow" w:hAnsi="Arial Narrow"/>
                <w:b/>
                <w:color w:val="000000" w:themeColor="text1"/>
              </w:rPr>
              <w:t>OP.04.</w:t>
            </w:r>
          </w:p>
          <w:p w14:paraId="643AE548" w14:textId="121BE741" w:rsidR="001973A1" w:rsidRPr="00121C38" w:rsidRDefault="000023F6" w:rsidP="00EE7306">
            <w:pPr>
              <w:jc w:val="center"/>
              <w:rPr>
                <w:rFonts w:ascii="Arial Narrow" w:hAnsi="Arial Narrow"/>
                <w:b/>
                <w:color w:val="000000" w:themeColor="text1"/>
              </w:rPr>
            </w:pPr>
            <w:r w:rsidRPr="00121C38">
              <w:rPr>
                <w:rFonts w:ascii="Arial Narrow" w:hAnsi="Arial Narrow"/>
                <w:b/>
                <w:color w:val="000000" w:themeColor="text1"/>
              </w:rPr>
              <w:t>Asegurar la sostenibilidad de los recursos y ecosistemas en el ámbito marítimo</w:t>
            </w:r>
          </w:p>
        </w:tc>
        <w:tc>
          <w:tcPr>
            <w:tcW w:w="7063" w:type="dxa"/>
            <w:gridSpan w:val="6"/>
            <w:vAlign w:val="center"/>
          </w:tcPr>
          <w:p w14:paraId="1CB8B4F5" w14:textId="77777777" w:rsidR="00F23D5C" w:rsidRPr="00121C38" w:rsidRDefault="00F23D5C" w:rsidP="008B3E6E">
            <w:pPr>
              <w:jc w:val="both"/>
              <w:rPr>
                <w:rFonts w:ascii="Arial Narrow" w:hAnsi="Arial Narrow"/>
                <w:b/>
                <w:color w:val="000000" w:themeColor="text1"/>
                <w:u w:val="single"/>
              </w:rPr>
            </w:pPr>
          </w:p>
          <w:p w14:paraId="7934D4DD" w14:textId="49B415E4" w:rsidR="001973A1" w:rsidRPr="00121C38" w:rsidRDefault="000023F6" w:rsidP="008B3E6E">
            <w:pPr>
              <w:jc w:val="both"/>
              <w:rPr>
                <w:rFonts w:ascii="Arial Narrow" w:hAnsi="Arial Narrow"/>
                <w:b/>
                <w:color w:val="000000" w:themeColor="text1"/>
                <w:u w:val="single"/>
              </w:rPr>
            </w:pPr>
            <w:r w:rsidRPr="00121C38">
              <w:rPr>
                <w:rFonts w:ascii="Arial Narrow" w:hAnsi="Arial Narrow"/>
                <w:b/>
                <w:color w:val="000000" w:themeColor="text1"/>
                <w:u w:val="single"/>
              </w:rPr>
              <w:t>MINAM</w:t>
            </w:r>
          </w:p>
          <w:p w14:paraId="27B0FBDB" w14:textId="77777777" w:rsidR="000023F6" w:rsidRPr="00121C38" w:rsidRDefault="00E449BB" w:rsidP="008B3E6E">
            <w:pPr>
              <w:jc w:val="both"/>
              <w:rPr>
                <w:rFonts w:ascii="Arial Narrow" w:hAnsi="Arial Narrow"/>
                <w:color w:val="000000" w:themeColor="text1"/>
              </w:rPr>
            </w:pPr>
            <w:r w:rsidRPr="00121C38">
              <w:rPr>
                <w:rFonts w:ascii="Arial Narrow" w:hAnsi="Arial Narrow"/>
                <w:color w:val="000000" w:themeColor="text1"/>
              </w:rPr>
              <w:t xml:space="preserve">Durante el año 2024 se han brindado un total de 12 asistencias técnicas a las unidades de manejo integrado de Ica, Chincha y </w:t>
            </w:r>
            <w:proofErr w:type="spellStart"/>
            <w:r w:rsidRPr="00121C38">
              <w:rPr>
                <w:rFonts w:ascii="Arial Narrow" w:hAnsi="Arial Narrow"/>
                <w:color w:val="000000" w:themeColor="text1"/>
              </w:rPr>
              <w:t>Virú</w:t>
            </w:r>
            <w:proofErr w:type="spellEnd"/>
            <w:r w:rsidRPr="00121C38">
              <w:rPr>
                <w:rFonts w:ascii="Arial Narrow" w:hAnsi="Arial Narrow"/>
                <w:color w:val="000000" w:themeColor="text1"/>
              </w:rPr>
              <w:t>, lo que representa un avance del 10% respecto a la meta anual. Este esfuerzo contribuye al cumplimiento del 70% de la meta proyectada al 2026, y refleja una mejora del 1.67% en comparación con el nivel alcanzado en 2023.</w:t>
            </w:r>
          </w:p>
          <w:p w14:paraId="190D8B8B" w14:textId="77777777" w:rsidR="00F23D5C" w:rsidRPr="00121C38" w:rsidRDefault="00F23D5C" w:rsidP="008B3E6E">
            <w:pPr>
              <w:jc w:val="both"/>
              <w:rPr>
                <w:rFonts w:ascii="Arial Narrow" w:hAnsi="Arial Narrow"/>
                <w:color w:val="000000" w:themeColor="text1"/>
              </w:rPr>
            </w:pPr>
          </w:p>
          <w:p w14:paraId="27F57184" w14:textId="5FFA1BE8" w:rsidR="00E449BB" w:rsidRPr="00121C38" w:rsidRDefault="00E449BB" w:rsidP="008B3E6E">
            <w:pPr>
              <w:jc w:val="both"/>
              <w:rPr>
                <w:rFonts w:ascii="Arial Narrow" w:hAnsi="Arial Narrow"/>
                <w:color w:val="000000" w:themeColor="text1"/>
              </w:rPr>
            </w:pPr>
            <w:r w:rsidRPr="00121C38">
              <w:rPr>
                <w:rFonts w:ascii="Arial Narrow" w:hAnsi="Arial Narrow"/>
                <w:color w:val="000000" w:themeColor="text1"/>
              </w:rPr>
              <w:t xml:space="preserve">Por su parte, la DGDB ha realizado u elaborado un acumulado de siete (7) estudios o instrumentos (Dictámenes de Extracción No Perjudicial, DENP) sobre especies de recursos hidrobiológicos comprendidas en los apéndices de las CITES, siendo estas </w:t>
            </w:r>
            <w:proofErr w:type="spellStart"/>
            <w:r w:rsidRPr="00121C38">
              <w:rPr>
                <w:rFonts w:ascii="Arial Narrow" w:hAnsi="Arial Narrow"/>
                <w:color w:val="000000" w:themeColor="text1"/>
              </w:rPr>
              <w:t>Carcharhinus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falciformis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Sphyrna</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zygaena</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Alopias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pelagicus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Alopias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superciliosus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Alopias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vulpinus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Isurus</w:t>
            </w:r>
            <w:proofErr w:type="spellEnd"/>
            <w:r w:rsidRPr="00121C38">
              <w:rPr>
                <w:rFonts w:ascii="Arial Narrow" w:hAnsi="Arial Narrow"/>
                <w:color w:val="000000" w:themeColor="text1"/>
              </w:rPr>
              <w:t xml:space="preserve"> </w:t>
            </w:r>
            <w:proofErr w:type="spellStart"/>
            <w:r w:rsidRPr="00121C38">
              <w:rPr>
                <w:rFonts w:ascii="Arial Narrow" w:hAnsi="Arial Narrow"/>
                <w:color w:val="000000" w:themeColor="text1"/>
              </w:rPr>
              <w:t>oxyrinchus</w:t>
            </w:r>
            <w:proofErr w:type="spellEnd"/>
            <w:r w:rsidRPr="00121C38">
              <w:rPr>
                <w:rFonts w:ascii="Arial Narrow" w:hAnsi="Arial Narrow"/>
                <w:color w:val="000000" w:themeColor="text1"/>
              </w:rPr>
              <w:t xml:space="preserve">, y </w:t>
            </w:r>
            <w:proofErr w:type="spellStart"/>
            <w:r w:rsidRPr="00121C38">
              <w:rPr>
                <w:rFonts w:ascii="Arial Narrow" w:hAnsi="Arial Narrow"/>
                <w:color w:val="000000" w:themeColor="text1"/>
              </w:rPr>
              <w:t>Prionace</w:t>
            </w:r>
            <w:proofErr w:type="spellEnd"/>
            <w:r w:rsidRPr="00121C38">
              <w:rPr>
                <w:rFonts w:ascii="Arial Narrow" w:hAnsi="Arial Narrow"/>
                <w:color w:val="000000" w:themeColor="text1"/>
              </w:rPr>
              <w:t xml:space="preserve"> glauca. Respecto a ecosistemas de la ZMC, específicamente en humedales costeros, se elaboraron dos (2) instrumentos que los incluyen: Ley N° 32099, Ley para la Protección, conservación y uso sostenible de los humedales en el territorio nacional; y Resolución Ministerial 101-2024-MINAM - Aprueban los "Criterios para la priorización de humedales en el Perú".</w:t>
            </w:r>
          </w:p>
          <w:p w14:paraId="43CA47C3" w14:textId="77777777" w:rsidR="00F23D5C" w:rsidRPr="00121C38" w:rsidRDefault="00F23D5C" w:rsidP="008B3E6E">
            <w:pPr>
              <w:jc w:val="both"/>
              <w:rPr>
                <w:rFonts w:ascii="Arial Narrow" w:hAnsi="Arial Narrow"/>
                <w:color w:val="000000" w:themeColor="text1"/>
              </w:rPr>
            </w:pPr>
          </w:p>
          <w:p w14:paraId="68EBCFA9" w14:textId="19B97F2C" w:rsidR="00E449BB" w:rsidRPr="00121C38" w:rsidRDefault="00E449BB" w:rsidP="008B3E6E">
            <w:pPr>
              <w:jc w:val="both"/>
              <w:rPr>
                <w:rFonts w:ascii="Arial Narrow" w:hAnsi="Arial Narrow"/>
                <w:color w:val="000000" w:themeColor="text1"/>
              </w:rPr>
            </w:pPr>
            <w:r w:rsidRPr="00121C38">
              <w:rPr>
                <w:rFonts w:ascii="Arial Narrow" w:hAnsi="Arial Narrow"/>
                <w:color w:val="000000" w:themeColor="text1"/>
              </w:rPr>
              <w:t xml:space="preserve">Respecto a las actividades del SERNAMP, se desarrollaron acciones de vigilancia y control permitiendo la cobertura del 67.18%, en relación a la superficie total de ANP de ámbito marino y marino-costero. La coordinación por parte de las entidades competentes en acciones de vigilancia y control, se han desarrollado en marco al fortalecimiento, articulación y el convenio SERNANP-DICAPI, debido fundamentalmente a </w:t>
            </w:r>
            <w:r w:rsidR="00F23D5C" w:rsidRPr="00121C38">
              <w:rPr>
                <w:rFonts w:ascii="Arial Narrow" w:hAnsi="Arial Narrow"/>
                <w:color w:val="000000" w:themeColor="text1"/>
              </w:rPr>
              <w:t>que,</w:t>
            </w:r>
            <w:r w:rsidRPr="00121C38">
              <w:rPr>
                <w:rFonts w:ascii="Arial Narrow" w:hAnsi="Arial Narrow"/>
                <w:color w:val="000000" w:themeColor="text1"/>
              </w:rPr>
              <w:t xml:space="preserve"> en el 2024, se aumentó la superficie de ANP de ámbito marino y marino - costero debido al establecimiento de la Reserva Nacional Mar Tropical de Grau.</w:t>
            </w:r>
          </w:p>
          <w:p w14:paraId="189B35FC" w14:textId="77777777" w:rsidR="00F23D5C" w:rsidRPr="00121C38" w:rsidRDefault="00F23D5C" w:rsidP="008B3E6E">
            <w:pPr>
              <w:jc w:val="both"/>
              <w:rPr>
                <w:rFonts w:ascii="Arial Narrow" w:hAnsi="Arial Narrow"/>
                <w:color w:val="000000" w:themeColor="text1"/>
              </w:rPr>
            </w:pPr>
          </w:p>
          <w:p w14:paraId="2715B9DA" w14:textId="0C9DB0FB" w:rsidR="00E449BB" w:rsidRPr="00121C38" w:rsidRDefault="00E449BB" w:rsidP="008B3E6E">
            <w:pPr>
              <w:jc w:val="both"/>
              <w:rPr>
                <w:rFonts w:ascii="Arial Narrow" w:hAnsi="Arial Narrow"/>
                <w:color w:val="000000" w:themeColor="text1"/>
              </w:rPr>
            </w:pPr>
            <w:r w:rsidRPr="00121C38">
              <w:rPr>
                <w:rFonts w:ascii="Arial Narrow" w:hAnsi="Arial Narrow"/>
                <w:color w:val="000000" w:themeColor="text1"/>
              </w:rPr>
              <w:t>El avance en la labor de supervisión del OEFA en la zona marino-costera se mide a través del indicador "Porcentaje de unidades fiscalizables (UF) de la zona marino-costera supervisadas, en coordinación con entidades competentes." Al cierre del año 2024, el valor alcanzado para este indicador fue de 16.37</w:t>
            </w:r>
            <w:r w:rsidRPr="00121C38">
              <w:rPr>
                <w:rFonts w:ascii="Arial" w:hAnsi="Arial" w:cs="Arial"/>
                <w:color w:val="000000" w:themeColor="text1"/>
              </w:rPr>
              <w:t> </w:t>
            </w:r>
            <w:r w:rsidRPr="00121C38">
              <w:rPr>
                <w:rFonts w:ascii="Arial Narrow" w:hAnsi="Arial Narrow"/>
                <w:color w:val="000000" w:themeColor="text1"/>
              </w:rPr>
              <w:t>%. Esto significa que, de las 4,613 unidades fiscalizables identificadas en la zona marino-costera como línea base, se supervisaron 755 unidades fiscalizables, cuya distribución por sectores económicos muestra que la mayor concentración se encuentra en Pesquería (175 UF), seguida por Hidrocarburos (147), Agricultura y Residuos Sólidos (ambos con 126), Industria (102), Electricidad (69) y Minería (10). Desde una perspectiva territorial, las UF supervisadas se concentraron principalmente en los departamentos de La Libertad (18</w:t>
            </w:r>
            <w:r w:rsidRPr="00121C38">
              <w:rPr>
                <w:rFonts w:ascii="Arial" w:hAnsi="Arial" w:cs="Arial"/>
                <w:color w:val="000000" w:themeColor="text1"/>
              </w:rPr>
              <w:t> </w:t>
            </w:r>
            <w:r w:rsidRPr="00121C38">
              <w:rPr>
                <w:rFonts w:ascii="Arial Narrow" w:hAnsi="Arial Narrow"/>
                <w:color w:val="000000" w:themeColor="text1"/>
              </w:rPr>
              <w:t>%), Lima (16</w:t>
            </w:r>
            <w:r w:rsidRPr="00121C38">
              <w:rPr>
                <w:rFonts w:ascii="Arial" w:hAnsi="Arial" w:cs="Arial"/>
                <w:color w:val="000000" w:themeColor="text1"/>
              </w:rPr>
              <w:t> </w:t>
            </w:r>
            <w:r w:rsidRPr="00121C38">
              <w:rPr>
                <w:rFonts w:ascii="Arial Narrow" w:hAnsi="Arial Narrow"/>
                <w:color w:val="000000" w:themeColor="text1"/>
              </w:rPr>
              <w:t>%), Ica (13</w:t>
            </w:r>
            <w:r w:rsidRPr="00121C38">
              <w:rPr>
                <w:rFonts w:ascii="Arial" w:hAnsi="Arial" w:cs="Arial"/>
                <w:color w:val="000000" w:themeColor="text1"/>
              </w:rPr>
              <w:t> </w:t>
            </w:r>
            <w:r w:rsidRPr="00121C38">
              <w:rPr>
                <w:rFonts w:ascii="Arial Narrow" w:hAnsi="Arial Narrow"/>
                <w:color w:val="000000" w:themeColor="text1"/>
              </w:rPr>
              <w:t xml:space="preserve">%), </w:t>
            </w:r>
            <w:r w:rsidRPr="00121C38">
              <w:rPr>
                <w:rFonts w:ascii="Arial Narrow" w:hAnsi="Arial Narrow" w:cs="Arial Narrow"/>
                <w:color w:val="000000" w:themeColor="text1"/>
              </w:rPr>
              <w:t>Á</w:t>
            </w:r>
            <w:r w:rsidRPr="00121C38">
              <w:rPr>
                <w:rFonts w:ascii="Arial Narrow" w:hAnsi="Arial Narrow"/>
                <w:color w:val="000000" w:themeColor="text1"/>
              </w:rPr>
              <w:t>ncash (12</w:t>
            </w:r>
            <w:r w:rsidRPr="00121C38">
              <w:rPr>
                <w:rFonts w:ascii="Arial" w:hAnsi="Arial" w:cs="Arial"/>
                <w:color w:val="000000" w:themeColor="text1"/>
              </w:rPr>
              <w:t> </w:t>
            </w:r>
            <w:r w:rsidRPr="00121C38">
              <w:rPr>
                <w:rFonts w:ascii="Arial Narrow" w:hAnsi="Arial Narrow"/>
                <w:color w:val="000000" w:themeColor="text1"/>
              </w:rPr>
              <w:t>%) y Callao (10</w:t>
            </w:r>
            <w:r w:rsidRPr="00121C38">
              <w:rPr>
                <w:rFonts w:ascii="Arial" w:hAnsi="Arial" w:cs="Arial"/>
                <w:color w:val="000000" w:themeColor="text1"/>
              </w:rPr>
              <w:t> </w:t>
            </w:r>
            <w:r w:rsidRPr="00121C38">
              <w:rPr>
                <w:rFonts w:ascii="Arial Narrow" w:hAnsi="Arial Narrow"/>
                <w:color w:val="000000" w:themeColor="text1"/>
              </w:rPr>
              <w:t>%), reflejando la relevancia econ</w:t>
            </w:r>
            <w:r w:rsidRPr="00121C38">
              <w:rPr>
                <w:rFonts w:ascii="Arial Narrow" w:hAnsi="Arial Narrow" w:cs="Arial Narrow"/>
                <w:color w:val="000000" w:themeColor="text1"/>
              </w:rPr>
              <w:t>ó</w:t>
            </w:r>
            <w:r w:rsidRPr="00121C38">
              <w:rPr>
                <w:rFonts w:ascii="Arial Narrow" w:hAnsi="Arial Narrow"/>
                <w:color w:val="000000" w:themeColor="text1"/>
              </w:rPr>
              <w:t>mica y ambiental de estas zonas. Otras regiones como Piura (9</w:t>
            </w:r>
            <w:r w:rsidRPr="00121C38">
              <w:rPr>
                <w:rFonts w:ascii="Arial" w:hAnsi="Arial" w:cs="Arial"/>
                <w:color w:val="000000" w:themeColor="text1"/>
              </w:rPr>
              <w:t> </w:t>
            </w:r>
            <w:r w:rsidRPr="00121C38">
              <w:rPr>
                <w:rFonts w:ascii="Arial Narrow" w:hAnsi="Arial Narrow"/>
                <w:color w:val="000000" w:themeColor="text1"/>
              </w:rPr>
              <w:t>%), Tacna (6</w:t>
            </w:r>
            <w:r w:rsidRPr="00121C38">
              <w:rPr>
                <w:rFonts w:ascii="Arial" w:hAnsi="Arial" w:cs="Arial"/>
                <w:color w:val="000000" w:themeColor="text1"/>
              </w:rPr>
              <w:t> </w:t>
            </w:r>
            <w:r w:rsidRPr="00121C38">
              <w:rPr>
                <w:rFonts w:ascii="Arial Narrow" w:hAnsi="Arial Narrow"/>
                <w:color w:val="000000" w:themeColor="text1"/>
              </w:rPr>
              <w:t>%), Arequipa y Tumbes (5</w:t>
            </w:r>
            <w:r w:rsidRPr="00121C38">
              <w:rPr>
                <w:rFonts w:ascii="Arial" w:hAnsi="Arial" w:cs="Arial"/>
                <w:color w:val="000000" w:themeColor="text1"/>
              </w:rPr>
              <w:t> </w:t>
            </w:r>
            <w:r w:rsidRPr="00121C38">
              <w:rPr>
                <w:rFonts w:ascii="Arial Narrow" w:hAnsi="Arial Narrow"/>
                <w:color w:val="000000" w:themeColor="text1"/>
              </w:rPr>
              <w:t>% cada una), Moquegua (4</w:t>
            </w:r>
            <w:r w:rsidRPr="00121C38">
              <w:rPr>
                <w:rFonts w:ascii="Arial" w:hAnsi="Arial" w:cs="Arial"/>
                <w:color w:val="000000" w:themeColor="text1"/>
              </w:rPr>
              <w:t> </w:t>
            </w:r>
            <w:r w:rsidRPr="00121C38">
              <w:rPr>
                <w:rFonts w:ascii="Arial Narrow" w:hAnsi="Arial Narrow"/>
                <w:color w:val="000000" w:themeColor="text1"/>
              </w:rPr>
              <w:t>%) y Lambayeque (3</w:t>
            </w:r>
            <w:r w:rsidRPr="00121C38">
              <w:rPr>
                <w:rFonts w:ascii="Arial" w:hAnsi="Arial" w:cs="Arial"/>
                <w:color w:val="000000" w:themeColor="text1"/>
              </w:rPr>
              <w:t> </w:t>
            </w:r>
            <w:r w:rsidRPr="00121C38">
              <w:rPr>
                <w:rFonts w:ascii="Arial Narrow" w:hAnsi="Arial Narrow"/>
                <w:color w:val="000000" w:themeColor="text1"/>
              </w:rPr>
              <w:t>%) mostraron una participaci</w:t>
            </w:r>
            <w:r w:rsidRPr="00121C38">
              <w:rPr>
                <w:rFonts w:ascii="Arial Narrow" w:hAnsi="Arial Narrow" w:cs="Arial Narrow"/>
                <w:color w:val="000000" w:themeColor="text1"/>
              </w:rPr>
              <w:t>ó</w:t>
            </w:r>
            <w:r w:rsidRPr="00121C38">
              <w:rPr>
                <w:rFonts w:ascii="Arial Narrow" w:hAnsi="Arial Narrow"/>
                <w:color w:val="000000" w:themeColor="text1"/>
              </w:rPr>
              <w:t>n menor, probablemente debido a una menor densidad de unidades fiscalizables o a una estrategia de focalizaci</w:t>
            </w:r>
            <w:r w:rsidRPr="00121C38">
              <w:rPr>
                <w:rFonts w:ascii="Arial Narrow" w:hAnsi="Arial Narrow" w:cs="Arial Narrow"/>
                <w:color w:val="000000" w:themeColor="text1"/>
              </w:rPr>
              <w:t>ó</w:t>
            </w:r>
            <w:r w:rsidRPr="00121C38">
              <w:rPr>
                <w:rFonts w:ascii="Arial Narrow" w:hAnsi="Arial Narrow"/>
                <w:color w:val="000000" w:themeColor="text1"/>
              </w:rPr>
              <w:t>n en territorios con mayor carga ambiental.</w:t>
            </w:r>
          </w:p>
          <w:p w14:paraId="295AC883" w14:textId="77777777" w:rsidR="00F23D5C" w:rsidRPr="00121C38" w:rsidRDefault="00F23D5C" w:rsidP="008B3E6E">
            <w:pPr>
              <w:jc w:val="both"/>
              <w:rPr>
                <w:rFonts w:ascii="Arial Narrow" w:hAnsi="Arial Narrow"/>
                <w:color w:val="000000" w:themeColor="text1"/>
              </w:rPr>
            </w:pPr>
          </w:p>
          <w:p w14:paraId="3CA97E0D" w14:textId="639A166A" w:rsidR="00E449BB" w:rsidRPr="00121C38" w:rsidRDefault="00E449BB" w:rsidP="008B3E6E">
            <w:pPr>
              <w:jc w:val="both"/>
              <w:rPr>
                <w:rFonts w:ascii="Arial Narrow" w:hAnsi="Arial Narrow"/>
                <w:color w:val="000000" w:themeColor="text1"/>
              </w:rPr>
            </w:pPr>
            <w:r w:rsidRPr="00121C38">
              <w:rPr>
                <w:rFonts w:ascii="Arial Narrow" w:hAnsi="Arial Narrow"/>
                <w:color w:val="000000" w:themeColor="text1"/>
              </w:rPr>
              <w:t>En el año 2024, se logró el 100% de cumplimiento del objetivo establecido, dado que se concluyeron 244 expedientes de Procedimientos Administrativos Sancionadores dentro del plazo legalmente establecido Cabe destacar que el Texto Único Ordenado de la Ley del Procedimiento Administrativo General, aprobado mediante el Decreto Supremo Nº 004-2019-JUS, determina un plazo de nueve (9) meses para la resolución de los procedimientos sancionadores iniciados de oficio, contabilizados a partir de la notificación de la imputación de cargos. Asimismo, durante el año 2024, los departamentos de Ica, Piura y El Callao registraron el mayor número de expedientes concluidos, atribuido a la actividad de los sectores de pesca, industria e hidrocarburos presentes en dichas regiones.</w:t>
            </w:r>
          </w:p>
          <w:p w14:paraId="0AC4E56E" w14:textId="77777777" w:rsidR="00E449BB" w:rsidRPr="00121C38" w:rsidRDefault="00E449BB" w:rsidP="008B3E6E">
            <w:pPr>
              <w:jc w:val="both"/>
              <w:rPr>
                <w:rFonts w:ascii="Arial Narrow" w:hAnsi="Arial Narrow"/>
                <w:color w:val="000000" w:themeColor="text1"/>
              </w:rPr>
            </w:pPr>
          </w:p>
          <w:p w14:paraId="62B044E7" w14:textId="77777777" w:rsidR="00E449BB" w:rsidRPr="00121C38" w:rsidRDefault="00E449BB" w:rsidP="008B3E6E">
            <w:pPr>
              <w:jc w:val="both"/>
              <w:rPr>
                <w:rFonts w:ascii="Arial Narrow" w:hAnsi="Arial Narrow"/>
                <w:b/>
                <w:color w:val="000000" w:themeColor="text1"/>
                <w:u w:val="single"/>
              </w:rPr>
            </w:pPr>
            <w:r w:rsidRPr="00121C38">
              <w:rPr>
                <w:rFonts w:ascii="Arial Narrow" w:hAnsi="Arial Narrow"/>
                <w:b/>
                <w:color w:val="000000" w:themeColor="text1"/>
                <w:u w:val="single"/>
              </w:rPr>
              <w:t>MINEM</w:t>
            </w:r>
          </w:p>
          <w:p w14:paraId="16AE0DED" w14:textId="154455A0" w:rsidR="00E449BB" w:rsidRPr="00121C38" w:rsidRDefault="00E449BB" w:rsidP="008B3E6E">
            <w:pPr>
              <w:jc w:val="both"/>
              <w:rPr>
                <w:rFonts w:ascii="Arial Narrow" w:hAnsi="Arial Narrow"/>
                <w:bCs/>
                <w:color w:val="000000" w:themeColor="text1"/>
              </w:rPr>
            </w:pPr>
            <w:r w:rsidRPr="00121C38">
              <w:rPr>
                <w:rFonts w:ascii="Arial Narrow" w:hAnsi="Arial Narrow"/>
                <w:bCs/>
                <w:color w:val="000000" w:themeColor="text1"/>
              </w:rPr>
              <w:t>Existe un estudio denominado “Recomendaciones para el desarrollo de la energía renovable acuática en el Perú” elaborado en 2017, y desarrollado para la Embajada Británica en Lima.</w:t>
            </w:r>
          </w:p>
          <w:p w14:paraId="79959065" w14:textId="1DE6BD8B" w:rsidR="00E449BB" w:rsidRPr="00121C38" w:rsidRDefault="00E449BB" w:rsidP="008B3E6E">
            <w:pPr>
              <w:jc w:val="both"/>
              <w:rPr>
                <w:rFonts w:ascii="Arial Narrow" w:hAnsi="Arial Narrow"/>
                <w:color w:val="000000" w:themeColor="text1"/>
              </w:rPr>
            </w:pPr>
            <w:r w:rsidRPr="00121C38">
              <w:rPr>
                <w:rFonts w:ascii="Arial Narrow" w:hAnsi="Arial Narrow"/>
                <w:color w:val="000000" w:themeColor="text1"/>
              </w:rPr>
              <w:t xml:space="preserve">Se desarrolla coordinaciones con cooperación internacional para identificar la oportunidad de desarrollar estudios que aporten a la evaluación actualizada del </w:t>
            </w:r>
            <w:r w:rsidRPr="00121C38">
              <w:rPr>
                <w:rFonts w:ascii="Arial Narrow" w:hAnsi="Arial Narrow"/>
                <w:bCs/>
                <w:color w:val="000000" w:themeColor="text1"/>
              </w:rPr>
              <w:t>potencial de aprovechamiento de las energías renovables.</w:t>
            </w:r>
          </w:p>
          <w:p w14:paraId="427AE52E" w14:textId="33C48EFB" w:rsidR="00E449BB" w:rsidRPr="00121C38" w:rsidRDefault="00E449BB" w:rsidP="008B3E6E">
            <w:pPr>
              <w:jc w:val="both"/>
              <w:rPr>
                <w:rFonts w:ascii="Arial Narrow" w:hAnsi="Arial Narrow"/>
                <w:color w:val="000000" w:themeColor="text1"/>
              </w:rPr>
            </w:pPr>
          </w:p>
        </w:tc>
      </w:tr>
      <w:tr w:rsidR="00121C38" w:rsidRPr="00121C38" w14:paraId="633C6075" w14:textId="77777777" w:rsidTr="001973A1">
        <w:trPr>
          <w:trHeight w:val="1276"/>
        </w:trPr>
        <w:tc>
          <w:tcPr>
            <w:tcW w:w="1858" w:type="dxa"/>
            <w:vAlign w:val="center"/>
          </w:tcPr>
          <w:p w14:paraId="2BA00996" w14:textId="77777777" w:rsidR="001621E7" w:rsidRPr="00121C38" w:rsidRDefault="001621E7" w:rsidP="00EE7306">
            <w:pPr>
              <w:jc w:val="center"/>
              <w:rPr>
                <w:rFonts w:ascii="Arial Narrow" w:eastAsia="Arial Narrow" w:hAnsi="Arial Narrow" w:cs="Arial Narrow"/>
                <w:b/>
                <w:color w:val="000000" w:themeColor="text1"/>
              </w:rPr>
            </w:pPr>
            <w:r w:rsidRPr="00121C38">
              <w:rPr>
                <w:rFonts w:ascii="Arial Narrow" w:eastAsia="Arial Narrow" w:hAnsi="Arial Narrow" w:cs="Arial Narrow"/>
                <w:b/>
                <w:color w:val="000000" w:themeColor="text1"/>
              </w:rPr>
              <w:t>OP.05.</w:t>
            </w:r>
          </w:p>
          <w:p w14:paraId="74173F63" w14:textId="359C803B" w:rsidR="001621E7" w:rsidRPr="00121C38" w:rsidRDefault="001621E7" w:rsidP="00EE7306">
            <w:pPr>
              <w:jc w:val="center"/>
              <w:rPr>
                <w:rFonts w:ascii="Arial Narrow" w:hAnsi="Arial Narrow"/>
                <w:b/>
                <w:color w:val="000000" w:themeColor="text1"/>
              </w:rPr>
            </w:pPr>
            <w:r w:rsidRPr="00121C38">
              <w:rPr>
                <w:rFonts w:ascii="Arial Narrow" w:eastAsia="Arial Narrow" w:hAnsi="Arial Narrow" w:cs="Arial Narrow"/>
                <w:b/>
                <w:color w:val="000000" w:themeColor="text1"/>
              </w:rPr>
              <w:t>Fortalecer la seguridad en el ámbito marítimo</w:t>
            </w:r>
          </w:p>
        </w:tc>
        <w:tc>
          <w:tcPr>
            <w:tcW w:w="7063" w:type="dxa"/>
            <w:gridSpan w:val="6"/>
            <w:vAlign w:val="center"/>
          </w:tcPr>
          <w:p w14:paraId="5502C8EE" w14:textId="685D5B08" w:rsidR="00FA0E11" w:rsidRPr="00121C38" w:rsidRDefault="00FA0E11" w:rsidP="008B3E6E">
            <w:pPr>
              <w:jc w:val="both"/>
              <w:rPr>
                <w:rFonts w:ascii="Arial Narrow" w:hAnsi="Arial Narrow"/>
                <w:b/>
                <w:color w:val="000000" w:themeColor="text1"/>
                <w:u w:val="single"/>
              </w:rPr>
            </w:pPr>
            <w:r w:rsidRPr="00121C38">
              <w:rPr>
                <w:rFonts w:ascii="Arial Narrow" w:hAnsi="Arial Narrow"/>
                <w:b/>
                <w:color w:val="000000" w:themeColor="text1"/>
                <w:u w:val="single"/>
              </w:rPr>
              <w:t>DICAPI</w:t>
            </w:r>
          </w:p>
          <w:p w14:paraId="6C753A68" w14:textId="4DA8A282" w:rsidR="00FA0E11" w:rsidRPr="00121C38" w:rsidRDefault="001D44B9" w:rsidP="008B3E6E">
            <w:pPr>
              <w:jc w:val="both"/>
              <w:rPr>
                <w:rFonts w:ascii="Arial Narrow" w:hAnsi="Arial Narrow"/>
                <w:color w:val="000000" w:themeColor="text1"/>
              </w:rPr>
            </w:pPr>
            <w:r w:rsidRPr="00121C38">
              <w:rPr>
                <w:rFonts w:ascii="Arial Narrow" w:hAnsi="Arial Narrow"/>
                <w:color w:val="000000" w:themeColor="text1"/>
              </w:rPr>
              <w:t>La Marina de Guerra del Perú, a través de la Autoridad Marítima Nacional (AMN), informa un incremento po</w:t>
            </w:r>
            <w:r w:rsidR="00FA0E11" w:rsidRPr="00121C38">
              <w:rPr>
                <w:rFonts w:ascii="Arial Narrow" w:hAnsi="Arial Narrow"/>
                <w:color w:val="000000" w:themeColor="text1"/>
              </w:rPr>
              <w:t xml:space="preserve">rcentual </w:t>
            </w:r>
            <w:r w:rsidRPr="00121C38">
              <w:rPr>
                <w:rFonts w:ascii="Arial Narrow" w:hAnsi="Arial Narrow"/>
                <w:color w:val="000000" w:themeColor="text1"/>
              </w:rPr>
              <w:t xml:space="preserve">para el año 2025 equivalente al </w:t>
            </w:r>
            <w:r w:rsidR="00FA0E11" w:rsidRPr="00121C38">
              <w:rPr>
                <w:rFonts w:ascii="Arial Narrow" w:hAnsi="Arial Narrow"/>
                <w:color w:val="000000" w:themeColor="text1"/>
              </w:rPr>
              <w:t>5.7</w:t>
            </w:r>
            <w:r w:rsidRPr="00121C38">
              <w:rPr>
                <w:rFonts w:ascii="Arial Narrow" w:hAnsi="Arial Narrow"/>
                <w:color w:val="000000" w:themeColor="text1"/>
              </w:rPr>
              <w:t>%, respecto a</w:t>
            </w:r>
            <w:r w:rsidR="00FA0E11" w:rsidRPr="00121C38">
              <w:rPr>
                <w:rFonts w:ascii="Arial Narrow" w:hAnsi="Arial Narrow"/>
                <w:color w:val="000000" w:themeColor="text1"/>
              </w:rPr>
              <w:t xml:space="preserve"> las actividades Ilícitas reportadas en el año respecto al número de actividades Ilícitas reportadas en el año anterior</w:t>
            </w:r>
            <w:r w:rsidRPr="00121C38">
              <w:rPr>
                <w:rFonts w:ascii="Arial Narrow" w:hAnsi="Arial Narrow"/>
                <w:color w:val="000000" w:themeColor="text1"/>
              </w:rPr>
              <w:t>.</w:t>
            </w:r>
            <w:r w:rsidR="00FA0E11" w:rsidRPr="00121C38">
              <w:rPr>
                <w:rFonts w:ascii="Arial Narrow" w:hAnsi="Arial Narrow"/>
                <w:color w:val="000000" w:themeColor="text1"/>
              </w:rPr>
              <w:t xml:space="preserve"> </w:t>
            </w:r>
            <w:r w:rsidRPr="00121C38">
              <w:rPr>
                <w:rFonts w:ascii="Arial Narrow" w:hAnsi="Arial Narrow"/>
                <w:color w:val="000000" w:themeColor="text1"/>
              </w:rPr>
              <w:t>Por otro lado, manifiesta un avance óptimo en el p</w:t>
            </w:r>
            <w:r w:rsidR="00FA0E11" w:rsidRPr="00121C38">
              <w:rPr>
                <w:rFonts w:ascii="Arial Narrow" w:hAnsi="Arial Narrow"/>
                <w:color w:val="000000" w:themeColor="text1"/>
              </w:rPr>
              <w:t>orcentaje de operaciones de búsqueda y salva</w:t>
            </w:r>
            <w:r w:rsidRPr="00121C38">
              <w:rPr>
                <w:rFonts w:ascii="Arial Narrow" w:hAnsi="Arial Narrow"/>
                <w:color w:val="000000" w:themeColor="text1"/>
              </w:rPr>
              <w:t xml:space="preserve">mento marítimo, así como, en el control </w:t>
            </w:r>
            <w:r w:rsidR="00FA0E11" w:rsidRPr="00121C38">
              <w:rPr>
                <w:rFonts w:ascii="Arial Narrow" w:hAnsi="Arial Narrow"/>
                <w:color w:val="000000" w:themeColor="text1"/>
              </w:rPr>
              <w:t xml:space="preserve">de actividades </w:t>
            </w:r>
            <w:r w:rsidRPr="00121C38">
              <w:rPr>
                <w:rFonts w:ascii="Arial Narrow" w:hAnsi="Arial Narrow"/>
                <w:color w:val="000000" w:themeColor="text1"/>
              </w:rPr>
              <w:t>del área de su jurisdicción</w:t>
            </w:r>
            <w:r w:rsidR="00FA0E11" w:rsidRPr="00121C38">
              <w:rPr>
                <w:rFonts w:ascii="Arial Narrow" w:hAnsi="Arial Narrow"/>
                <w:color w:val="000000" w:themeColor="text1"/>
              </w:rPr>
              <w:t>.</w:t>
            </w:r>
          </w:p>
          <w:p w14:paraId="46515FE4" w14:textId="77777777" w:rsidR="00FA0E11" w:rsidRPr="00121C38" w:rsidRDefault="00FA0E11" w:rsidP="008B3E6E">
            <w:pPr>
              <w:jc w:val="both"/>
              <w:rPr>
                <w:rFonts w:ascii="Arial Narrow" w:hAnsi="Arial Narrow"/>
                <w:b/>
                <w:color w:val="000000" w:themeColor="text1"/>
              </w:rPr>
            </w:pPr>
          </w:p>
          <w:p w14:paraId="1E92D504" w14:textId="19E6CCF4" w:rsidR="00FA0E11" w:rsidRPr="00121C38" w:rsidRDefault="00FA0E11" w:rsidP="008B3E6E">
            <w:pPr>
              <w:jc w:val="both"/>
              <w:rPr>
                <w:rFonts w:ascii="Arial Narrow" w:hAnsi="Arial Narrow"/>
                <w:b/>
                <w:color w:val="000000" w:themeColor="text1"/>
                <w:u w:val="single"/>
              </w:rPr>
            </w:pPr>
            <w:r w:rsidRPr="00121C38">
              <w:rPr>
                <w:rFonts w:ascii="Arial Narrow" w:hAnsi="Arial Narrow"/>
                <w:b/>
                <w:color w:val="000000" w:themeColor="text1"/>
                <w:u w:val="single"/>
              </w:rPr>
              <w:t>DIHIDRONAV</w:t>
            </w:r>
          </w:p>
          <w:p w14:paraId="1AADB1EB" w14:textId="2B4260A4" w:rsidR="00FA0E11" w:rsidRPr="00121C38" w:rsidRDefault="001D44B9" w:rsidP="008B3E6E">
            <w:pPr>
              <w:jc w:val="both"/>
              <w:rPr>
                <w:rFonts w:ascii="Arial Narrow" w:hAnsi="Arial Narrow"/>
                <w:color w:val="000000" w:themeColor="text1"/>
              </w:rPr>
            </w:pPr>
            <w:r w:rsidRPr="00121C38">
              <w:rPr>
                <w:rFonts w:ascii="Arial Narrow" w:hAnsi="Arial Narrow"/>
                <w:color w:val="000000" w:themeColor="text1"/>
              </w:rPr>
              <w:t xml:space="preserve">La Dirección de Hidrografía y Navegación informa que viene cumpliendo con la emisión de </w:t>
            </w:r>
            <w:r w:rsidR="00FA0E11" w:rsidRPr="00121C38">
              <w:rPr>
                <w:rFonts w:ascii="Arial Narrow" w:hAnsi="Arial Narrow"/>
                <w:color w:val="000000" w:themeColor="text1"/>
              </w:rPr>
              <w:t>boletines informativos de acuerdo con el protocolo establecido por el Centro Nacional de Alerta de Tsunamis (CNAT).</w:t>
            </w:r>
          </w:p>
          <w:p w14:paraId="0B1B8915" w14:textId="1BEE86B9" w:rsidR="008B3E6E" w:rsidRPr="00121C38" w:rsidRDefault="008B3E6E" w:rsidP="008B3E6E">
            <w:pPr>
              <w:jc w:val="both"/>
              <w:rPr>
                <w:rFonts w:ascii="Arial Narrow" w:hAnsi="Arial Narrow"/>
                <w:b/>
                <w:color w:val="000000" w:themeColor="text1"/>
                <w:u w:val="single"/>
              </w:rPr>
            </w:pPr>
          </w:p>
          <w:p w14:paraId="7DA31BDA" w14:textId="5F9FA8CC" w:rsidR="001621E7" w:rsidRPr="00121C38" w:rsidRDefault="00FA0E11" w:rsidP="008B3E6E">
            <w:pPr>
              <w:jc w:val="both"/>
              <w:rPr>
                <w:rFonts w:ascii="Arial Narrow" w:hAnsi="Arial Narrow"/>
                <w:b/>
                <w:color w:val="000000" w:themeColor="text1"/>
                <w:u w:val="single"/>
              </w:rPr>
            </w:pPr>
            <w:r w:rsidRPr="00121C38">
              <w:rPr>
                <w:rFonts w:ascii="Arial Narrow" w:hAnsi="Arial Narrow"/>
                <w:b/>
                <w:color w:val="000000" w:themeColor="text1"/>
                <w:u w:val="single"/>
              </w:rPr>
              <w:t>MINCUL</w:t>
            </w:r>
          </w:p>
          <w:p w14:paraId="1B51B5E7" w14:textId="7351542D" w:rsidR="00FA0E11" w:rsidRPr="00121C38" w:rsidRDefault="00FA0E11" w:rsidP="008B3E6E">
            <w:pPr>
              <w:jc w:val="both"/>
              <w:rPr>
                <w:rFonts w:ascii="Arial Narrow" w:hAnsi="Arial Narrow"/>
                <w:color w:val="000000" w:themeColor="text1"/>
              </w:rPr>
            </w:pPr>
            <w:r w:rsidRPr="00121C38">
              <w:rPr>
                <w:rFonts w:ascii="Arial Narrow" w:hAnsi="Arial Narrow"/>
                <w:color w:val="000000" w:themeColor="text1"/>
              </w:rPr>
              <w:t>En relación al número de sitios del patrimonio cultural subacuático identificados durante el año 2024, se precisa que los esfuerzos del sector cultura se orientaron a la delimitación y de</w:t>
            </w:r>
            <w:r w:rsidR="008B3E6E" w:rsidRPr="00121C38">
              <w:rPr>
                <w:rFonts w:ascii="Arial Narrow" w:hAnsi="Arial Narrow"/>
                <w:color w:val="000000" w:themeColor="text1"/>
              </w:rPr>
              <w:t>claratoria de buques sumergidos;</w:t>
            </w:r>
            <w:r w:rsidRPr="00121C38">
              <w:rPr>
                <w:rFonts w:ascii="Arial Narrow" w:hAnsi="Arial Narrow"/>
                <w:color w:val="000000" w:themeColor="text1"/>
              </w:rPr>
              <w:t xml:space="preserve"> en tal sentido, aunque no se hayan identificado nuevos bienes del patrimonio cultural subacuático</w:t>
            </w:r>
            <w:r w:rsidR="008B3E6E" w:rsidRPr="00121C38">
              <w:rPr>
                <w:rFonts w:ascii="Arial Narrow" w:hAnsi="Arial Narrow"/>
                <w:color w:val="000000" w:themeColor="text1"/>
              </w:rPr>
              <w:t>,</w:t>
            </w:r>
            <w:r w:rsidRPr="00121C38">
              <w:rPr>
                <w:rFonts w:ascii="Arial Narrow" w:hAnsi="Arial Narrow"/>
                <w:color w:val="000000" w:themeColor="text1"/>
              </w:rPr>
              <w:t xml:space="preserve"> se han protegido legalmente los bienes previamente identificados, acción que continuará el presente año.</w:t>
            </w:r>
          </w:p>
          <w:p w14:paraId="30F4F844" w14:textId="77777777" w:rsidR="00FA0E11" w:rsidRPr="00121C38" w:rsidRDefault="00FA0E11" w:rsidP="008B3E6E">
            <w:pPr>
              <w:jc w:val="both"/>
              <w:rPr>
                <w:rFonts w:ascii="Arial Narrow" w:hAnsi="Arial Narrow"/>
                <w:color w:val="000000" w:themeColor="text1"/>
              </w:rPr>
            </w:pPr>
          </w:p>
          <w:p w14:paraId="7D9CED87" w14:textId="3A255119" w:rsidR="00FA0E11" w:rsidRPr="00121C38" w:rsidRDefault="00FA0E11" w:rsidP="008B3E6E">
            <w:pPr>
              <w:jc w:val="both"/>
              <w:rPr>
                <w:rFonts w:ascii="Arial Narrow" w:hAnsi="Arial Narrow"/>
                <w:b/>
                <w:color w:val="000000" w:themeColor="text1"/>
                <w:u w:val="single"/>
              </w:rPr>
            </w:pPr>
            <w:r w:rsidRPr="00121C38">
              <w:rPr>
                <w:rFonts w:ascii="Arial Narrow" w:hAnsi="Arial Narrow"/>
                <w:b/>
                <w:color w:val="000000" w:themeColor="text1"/>
                <w:u w:val="single"/>
              </w:rPr>
              <w:t>DIR</w:t>
            </w:r>
            <w:r w:rsidR="001D44B9" w:rsidRPr="00121C38">
              <w:rPr>
                <w:rFonts w:ascii="Arial Narrow" w:hAnsi="Arial Narrow"/>
                <w:b/>
                <w:color w:val="000000" w:themeColor="text1"/>
                <w:u w:val="single"/>
              </w:rPr>
              <w:t>COMIN</w:t>
            </w:r>
            <w:r w:rsidRPr="00121C38">
              <w:rPr>
                <w:rFonts w:ascii="Arial Narrow" w:hAnsi="Arial Narrow"/>
                <w:b/>
                <w:color w:val="000000" w:themeColor="text1"/>
                <w:u w:val="single"/>
              </w:rPr>
              <w:t>MAR</w:t>
            </w:r>
          </w:p>
          <w:p w14:paraId="38F937B9" w14:textId="77777777" w:rsidR="00FA0E11" w:rsidRPr="00121C38" w:rsidRDefault="001D44B9" w:rsidP="008B3E6E">
            <w:pPr>
              <w:jc w:val="both"/>
              <w:rPr>
                <w:rFonts w:ascii="Arial Narrow" w:hAnsi="Arial Narrow"/>
                <w:color w:val="000000" w:themeColor="text1"/>
              </w:rPr>
            </w:pPr>
            <w:r w:rsidRPr="00121C38">
              <w:rPr>
                <w:rFonts w:ascii="Arial Narrow" w:hAnsi="Arial Narrow"/>
                <w:color w:val="000000" w:themeColor="text1"/>
              </w:rPr>
              <w:t xml:space="preserve">La Marina de Guerra del Perú, a través de la Dirección General de Comunicación e Intereses Marítimos, informa un progreso del 20% </w:t>
            </w:r>
            <w:r w:rsidR="00FA0E11" w:rsidRPr="00121C38">
              <w:rPr>
                <w:rFonts w:ascii="Arial Narrow" w:hAnsi="Arial Narrow"/>
                <w:color w:val="000000" w:themeColor="text1"/>
              </w:rPr>
              <w:t>de provincias, en cada región, donde se desarrollaron actividades de concientización sobre la realidad marítima durante el año</w:t>
            </w:r>
            <w:r w:rsidRPr="00121C38">
              <w:rPr>
                <w:rFonts w:ascii="Arial Narrow" w:hAnsi="Arial Narrow"/>
                <w:color w:val="000000" w:themeColor="text1"/>
              </w:rPr>
              <w:t xml:space="preserve"> 2024</w:t>
            </w:r>
            <w:r w:rsidR="008B3E6E" w:rsidRPr="00121C38">
              <w:rPr>
                <w:rFonts w:ascii="Arial Narrow" w:hAnsi="Arial Narrow"/>
                <w:color w:val="000000" w:themeColor="text1"/>
              </w:rPr>
              <w:t>, cifra que ha mejorado respecto a</w:t>
            </w:r>
            <w:r w:rsidR="00FA0E11" w:rsidRPr="00121C38">
              <w:rPr>
                <w:rFonts w:ascii="Arial Narrow" w:hAnsi="Arial Narrow"/>
                <w:color w:val="000000" w:themeColor="text1"/>
              </w:rPr>
              <w:t>l 12.2</w:t>
            </w:r>
            <w:r w:rsidR="008B3E6E" w:rsidRPr="00121C38">
              <w:rPr>
                <w:rFonts w:ascii="Arial Narrow" w:hAnsi="Arial Narrow"/>
                <w:color w:val="000000" w:themeColor="text1"/>
              </w:rPr>
              <w:t>%</w:t>
            </w:r>
            <w:r w:rsidR="00FA0E11" w:rsidRPr="00121C38">
              <w:rPr>
                <w:rFonts w:ascii="Arial Narrow" w:hAnsi="Arial Narrow"/>
                <w:color w:val="000000" w:themeColor="text1"/>
              </w:rPr>
              <w:t xml:space="preserve"> mostrado en el año 2023</w:t>
            </w:r>
            <w:r w:rsidR="008B3E6E" w:rsidRPr="00121C38">
              <w:rPr>
                <w:rFonts w:ascii="Arial Narrow" w:hAnsi="Arial Narrow"/>
                <w:color w:val="000000" w:themeColor="text1"/>
              </w:rPr>
              <w:t>.</w:t>
            </w:r>
          </w:p>
          <w:p w14:paraId="3AE7A1F1" w14:textId="2C83023A" w:rsidR="00F23D5C" w:rsidRPr="00121C38" w:rsidRDefault="00F23D5C" w:rsidP="008B3E6E">
            <w:pPr>
              <w:jc w:val="both"/>
              <w:rPr>
                <w:rFonts w:ascii="Arial Narrow" w:hAnsi="Arial Narrow"/>
                <w:color w:val="000000" w:themeColor="text1"/>
              </w:rPr>
            </w:pPr>
          </w:p>
        </w:tc>
      </w:tr>
      <w:tr w:rsidR="00121C38" w:rsidRPr="00121C38" w14:paraId="276A521E" w14:textId="77777777" w:rsidTr="00986645">
        <w:tc>
          <w:tcPr>
            <w:tcW w:w="8921" w:type="dxa"/>
            <w:gridSpan w:val="7"/>
          </w:tcPr>
          <w:p w14:paraId="56D7948A" w14:textId="319D1334" w:rsidR="001621E7" w:rsidRPr="00121C38" w:rsidRDefault="001621E7" w:rsidP="008B3E6E">
            <w:pPr>
              <w:pStyle w:val="Prrafodelista"/>
              <w:numPr>
                <w:ilvl w:val="0"/>
                <w:numId w:val="7"/>
              </w:numPr>
              <w:ind w:left="164" w:hanging="204"/>
              <w:contextualSpacing w:val="0"/>
              <w:jc w:val="both"/>
              <w:rPr>
                <w:rFonts w:ascii="Arial Narrow" w:hAnsi="Arial Narrow"/>
                <w:b/>
                <w:color w:val="000000" w:themeColor="text1"/>
              </w:rPr>
            </w:pPr>
            <w:r w:rsidRPr="00121C38">
              <w:rPr>
                <w:rFonts w:ascii="Arial Narrow" w:hAnsi="Arial Narrow"/>
                <w:b/>
                <w:bCs/>
                <w:color w:val="000000" w:themeColor="text1"/>
              </w:rPr>
              <w:t xml:space="preserve"> Alternativas para mejorar la implementación de la política nacional</w:t>
            </w:r>
          </w:p>
        </w:tc>
      </w:tr>
      <w:tr w:rsidR="001621E7" w:rsidRPr="00121C38" w14:paraId="375EF1B6" w14:textId="77777777" w:rsidTr="00986645">
        <w:trPr>
          <w:trHeight w:val="1160"/>
        </w:trPr>
        <w:tc>
          <w:tcPr>
            <w:tcW w:w="8921" w:type="dxa"/>
            <w:gridSpan w:val="7"/>
          </w:tcPr>
          <w:p w14:paraId="0995F9F7" w14:textId="77777777" w:rsidR="001621E7" w:rsidRPr="00121C38" w:rsidRDefault="001621E7" w:rsidP="008B3E6E">
            <w:pPr>
              <w:jc w:val="both"/>
              <w:rPr>
                <w:rFonts w:ascii="Arial Narrow" w:hAnsi="Arial Narrow"/>
                <w:b/>
                <w:color w:val="000000" w:themeColor="text1"/>
              </w:rPr>
            </w:pPr>
          </w:p>
          <w:p w14:paraId="63BD8365" w14:textId="77777777" w:rsidR="001621E7" w:rsidRPr="00121C38" w:rsidRDefault="001621E7" w:rsidP="008B3E6E">
            <w:pPr>
              <w:jc w:val="both"/>
              <w:rPr>
                <w:rFonts w:ascii="Arial Narrow" w:hAnsi="Arial Narrow"/>
                <w:b/>
                <w:color w:val="000000" w:themeColor="text1"/>
              </w:rPr>
            </w:pPr>
            <w:r w:rsidRPr="00121C38">
              <w:rPr>
                <w:rFonts w:ascii="Arial Narrow" w:hAnsi="Arial Narrow"/>
                <w:b/>
                <w:color w:val="000000" w:themeColor="text1"/>
              </w:rPr>
              <w:t xml:space="preserve">OP1: </w:t>
            </w:r>
          </w:p>
          <w:p w14:paraId="57D4D8BC" w14:textId="6D186204" w:rsidR="001621E7" w:rsidRPr="00121C38" w:rsidRDefault="001621E7" w:rsidP="008B3E6E">
            <w:pPr>
              <w:jc w:val="both"/>
              <w:rPr>
                <w:rFonts w:ascii="Arial Narrow" w:hAnsi="Arial Narrow"/>
                <w:b/>
                <w:color w:val="000000" w:themeColor="text1"/>
              </w:rPr>
            </w:pPr>
            <w:r w:rsidRPr="00121C38">
              <w:rPr>
                <w:rFonts w:ascii="Arial Narrow" w:hAnsi="Arial Narrow"/>
                <w:b/>
                <w:color w:val="000000" w:themeColor="text1"/>
              </w:rPr>
              <w:t>MRREE:</w:t>
            </w:r>
          </w:p>
          <w:p w14:paraId="0C45CB74" w14:textId="57A108A0" w:rsidR="001621E7" w:rsidRPr="00121C38" w:rsidRDefault="001621E7" w:rsidP="00F23D5C">
            <w:pPr>
              <w:pStyle w:val="Prrafodelista"/>
              <w:numPr>
                <w:ilvl w:val="0"/>
                <w:numId w:val="29"/>
              </w:numPr>
              <w:jc w:val="both"/>
              <w:rPr>
                <w:rFonts w:ascii="Arial Narrow" w:hAnsi="Arial Narrow"/>
                <w:color w:val="000000" w:themeColor="text1"/>
              </w:rPr>
            </w:pPr>
            <w:r w:rsidRPr="00121C38">
              <w:rPr>
                <w:rFonts w:ascii="Arial Narrow" w:hAnsi="Arial Narrow"/>
                <w:color w:val="000000" w:themeColor="text1"/>
              </w:rPr>
              <w:t>Incentivar la participación y consolidad la posición del Estado en los diversos foros sobre temas marítimos, así tengamos sólo calidad de observadores como sucede en el caso Autoridad Internacional de los Fondos Marinos.</w:t>
            </w:r>
          </w:p>
          <w:p w14:paraId="5B1BE779" w14:textId="77777777" w:rsidR="001621E7" w:rsidRPr="00121C38" w:rsidRDefault="001621E7" w:rsidP="008B3E6E">
            <w:pPr>
              <w:jc w:val="both"/>
              <w:rPr>
                <w:rFonts w:ascii="Arial Narrow" w:hAnsi="Arial Narrow"/>
                <w:color w:val="000000" w:themeColor="text1"/>
              </w:rPr>
            </w:pPr>
          </w:p>
          <w:p w14:paraId="5FF0D375" w14:textId="77777777" w:rsidR="001621E7" w:rsidRPr="00121C38" w:rsidRDefault="001621E7" w:rsidP="008B3E6E">
            <w:pPr>
              <w:jc w:val="both"/>
              <w:rPr>
                <w:rFonts w:ascii="Arial Narrow" w:hAnsi="Arial Narrow"/>
                <w:color w:val="000000" w:themeColor="text1"/>
              </w:rPr>
            </w:pPr>
            <w:r w:rsidRPr="00121C38">
              <w:rPr>
                <w:rFonts w:ascii="Arial Narrow" w:hAnsi="Arial Narrow"/>
                <w:b/>
                <w:color w:val="000000" w:themeColor="text1"/>
              </w:rPr>
              <w:t>OP3:</w:t>
            </w:r>
            <w:r w:rsidRPr="00121C38">
              <w:rPr>
                <w:rFonts w:ascii="Arial Narrow" w:hAnsi="Arial Narrow"/>
                <w:color w:val="000000" w:themeColor="text1"/>
              </w:rPr>
              <w:t xml:space="preserve"> </w:t>
            </w:r>
          </w:p>
          <w:p w14:paraId="5D161557" w14:textId="71D50184" w:rsidR="001621E7" w:rsidRPr="00121C38" w:rsidRDefault="001621E7" w:rsidP="008B3E6E">
            <w:pPr>
              <w:jc w:val="both"/>
              <w:rPr>
                <w:rFonts w:ascii="Arial Narrow" w:hAnsi="Arial Narrow"/>
                <w:b/>
                <w:color w:val="000000" w:themeColor="text1"/>
              </w:rPr>
            </w:pPr>
            <w:r w:rsidRPr="00121C38">
              <w:rPr>
                <w:rFonts w:ascii="Arial Narrow" w:hAnsi="Arial Narrow"/>
                <w:b/>
                <w:color w:val="000000" w:themeColor="text1"/>
              </w:rPr>
              <w:t>MTC:</w:t>
            </w:r>
          </w:p>
          <w:p w14:paraId="6678484F" w14:textId="69855284" w:rsidR="001621E7" w:rsidRPr="00121C38" w:rsidRDefault="001621E7" w:rsidP="00F23D5C">
            <w:pPr>
              <w:pStyle w:val="Prrafodelista"/>
              <w:numPr>
                <w:ilvl w:val="0"/>
                <w:numId w:val="29"/>
              </w:numPr>
              <w:jc w:val="both"/>
              <w:rPr>
                <w:rFonts w:ascii="Arial Narrow" w:hAnsi="Arial Narrow"/>
                <w:bCs/>
                <w:color w:val="000000" w:themeColor="text1"/>
              </w:rPr>
            </w:pPr>
            <w:r w:rsidRPr="00121C38">
              <w:rPr>
                <w:rFonts w:ascii="Arial Narrow" w:hAnsi="Arial Narrow"/>
                <w:bCs/>
                <w:color w:val="000000" w:themeColor="text1"/>
              </w:rPr>
              <w:t xml:space="preserve">Actualmente, se viene trabajando en la actualización de las fichas de servicios, indicadores y </w:t>
            </w:r>
            <w:r w:rsidR="00CF64B7" w:rsidRPr="00121C38">
              <w:rPr>
                <w:rFonts w:ascii="Arial Narrow" w:hAnsi="Arial Narrow"/>
                <w:bCs/>
                <w:color w:val="000000" w:themeColor="text1"/>
              </w:rPr>
              <w:t>actividades operativas</w:t>
            </w:r>
            <w:r w:rsidRPr="00121C38">
              <w:rPr>
                <w:rFonts w:ascii="Arial Narrow" w:hAnsi="Arial Narrow"/>
                <w:bCs/>
                <w:color w:val="000000" w:themeColor="text1"/>
              </w:rPr>
              <w:t>, de la Política Nacional Marítima. En este espacio se están realizando ajustes importantes, para que el instrumento pueda coadyuvar de mejor manera al logro de objetivos y, también, se están realizando precisiones sobre las acciones que se realizan en la implementación de los servicios, de acuerdo a las competencias de los sectores involucrados. En ese sentido, se espera que este proceso de actualización culmine este año, para que los esfuerzos sectoriales se puedan concentrar en la implementación del instrumento.</w:t>
            </w:r>
          </w:p>
          <w:p w14:paraId="32072462" w14:textId="77777777" w:rsidR="001621E7" w:rsidRPr="00121C38" w:rsidRDefault="001621E7" w:rsidP="008B3E6E">
            <w:pPr>
              <w:jc w:val="both"/>
              <w:rPr>
                <w:rFonts w:ascii="Arial Narrow" w:hAnsi="Arial Narrow"/>
                <w:bCs/>
                <w:color w:val="000000" w:themeColor="text1"/>
              </w:rPr>
            </w:pPr>
          </w:p>
          <w:p w14:paraId="1F1AAC5A" w14:textId="77777777" w:rsidR="001621E7" w:rsidRPr="00121C38" w:rsidRDefault="001621E7" w:rsidP="008B3E6E">
            <w:pPr>
              <w:jc w:val="both"/>
              <w:rPr>
                <w:rFonts w:ascii="Arial Narrow" w:hAnsi="Arial Narrow"/>
                <w:b/>
                <w:bCs/>
                <w:color w:val="000000" w:themeColor="text1"/>
              </w:rPr>
            </w:pPr>
            <w:r w:rsidRPr="00121C38">
              <w:rPr>
                <w:rFonts w:ascii="Arial Narrow" w:hAnsi="Arial Narrow"/>
                <w:b/>
                <w:bCs/>
                <w:color w:val="000000" w:themeColor="text1"/>
              </w:rPr>
              <w:t>OP4:</w:t>
            </w:r>
          </w:p>
          <w:p w14:paraId="13FB2CF8" w14:textId="0BA5B341" w:rsidR="001621E7" w:rsidRPr="00121C38" w:rsidRDefault="001621E7" w:rsidP="008B3E6E">
            <w:pPr>
              <w:jc w:val="both"/>
              <w:rPr>
                <w:rFonts w:ascii="Arial Narrow" w:hAnsi="Arial Narrow"/>
                <w:b/>
                <w:bCs/>
                <w:color w:val="000000" w:themeColor="text1"/>
              </w:rPr>
            </w:pPr>
            <w:r w:rsidRPr="00121C38">
              <w:rPr>
                <w:rFonts w:ascii="Arial Narrow" w:hAnsi="Arial Narrow"/>
                <w:b/>
                <w:bCs/>
                <w:color w:val="000000" w:themeColor="text1"/>
              </w:rPr>
              <w:t>MINCETUR:</w:t>
            </w:r>
          </w:p>
          <w:p w14:paraId="02CD2D3E" w14:textId="77777777" w:rsidR="00F23D5C" w:rsidRPr="00121C38" w:rsidRDefault="001621E7" w:rsidP="00F23D5C">
            <w:pPr>
              <w:pStyle w:val="Prrafodelista"/>
              <w:numPr>
                <w:ilvl w:val="0"/>
                <w:numId w:val="29"/>
              </w:numPr>
              <w:jc w:val="both"/>
              <w:rPr>
                <w:rFonts w:ascii="Arial Narrow" w:hAnsi="Arial Narrow"/>
                <w:color w:val="000000" w:themeColor="text1"/>
              </w:rPr>
            </w:pPr>
            <w:r w:rsidRPr="00121C38">
              <w:rPr>
                <w:rFonts w:ascii="Arial Narrow" w:hAnsi="Arial Narrow"/>
                <w:color w:val="000000" w:themeColor="text1"/>
              </w:rPr>
              <w:t>Describir las alternativas requeridas para mejorar la implementación de las políticas nacionales</w:t>
            </w:r>
            <w:r w:rsidR="00F23D5C" w:rsidRPr="00121C38">
              <w:rPr>
                <w:rFonts w:ascii="Arial Narrow" w:hAnsi="Arial Narrow"/>
                <w:color w:val="000000" w:themeColor="text1"/>
              </w:rPr>
              <w:t>.</w:t>
            </w:r>
          </w:p>
          <w:p w14:paraId="5D7257A9" w14:textId="77777777" w:rsidR="00F23D5C" w:rsidRPr="00121C38" w:rsidRDefault="00F23D5C" w:rsidP="00F23D5C">
            <w:pPr>
              <w:pStyle w:val="Prrafodelista"/>
              <w:jc w:val="both"/>
              <w:rPr>
                <w:rFonts w:ascii="Arial Narrow" w:hAnsi="Arial Narrow"/>
                <w:color w:val="000000" w:themeColor="text1"/>
              </w:rPr>
            </w:pPr>
          </w:p>
          <w:p w14:paraId="528C5DEB" w14:textId="46AB4E20" w:rsidR="00F23D5C" w:rsidRPr="00121C38" w:rsidRDefault="001621E7" w:rsidP="00F23D5C">
            <w:pPr>
              <w:pStyle w:val="Prrafodelista"/>
              <w:numPr>
                <w:ilvl w:val="0"/>
                <w:numId w:val="29"/>
              </w:numPr>
              <w:jc w:val="both"/>
              <w:rPr>
                <w:rFonts w:ascii="Arial Narrow" w:hAnsi="Arial Narrow"/>
                <w:color w:val="000000" w:themeColor="text1"/>
              </w:rPr>
            </w:pPr>
            <w:r w:rsidRPr="00121C38">
              <w:rPr>
                <w:rFonts w:ascii="Arial Narrow" w:hAnsi="Arial Narrow"/>
                <w:color w:val="000000" w:themeColor="text1"/>
              </w:rPr>
              <w:t>Fortalecer la interoperabilidad de la VUCE con sistemas logísticos privados (navieras, agentes marí</w:t>
            </w:r>
            <w:r w:rsidR="00F23D5C" w:rsidRPr="00121C38">
              <w:rPr>
                <w:rFonts w:ascii="Arial Narrow" w:hAnsi="Arial Narrow"/>
                <w:color w:val="000000" w:themeColor="text1"/>
              </w:rPr>
              <w:t>timos y terminales portuarios), debiéndose a</w:t>
            </w:r>
            <w:r w:rsidRPr="00121C38">
              <w:rPr>
                <w:rFonts w:ascii="Arial Narrow" w:hAnsi="Arial Narrow"/>
                <w:color w:val="000000" w:themeColor="text1"/>
              </w:rPr>
              <w:t xml:space="preserve">mpliar la cobertura de la VUCE a otros procedimientos vinculados al comercio marítimo. </w:t>
            </w:r>
          </w:p>
          <w:p w14:paraId="504A0194" w14:textId="77777777" w:rsidR="00F23D5C" w:rsidRPr="00121C38" w:rsidRDefault="00F23D5C" w:rsidP="00F23D5C">
            <w:pPr>
              <w:pStyle w:val="Prrafodelista"/>
              <w:rPr>
                <w:rFonts w:ascii="Arial Narrow" w:hAnsi="Arial Narrow"/>
                <w:color w:val="000000" w:themeColor="text1"/>
              </w:rPr>
            </w:pPr>
          </w:p>
          <w:p w14:paraId="01C7E54D" w14:textId="74CF5F6A" w:rsidR="001621E7" w:rsidRPr="00121C38" w:rsidRDefault="001621E7" w:rsidP="00F23D5C">
            <w:pPr>
              <w:pStyle w:val="Prrafodelista"/>
              <w:numPr>
                <w:ilvl w:val="0"/>
                <w:numId w:val="29"/>
              </w:numPr>
              <w:jc w:val="both"/>
              <w:rPr>
                <w:rFonts w:ascii="Arial Narrow" w:hAnsi="Arial Narrow"/>
                <w:color w:val="000000" w:themeColor="text1"/>
              </w:rPr>
            </w:pPr>
            <w:r w:rsidRPr="00121C38">
              <w:rPr>
                <w:rFonts w:ascii="Arial Narrow" w:hAnsi="Arial Narrow"/>
                <w:color w:val="000000" w:themeColor="text1"/>
              </w:rPr>
              <w:t>Consolidar acuerdos de nivel de servicio (SLA) con las entidades involucradas para asegurar cumplimiento de tiempos y calidad de respuesta. Impulsar la capacitación continua de los operadores logísticos y funcionarios públicos en el ámbito marítimo para el uso efectivo de la plataforma. Implementar un sistema de monitoreo predictivo de tiempos para anticipar cuellos de botella en los trámites portuarios</w:t>
            </w:r>
          </w:p>
          <w:p w14:paraId="17132C66" w14:textId="77777777" w:rsidR="00F23D5C" w:rsidRPr="00121C38" w:rsidRDefault="00F23D5C" w:rsidP="008B3E6E">
            <w:pPr>
              <w:jc w:val="both"/>
              <w:rPr>
                <w:rFonts w:ascii="Arial Narrow" w:hAnsi="Arial Narrow"/>
                <w:color w:val="000000" w:themeColor="text1"/>
              </w:rPr>
            </w:pPr>
          </w:p>
          <w:p w14:paraId="217C2F3B" w14:textId="0BC81D28" w:rsidR="001621E7" w:rsidRPr="00121C38" w:rsidRDefault="001621E7" w:rsidP="00F23D5C">
            <w:pPr>
              <w:pStyle w:val="Prrafodelista"/>
              <w:numPr>
                <w:ilvl w:val="0"/>
                <w:numId w:val="29"/>
              </w:numPr>
              <w:jc w:val="both"/>
              <w:rPr>
                <w:rFonts w:ascii="Arial Narrow" w:hAnsi="Arial Narrow"/>
                <w:color w:val="000000" w:themeColor="text1"/>
              </w:rPr>
            </w:pPr>
            <w:r w:rsidRPr="00121C38">
              <w:rPr>
                <w:rFonts w:ascii="Arial Narrow" w:hAnsi="Arial Narrow"/>
                <w:color w:val="000000" w:themeColor="text1"/>
              </w:rPr>
              <w:t>Mejorar la especialización de las capacitaciones ofrecidas, asegurando que las mismas respondan a las necesidades de las empresas</w:t>
            </w:r>
          </w:p>
          <w:p w14:paraId="21C80C05" w14:textId="77777777" w:rsidR="00F23D5C" w:rsidRPr="00121C38" w:rsidRDefault="00F23D5C" w:rsidP="008B3E6E">
            <w:pPr>
              <w:jc w:val="both"/>
              <w:rPr>
                <w:rFonts w:ascii="Arial Narrow" w:hAnsi="Arial Narrow"/>
                <w:b/>
                <w:color w:val="000000" w:themeColor="text1"/>
              </w:rPr>
            </w:pPr>
          </w:p>
          <w:p w14:paraId="34E18531" w14:textId="36241861" w:rsidR="001621E7" w:rsidRPr="00121C38" w:rsidRDefault="001621E7" w:rsidP="008B3E6E">
            <w:pPr>
              <w:jc w:val="both"/>
              <w:rPr>
                <w:rFonts w:ascii="Arial Narrow" w:hAnsi="Arial Narrow"/>
                <w:b/>
                <w:color w:val="000000" w:themeColor="text1"/>
              </w:rPr>
            </w:pPr>
            <w:r w:rsidRPr="00121C38">
              <w:rPr>
                <w:rFonts w:ascii="Arial Narrow" w:hAnsi="Arial Narrow"/>
                <w:b/>
                <w:color w:val="000000" w:themeColor="text1"/>
              </w:rPr>
              <w:t>MINAM:</w:t>
            </w:r>
          </w:p>
          <w:p w14:paraId="2D1051FE" w14:textId="5CCA0DB6" w:rsidR="001621E7" w:rsidRPr="00121C38" w:rsidRDefault="001621E7" w:rsidP="00F23D5C">
            <w:pPr>
              <w:pStyle w:val="Prrafodelista"/>
              <w:numPr>
                <w:ilvl w:val="0"/>
                <w:numId w:val="31"/>
              </w:numPr>
              <w:jc w:val="both"/>
              <w:rPr>
                <w:rFonts w:ascii="Arial Narrow" w:hAnsi="Arial Narrow"/>
                <w:color w:val="000000" w:themeColor="text1"/>
              </w:rPr>
            </w:pPr>
            <w:r w:rsidRPr="00121C38">
              <w:rPr>
                <w:rFonts w:ascii="Arial Narrow" w:hAnsi="Arial Narrow"/>
                <w:color w:val="000000" w:themeColor="text1"/>
              </w:rPr>
              <w:t>Priorizar la evaluación de las bahías más críticas para optimizar el uso del presupuesto y adoptar técnicas de evaluación más rápidas y económicas para maximizar los recursos disponibles</w:t>
            </w:r>
            <w:r w:rsidR="00EE7306" w:rsidRPr="00121C38">
              <w:rPr>
                <w:rFonts w:ascii="Arial Narrow" w:hAnsi="Arial Narrow"/>
                <w:color w:val="000000" w:themeColor="text1"/>
              </w:rPr>
              <w:t>, que nos permitan estudiar las características físicas y químicas de la calidad de agua, y valorar la calidad de las aguas marinas</w:t>
            </w:r>
            <w:r w:rsidRPr="00121C38">
              <w:rPr>
                <w:rFonts w:ascii="Arial Narrow" w:hAnsi="Arial Narrow"/>
                <w:color w:val="000000" w:themeColor="text1"/>
              </w:rPr>
              <w:t>.</w:t>
            </w:r>
          </w:p>
          <w:p w14:paraId="6E4045DE" w14:textId="77777777" w:rsidR="00F23D5C" w:rsidRPr="00121C38" w:rsidRDefault="00F23D5C" w:rsidP="00F23D5C">
            <w:pPr>
              <w:pStyle w:val="Prrafodelista"/>
              <w:jc w:val="both"/>
              <w:rPr>
                <w:rFonts w:ascii="Arial Narrow" w:hAnsi="Arial Narrow"/>
                <w:color w:val="000000" w:themeColor="text1"/>
              </w:rPr>
            </w:pPr>
          </w:p>
          <w:p w14:paraId="66263FE2" w14:textId="1953349D" w:rsidR="001621E7" w:rsidRPr="00121C38" w:rsidRDefault="001621E7" w:rsidP="00F23D5C">
            <w:pPr>
              <w:pStyle w:val="Prrafodelista"/>
              <w:numPr>
                <w:ilvl w:val="0"/>
                <w:numId w:val="31"/>
              </w:numPr>
              <w:jc w:val="both"/>
              <w:rPr>
                <w:rFonts w:ascii="Arial Narrow" w:hAnsi="Arial Narrow"/>
                <w:color w:val="000000" w:themeColor="text1"/>
              </w:rPr>
            </w:pPr>
            <w:r w:rsidRPr="00121C38">
              <w:rPr>
                <w:rFonts w:ascii="Arial Narrow" w:hAnsi="Arial Narrow"/>
                <w:color w:val="000000" w:themeColor="text1"/>
              </w:rPr>
              <w:t>Capacitar al personal existente y contratar personal adicional según sea necesario para ampliar la capacidad de evaluación.</w:t>
            </w:r>
          </w:p>
          <w:p w14:paraId="3055B440" w14:textId="77777777" w:rsidR="00F23D5C" w:rsidRPr="00121C38" w:rsidRDefault="00F23D5C" w:rsidP="00F23D5C">
            <w:pPr>
              <w:pStyle w:val="Prrafodelista"/>
              <w:rPr>
                <w:rFonts w:ascii="Arial Narrow" w:hAnsi="Arial Narrow"/>
                <w:color w:val="000000" w:themeColor="text1"/>
              </w:rPr>
            </w:pPr>
          </w:p>
          <w:p w14:paraId="646DAD4C" w14:textId="6D75B8E8" w:rsidR="001621E7" w:rsidRPr="00121C38" w:rsidRDefault="001621E7" w:rsidP="00F23D5C">
            <w:pPr>
              <w:pStyle w:val="Prrafodelista"/>
              <w:numPr>
                <w:ilvl w:val="0"/>
                <w:numId w:val="31"/>
              </w:numPr>
              <w:jc w:val="both"/>
              <w:rPr>
                <w:rFonts w:ascii="Arial Narrow" w:hAnsi="Arial Narrow"/>
                <w:color w:val="000000" w:themeColor="text1"/>
              </w:rPr>
            </w:pPr>
            <w:r w:rsidRPr="00121C38">
              <w:rPr>
                <w:rFonts w:ascii="Arial Narrow" w:hAnsi="Arial Narrow"/>
                <w:color w:val="000000" w:themeColor="text1"/>
              </w:rPr>
              <w:t>Mejorar los procesos internos para reducir tiempos y costos en la adquisición de insumos y gestionar la adquisición de reactivos, asegurando compras oportunas, precios competitivos y calidad de los productos.</w:t>
            </w:r>
          </w:p>
          <w:p w14:paraId="58438C73" w14:textId="77777777" w:rsidR="00F23D5C" w:rsidRPr="00121C38" w:rsidRDefault="00F23D5C" w:rsidP="00F23D5C">
            <w:pPr>
              <w:pStyle w:val="Prrafodelista"/>
              <w:jc w:val="both"/>
              <w:rPr>
                <w:rFonts w:ascii="Arial Narrow" w:hAnsi="Arial Narrow"/>
                <w:color w:val="000000" w:themeColor="text1"/>
              </w:rPr>
            </w:pPr>
          </w:p>
          <w:p w14:paraId="5E9E2189" w14:textId="630B5416" w:rsidR="001621E7" w:rsidRPr="00121C38" w:rsidRDefault="001621E7" w:rsidP="00F23D5C">
            <w:pPr>
              <w:pStyle w:val="Prrafodelista"/>
              <w:numPr>
                <w:ilvl w:val="0"/>
                <w:numId w:val="30"/>
              </w:numPr>
              <w:jc w:val="both"/>
              <w:rPr>
                <w:rFonts w:ascii="Arial Narrow" w:hAnsi="Arial Narrow"/>
                <w:color w:val="000000" w:themeColor="text1"/>
              </w:rPr>
            </w:pPr>
            <w:r w:rsidRPr="00121C38">
              <w:rPr>
                <w:rFonts w:ascii="Arial Narrow" w:hAnsi="Arial Narrow"/>
                <w:color w:val="000000" w:themeColor="text1"/>
              </w:rPr>
              <w:t>Desarrollar e implementar un plan de mantenimiento preventivo y correctivo para los equipos de laboratorio.</w:t>
            </w:r>
          </w:p>
          <w:p w14:paraId="2A4807CE" w14:textId="77777777" w:rsidR="00F23D5C" w:rsidRPr="00121C38" w:rsidRDefault="00F23D5C" w:rsidP="00F23D5C">
            <w:pPr>
              <w:pStyle w:val="Prrafodelista"/>
              <w:jc w:val="both"/>
              <w:rPr>
                <w:rFonts w:ascii="Arial Narrow" w:hAnsi="Arial Narrow"/>
                <w:color w:val="000000" w:themeColor="text1"/>
              </w:rPr>
            </w:pPr>
          </w:p>
          <w:p w14:paraId="2740708A" w14:textId="64DDC128" w:rsidR="001621E7" w:rsidRPr="00121C38" w:rsidRDefault="001621E7" w:rsidP="00F23D5C">
            <w:pPr>
              <w:pStyle w:val="Prrafodelista"/>
              <w:numPr>
                <w:ilvl w:val="0"/>
                <w:numId w:val="30"/>
              </w:numPr>
              <w:jc w:val="both"/>
              <w:rPr>
                <w:rFonts w:ascii="Arial Narrow" w:hAnsi="Arial Narrow"/>
                <w:color w:val="000000" w:themeColor="text1"/>
              </w:rPr>
            </w:pPr>
            <w:r w:rsidRPr="00121C38">
              <w:rPr>
                <w:rFonts w:ascii="Arial Narrow" w:hAnsi="Arial Narrow"/>
                <w:color w:val="000000" w:themeColor="text1"/>
              </w:rPr>
              <w:t>Buscar y gestionar financiamiento externo a través de convenios nacionales e internacionales. Colaborar con universidades y centros de investigación para obtener apoyo técnico, capacitación y recursos mediante proyectos conjuntos</w:t>
            </w:r>
          </w:p>
          <w:p w14:paraId="1EB7C4B6" w14:textId="77777777" w:rsidR="00F23D5C" w:rsidRPr="00121C38" w:rsidRDefault="00F23D5C" w:rsidP="00F23D5C">
            <w:pPr>
              <w:pStyle w:val="Prrafodelista"/>
              <w:jc w:val="both"/>
              <w:rPr>
                <w:rFonts w:ascii="Arial Narrow" w:hAnsi="Arial Narrow"/>
                <w:color w:val="000000" w:themeColor="text1"/>
              </w:rPr>
            </w:pPr>
          </w:p>
          <w:p w14:paraId="0D96B91F" w14:textId="38408840" w:rsidR="001621E7" w:rsidRPr="00121C38" w:rsidRDefault="001621E7" w:rsidP="00F23D5C">
            <w:pPr>
              <w:pStyle w:val="Prrafodelista"/>
              <w:numPr>
                <w:ilvl w:val="0"/>
                <w:numId w:val="30"/>
              </w:numPr>
              <w:jc w:val="both"/>
              <w:rPr>
                <w:rFonts w:ascii="Arial Narrow" w:hAnsi="Arial Narrow"/>
                <w:color w:val="000000" w:themeColor="text1"/>
              </w:rPr>
            </w:pPr>
            <w:r w:rsidRPr="00121C38">
              <w:rPr>
                <w:rFonts w:ascii="Arial Narrow" w:hAnsi="Arial Narrow"/>
                <w:color w:val="000000" w:themeColor="text1"/>
              </w:rPr>
              <w:t>Proveer a los equipos técnicos de las unidades de manejo a nivel nacional de las herramientas legales y técnicas necesarias que sirvan como base sólida para facilitar y orientar adecuadamente el proceso de formulación del Plan de Manejo Integrado de la Zona Marino Costera (PMIZMC), fortaleciendo así sus capacidades institucionales y promoviendo una gestión eficiente, participativa y alineada con los marcos normativos vigentes.</w:t>
            </w:r>
          </w:p>
          <w:p w14:paraId="66617FE9" w14:textId="77777777" w:rsidR="00F23D5C" w:rsidRPr="00121C38" w:rsidRDefault="00F23D5C" w:rsidP="00F23D5C">
            <w:pPr>
              <w:pStyle w:val="Prrafodelista"/>
              <w:jc w:val="both"/>
              <w:rPr>
                <w:rFonts w:ascii="Arial Narrow" w:hAnsi="Arial Narrow"/>
                <w:color w:val="000000" w:themeColor="text1"/>
              </w:rPr>
            </w:pPr>
          </w:p>
          <w:p w14:paraId="3B876399" w14:textId="4CCC8227" w:rsidR="001621E7" w:rsidRPr="00121C38" w:rsidRDefault="001621E7" w:rsidP="00EE7306">
            <w:pPr>
              <w:pStyle w:val="Prrafodelista"/>
              <w:numPr>
                <w:ilvl w:val="0"/>
                <w:numId w:val="30"/>
              </w:numPr>
              <w:jc w:val="both"/>
              <w:rPr>
                <w:rFonts w:ascii="Arial Narrow" w:hAnsi="Arial Narrow"/>
                <w:color w:val="000000" w:themeColor="text1"/>
              </w:rPr>
            </w:pPr>
            <w:r w:rsidRPr="00121C38">
              <w:rPr>
                <w:rFonts w:ascii="Arial Narrow" w:hAnsi="Arial Narrow"/>
                <w:color w:val="000000" w:themeColor="text1"/>
              </w:rPr>
              <w:t xml:space="preserve">Coordinación articulada con los sectores nacionales competentes para la calendarización de los DENP en tiburones y de actualización de información pesquera, con los posteriores cuellos de botella </w:t>
            </w:r>
            <w:r w:rsidR="00F23D5C" w:rsidRPr="00121C38">
              <w:rPr>
                <w:rFonts w:ascii="Arial Narrow" w:hAnsi="Arial Narrow"/>
                <w:color w:val="000000" w:themeColor="text1"/>
              </w:rPr>
              <w:t>identificados</w:t>
            </w:r>
            <w:r w:rsidR="00EE7306" w:rsidRPr="00121C38">
              <w:rPr>
                <w:rFonts w:ascii="Arial Narrow" w:hAnsi="Arial Narrow"/>
                <w:color w:val="000000" w:themeColor="text1"/>
              </w:rPr>
              <w:t xml:space="preserve"> de manera reiterativa, así como, el m</w:t>
            </w:r>
            <w:r w:rsidRPr="00121C38">
              <w:rPr>
                <w:rFonts w:ascii="Arial Narrow" w:hAnsi="Arial Narrow"/>
                <w:color w:val="000000" w:themeColor="text1"/>
              </w:rPr>
              <w:t xml:space="preserve">apeo de procesos de la elaboración DENP a nivel de procedimientos o procesos </w:t>
            </w:r>
            <w:r w:rsidR="00F23D5C" w:rsidRPr="00121C38">
              <w:rPr>
                <w:rFonts w:ascii="Arial Narrow" w:hAnsi="Arial Narrow"/>
                <w:color w:val="000000" w:themeColor="text1"/>
              </w:rPr>
              <w:t>Nivel</w:t>
            </w:r>
            <w:r w:rsidRPr="00121C38">
              <w:rPr>
                <w:rFonts w:ascii="Arial Narrow" w:hAnsi="Arial Narrow"/>
                <w:color w:val="000000" w:themeColor="text1"/>
              </w:rPr>
              <w:t xml:space="preserve"> 2.</w:t>
            </w:r>
          </w:p>
          <w:p w14:paraId="52253223" w14:textId="77777777" w:rsidR="00F23D5C" w:rsidRPr="00121C38" w:rsidRDefault="00F23D5C" w:rsidP="00F23D5C">
            <w:pPr>
              <w:pStyle w:val="Prrafodelista"/>
              <w:jc w:val="both"/>
              <w:rPr>
                <w:rFonts w:ascii="Arial Narrow" w:hAnsi="Arial Narrow"/>
                <w:color w:val="000000" w:themeColor="text1"/>
              </w:rPr>
            </w:pPr>
          </w:p>
          <w:p w14:paraId="44ACF76E" w14:textId="5E392AA0" w:rsidR="001621E7" w:rsidRPr="00121C38" w:rsidRDefault="001621E7" w:rsidP="00F23D5C">
            <w:pPr>
              <w:pStyle w:val="Prrafodelista"/>
              <w:numPr>
                <w:ilvl w:val="0"/>
                <w:numId w:val="30"/>
              </w:numPr>
              <w:jc w:val="both"/>
              <w:rPr>
                <w:rFonts w:ascii="Arial Narrow" w:hAnsi="Arial Narrow"/>
                <w:color w:val="000000" w:themeColor="text1"/>
              </w:rPr>
            </w:pPr>
            <w:r w:rsidRPr="00121C38">
              <w:rPr>
                <w:rFonts w:ascii="Arial Narrow" w:hAnsi="Arial Narrow"/>
                <w:color w:val="000000" w:themeColor="text1"/>
              </w:rPr>
              <w:t>Con respecto a las unidades que no cuentan con las condiciones de ser supervisadas, se viene realizando la actualización constante del universo de unidades fiscalizables activas en coordinación con el Ministerio de la Producción, realizando el remplazo de unidades a supervisar siguiendo los criterios de priorización, ello con la finalidad de considerar en la programación solo a unidades activas y contribuir a la eficacia de la función de supervisión.</w:t>
            </w:r>
          </w:p>
          <w:p w14:paraId="15E46A44" w14:textId="77777777" w:rsidR="00F23D5C" w:rsidRPr="00121C38" w:rsidRDefault="00F23D5C" w:rsidP="00F23D5C">
            <w:pPr>
              <w:pStyle w:val="Prrafodelista"/>
              <w:jc w:val="both"/>
              <w:rPr>
                <w:rFonts w:ascii="Arial Narrow" w:hAnsi="Arial Narrow"/>
                <w:color w:val="000000" w:themeColor="text1"/>
              </w:rPr>
            </w:pPr>
          </w:p>
          <w:p w14:paraId="3A9B9995" w14:textId="5F994477" w:rsidR="001621E7" w:rsidRPr="00121C38" w:rsidRDefault="001621E7" w:rsidP="00F23D5C">
            <w:pPr>
              <w:pStyle w:val="Prrafodelista"/>
              <w:numPr>
                <w:ilvl w:val="0"/>
                <w:numId w:val="30"/>
              </w:numPr>
              <w:jc w:val="both"/>
              <w:rPr>
                <w:rFonts w:ascii="Arial Narrow" w:hAnsi="Arial Narrow"/>
                <w:color w:val="000000" w:themeColor="text1"/>
              </w:rPr>
            </w:pPr>
            <w:r w:rsidRPr="00121C38">
              <w:rPr>
                <w:rFonts w:ascii="Arial Narrow" w:hAnsi="Arial Narrow"/>
                <w:color w:val="000000" w:themeColor="text1"/>
              </w:rPr>
              <w:t>Debido a la dispersión geográfica de UF y capacidad operativa, se ha delegado parte de las funciones a las Oficinas Desconcentradas (ODES), y mediante resoluciones del Consejo Directivo se ha formalizado la asignación de nuevas competencias en los sectores de pesca, agricultura, industria y electricidad. Estas funciones serán ejecutadas por las ODES/OE a partir del 2025, lo que contribuirá a una mayor cobertura y oportunidad en la ejecución de las acciones de supervisión ambiental.</w:t>
            </w:r>
          </w:p>
          <w:p w14:paraId="69BE12F8" w14:textId="77777777" w:rsidR="00EE7306" w:rsidRPr="00121C38" w:rsidRDefault="00EE7306" w:rsidP="008B3E6E">
            <w:pPr>
              <w:jc w:val="both"/>
              <w:rPr>
                <w:rFonts w:ascii="Arial Narrow" w:hAnsi="Arial Narrow"/>
                <w:b/>
                <w:color w:val="000000" w:themeColor="text1"/>
              </w:rPr>
            </w:pPr>
          </w:p>
          <w:p w14:paraId="2473C35E" w14:textId="513B4475" w:rsidR="001621E7" w:rsidRPr="00121C38" w:rsidRDefault="001621E7" w:rsidP="008B3E6E">
            <w:pPr>
              <w:jc w:val="both"/>
              <w:rPr>
                <w:rFonts w:ascii="Arial Narrow" w:hAnsi="Arial Narrow"/>
                <w:b/>
                <w:color w:val="000000" w:themeColor="text1"/>
              </w:rPr>
            </w:pPr>
            <w:r w:rsidRPr="00121C38">
              <w:rPr>
                <w:rFonts w:ascii="Arial Narrow" w:hAnsi="Arial Narrow"/>
                <w:b/>
                <w:color w:val="000000" w:themeColor="text1"/>
              </w:rPr>
              <w:t xml:space="preserve">MINEM: </w:t>
            </w:r>
          </w:p>
          <w:p w14:paraId="6C638E94" w14:textId="2BCF1D0F" w:rsidR="001621E7" w:rsidRPr="00121C38" w:rsidRDefault="00F23D5C" w:rsidP="00F23D5C">
            <w:pPr>
              <w:pStyle w:val="Prrafodelista"/>
              <w:numPr>
                <w:ilvl w:val="0"/>
                <w:numId w:val="32"/>
              </w:numPr>
              <w:jc w:val="both"/>
              <w:rPr>
                <w:rFonts w:ascii="Arial Narrow" w:hAnsi="Arial Narrow"/>
                <w:bCs/>
                <w:color w:val="000000" w:themeColor="text1"/>
              </w:rPr>
            </w:pPr>
            <w:r w:rsidRPr="00121C38">
              <w:rPr>
                <w:rFonts w:ascii="Arial Narrow" w:hAnsi="Arial Narrow"/>
                <w:bCs/>
                <w:color w:val="000000" w:themeColor="text1"/>
              </w:rPr>
              <w:t>Proponer la b</w:t>
            </w:r>
            <w:r w:rsidR="001621E7" w:rsidRPr="00121C38">
              <w:rPr>
                <w:rFonts w:ascii="Arial Narrow" w:hAnsi="Arial Narrow"/>
                <w:bCs/>
                <w:color w:val="000000" w:themeColor="text1"/>
              </w:rPr>
              <w:t>úsqueda de financiamiento a través de la Cooperación Internacional</w:t>
            </w:r>
            <w:r w:rsidRPr="00121C38">
              <w:rPr>
                <w:rFonts w:ascii="Arial Narrow" w:hAnsi="Arial Narrow"/>
                <w:bCs/>
                <w:color w:val="000000" w:themeColor="text1"/>
              </w:rPr>
              <w:t>,</w:t>
            </w:r>
            <w:r w:rsidR="001621E7" w:rsidRPr="00121C38">
              <w:rPr>
                <w:rFonts w:ascii="Arial Narrow" w:hAnsi="Arial Narrow"/>
                <w:bCs/>
                <w:color w:val="000000" w:themeColor="text1"/>
              </w:rPr>
              <w:t xml:space="preserve"> para desarrollar estudios sobre el potencial de aprovechamiento de energías del mar para la producción de electricidad mediante tecnologías que se basan en la energía de las olas, las mareas, las corrientes marinas y la temperatura del agua. También se encuentra el potencial para aprovechar la energía eólica marina y la energía solar (flotante). Estos estudios permitirían promocionar el potencial energético marítimo para contar con inversiones.</w:t>
            </w:r>
          </w:p>
          <w:p w14:paraId="5151942F" w14:textId="4EE559EE" w:rsidR="00F23D5C" w:rsidRPr="00121C38" w:rsidRDefault="00F23D5C" w:rsidP="00F23D5C">
            <w:pPr>
              <w:pStyle w:val="Prrafodelista"/>
              <w:jc w:val="both"/>
              <w:rPr>
                <w:rFonts w:ascii="Arial Narrow" w:hAnsi="Arial Narrow"/>
                <w:bCs/>
                <w:color w:val="000000" w:themeColor="text1"/>
              </w:rPr>
            </w:pPr>
          </w:p>
          <w:p w14:paraId="4FB7CDAF" w14:textId="77777777" w:rsidR="00F23D5C" w:rsidRPr="00121C38" w:rsidRDefault="00F23D5C" w:rsidP="00F23D5C">
            <w:pPr>
              <w:pStyle w:val="Prrafodelista"/>
              <w:jc w:val="both"/>
              <w:rPr>
                <w:rFonts w:ascii="Arial Narrow" w:hAnsi="Arial Narrow"/>
                <w:bCs/>
                <w:color w:val="000000" w:themeColor="text1"/>
              </w:rPr>
            </w:pPr>
          </w:p>
          <w:p w14:paraId="3C4B49BF" w14:textId="77777777" w:rsidR="001621E7" w:rsidRPr="00121C38" w:rsidRDefault="001621E7" w:rsidP="008B3E6E">
            <w:pPr>
              <w:jc w:val="both"/>
              <w:rPr>
                <w:rFonts w:ascii="Arial Narrow" w:hAnsi="Arial Narrow"/>
                <w:bCs/>
                <w:color w:val="000000" w:themeColor="text1"/>
              </w:rPr>
            </w:pPr>
          </w:p>
          <w:p w14:paraId="4B1D1FEF" w14:textId="64D78D0E" w:rsidR="001621E7" w:rsidRPr="00121C38" w:rsidRDefault="001621E7" w:rsidP="008B3E6E">
            <w:pPr>
              <w:jc w:val="both"/>
              <w:rPr>
                <w:rFonts w:ascii="Arial Narrow" w:hAnsi="Arial Narrow"/>
                <w:color w:val="000000" w:themeColor="text1"/>
              </w:rPr>
            </w:pPr>
          </w:p>
        </w:tc>
      </w:tr>
    </w:tbl>
    <w:p w14:paraId="182D3B90" w14:textId="1EC59A16" w:rsidR="0565EC48" w:rsidRPr="00121C38" w:rsidRDefault="0565EC48" w:rsidP="008B3E6E">
      <w:pPr>
        <w:spacing w:after="0" w:line="240" w:lineRule="auto"/>
        <w:jc w:val="both"/>
        <w:rPr>
          <w:rFonts w:ascii="Arial Narrow" w:hAnsi="Arial Narrow"/>
          <w:b/>
          <w:bCs/>
          <w:color w:val="000000" w:themeColor="text1"/>
        </w:rPr>
      </w:pPr>
    </w:p>
    <w:p w14:paraId="1DB4F285" w14:textId="4704AAED" w:rsidR="000408D2" w:rsidRPr="00121C38" w:rsidRDefault="000408D2" w:rsidP="008B3E6E">
      <w:pPr>
        <w:spacing w:after="0" w:line="240" w:lineRule="auto"/>
        <w:jc w:val="both"/>
        <w:rPr>
          <w:rFonts w:ascii="Arial Narrow" w:hAnsi="Arial Narrow"/>
          <w:b/>
          <w:bCs/>
          <w:color w:val="000000" w:themeColor="text1"/>
        </w:rPr>
      </w:pPr>
    </w:p>
    <w:p w14:paraId="1C97BE79" w14:textId="77777777" w:rsidR="000408D2" w:rsidRPr="00121C38" w:rsidRDefault="000408D2" w:rsidP="000408D2">
      <w:pPr>
        <w:spacing w:after="0" w:line="240" w:lineRule="auto"/>
        <w:ind w:left="3402"/>
        <w:jc w:val="center"/>
        <w:rPr>
          <w:rFonts w:ascii="Arial Narrow" w:hAnsi="Arial Narrow" w:cs="Courier New"/>
          <w:color w:val="000000" w:themeColor="text1"/>
        </w:rPr>
      </w:pPr>
      <w:r w:rsidRPr="00121C38">
        <w:rPr>
          <w:rFonts w:ascii="Arial Narrow" w:hAnsi="Arial Narrow" w:cs="Courier New"/>
          <w:color w:val="000000" w:themeColor="text1"/>
        </w:rPr>
        <w:t>Contralmirante</w:t>
      </w:r>
    </w:p>
    <w:p w14:paraId="6F399218" w14:textId="77777777" w:rsidR="000408D2" w:rsidRPr="00121C38" w:rsidRDefault="000408D2" w:rsidP="000408D2">
      <w:pPr>
        <w:spacing w:after="0" w:line="240" w:lineRule="auto"/>
        <w:ind w:left="3402"/>
        <w:jc w:val="center"/>
        <w:rPr>
          <w:rFonts w:ascii="Arial Narrow" w:hAnsi="Arial Narrow" w:cs="Courier New"/>
          <w:color w:val="000000" w:themeColor="text1"/>
        </w:rPr>
      </w:pPr>
      <w:r w:rsidRPr="00121C38">
        <w:rPr>
          <w:rFonts w:ascii="Arial Narrow" w:hAnsi="Arial Narrow" w:cs="Courier New"/>
          <w:color w:val="000000" w:themeColor="text1"/>
        </w:rPr>
        <w:t xml:space="preserve">Secretario Técnico de la Comisión Multisectorial de la </w:t>
      </w:r>
    </w:p>
    <w:p w14:paraId="1E6FED68" w14:textId="6FA0BEC5" w:rsidR="000408D2" w:rsidRPr="00121C38" w:rsidRDefault="000408D2" w:rsidP="000408D2">
      <w:pPr>
        <w:spacing w:after="0" w:line="240" w:lineRule="auto"/>
        <w:ind w:left="3402"/>
        <w:jc w:val="center"/>
        <w:rPr>
          <w:rFonts w:ascii="Arial Narrow" w:hAnsi="Arial Narrow" w:cs="Courier New"/>
          <w:color w:val="000000" w:themeColor="text1"/>
        </w:rPr>
      </w:pPr>
      <w:r w:rsidRPr="00121C38">
        <w:rPr>
          <w:rFonts w:ascii="Arial Narrow" w:hAnsi="Arial Narrow" w:cs="Courier New"/>
          <w:color w:val="000000" w:themeColor="text1"/>
        </w:rPr>
        <w:t>Acción del Estado en el Ámbito Marítimo (COMAEM)</w:t>
      </w:r>
    </w:p>
    <w:p w14:paraId="0472E21B" w14:textId="77777777" w:rsidR="000408D2" w:rsidRPr="00121C38" w:rsidRDefault="000408D2" w:rsidP="000408D2">
      <w:pPr>
        <w:tabs>
          <w:tab w:val="left" w:pos="540"/>
          <w:tab w:val="left" w:pos="1980"/>
        </w:tabs>
        <w:spacing w:after="0" w:line="240" w:lineRule="auto"/>
        <w:ind w:left="3402"/>
        <w:jc w:val="center"/>
        <w:rPr>
          <w:rFonts w:ascii="Arial Narrow" w:eastAsia="Wingdings" w:hAnsi="Arial Narrow"/>
          <w:color w:val="000000" w:themeColor="text1"/>
          <w:lang w:eastAsia="en-US"/>
        </w:rPr>
      </w:pPr>
      <w:r w:rsidRPr="00121C38">
        <w:rPr>
          <w:rFonts w:ascii="Arial Narrow" w:eastAsia="Wingdings" w:hAnsi="Arial Narrow"/>
          <w:color w:val="000000" w:themeColor="text1"/>
          <w:lang w:eastAsia="en-US"/>
        </w:rPr>
        <w:t>Antonio VILDOSO Concha</w:t>
      </w:r>
    </w:p>
    <w:p w14:paraId="4658D77C" w14:textId="77777777" w:rsidR="000408D2" w:rsidRPr="00121C38" w:rsidRDefault="000408D2" w:rsidP="000408D2">
      <w:pPr>
        <w:tabs>
          <w:tab w:val="left" w:pos="540"/>
          <w:tab w:val="left" w:pos="1980"/>
        </w:tabs>
        <w:ind w:left="3402"/>
        <w:jc w:val="center"/>
        <w:rPr>
          <w:rFonts w:ascii="Century Gothic" w:hAnsi="Century Gothic" w:cs="Courier New"/>
          <w:color w:val="000000" w:themeColor="text1"/>
          <w:sz w:val="20"/>
        </w:rPr>
      </w:pPr>
    </w:p>
    <w:p w14:paraId="594F9A4B" w14:textId="77777777" w:rsidR="000408D2" w:rsidRPr="00121C38" w:rsidRDefault="000408D2" w:rsidP="000408D2">
      <w:pPr>
        <w:tabs>
          <w:tab w:val="left" w:pos="540"/>
          <w:tab w:val="left" w:pos="1980"/>
        </w:tabs>
        <w:ind w:left="3402"/>
        <w:jc w:val="center"/>
        <w:rPr>
          <w:rFonts w:ascii="Century Gothic" w:hAnsi="Century Gothic" w:cs="Courier New"/>
          <w:color w:val="000000" w:themeColor="text1"/>
          <w:sz w:val="20"/>
        </w:rPr>
      </w:pPr>
    </w:p>
    <w:p w14:paraId="5DDF1ED0" w14:textId="77777777" w:rsidR="000408D2" w:rsidRPr="00121C38" w:rsidRDefault="000408D2" w:rsidP="000408D2">
      <w:pPr>
        <w:tabs>
          <w:tab w:val="left" w:pos="540"/>
          <w:tab w:val="left" w:pos="1980"/>
        </w:tabs>
        <w:ind w:left="3402"/>
        <w:jc w:val="center"/>
        <w:rPr>
          <w:rFonts w:ascii="Century Gothic" w:hAnsi="Century Gothic" w:cs="Courier New"/>
          <w:color w:val="000000" w:themeColor="text1"/>
          <w:sz w:val="20"/>
        </w:rPr>
      </w:pPr>
    </w:p>
    <w:p w14:paraId="191E1B25" w14:textId="77777777" w:rsidR="000408D2" w:rsidRPr="00121C38" w:rsidRDefault="000408D2" w:rsidP="008B3E6E">
      <w:pPr>
        <w:spacing w:after="0" w:line="240" w:lineRule="auto"/>
        <w:jc w:val="both"/>
        <w:rPr>
          <w:rFonts w:ascii="Arial Narrow" w:hAnsi="Arial Narrow"/>
          <w:b/>
          <w:bCs/>
          <w:color w:val="000000" w:themeColor="text1"/>
        </w:rPr>
      </w:pPr>
    </w:p>
    <w:sectPr w:rsidR="000408D2" w:rsidRPr="00121C38" w:rsidSect="00986645">
      <w:headerReference w:type="default" r:id="rId13"/>
      <w:footerReference w:type="default" r:id="rId14"/>
      <w:headerReference w:type="first" r:id="rId15"/>
      <w:footerReference w:type="first" r:id="rId16"/>
      <w:pgSz w:w="11906" w:h="16838"/>
      <w:pgMar w:top="851" w:right="1701" w:bottom="568"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F221F" w14:textId="77777777" w:rsidR="00F609E7" w:rsidRDefault="00F609E7">
      <w:pPr>
        <w:spacing w:after="0" w:line="240" w:lineRule="auto"/>
      </w:pPr>
      <w:r>
        <w:separator/>
      </w:r>
    </w:p>
  </w:endnote>
  <w:endnote w:type="continuationSeparator" w:id="0">
    <w:p w14:paraId="77AF9EED" w14:textId="77777777" w:rsidR="00F609E7" w:rsidRDefault="00F6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Tw Cen MT Condensed">
    <w:altName w:val="Lucida Sans Unicode"/>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411112"/>
      <w:docPartObj>
        <w:docPartGallery w:val="Page Numbers (Bottom of Page)"/>
        <w:docPartUnique/>
      </w:docPartObj>
    </w:sdtPr>
    <w:sdtEndPr>
      <w:rPr>
        <w:rFonts w:ascii="Arial Narrow" w:hAnsi="Arial Narrow"/>
        <w:color w:val="1481AB" w:themeColor="accent1" w:themeShade="BF"/>
      </w:rPr>
    </w:sdtEndPr>
    <w:sdtContent>
      <w:p w14:paraId="34F59F5A" w14:textId="217708EC" w:rsidR="00C00599" w:rsidRPr="00C00599" w:rsidRDefault="00C00599">
        <w:pPr>
          <w:pStyle w:val="Piedepgina"/>
          <w:jc w:val="right"/>
          <w:rPr>
            <w:rFonts w:ascii="Arial Narrow" w:hAnsi="Arial Narrow"/>
            <w:color w:val="1481AB" w:themeColor="accent1" w:themeShade="BF"/>
          </w:rPr>
        </w:pPr>
        <w:r w:rsidRPr="00C00599">
          <w:rPr>
            <w:rFonts w:ascii="Arial Narrow" w:hAnsi="Arial Narrow"/>
            <w:color w:val="1481AB" w:themeColor="accent1" w:themeShade="BF"/>
          </w:rPr>
          <w:fldChar w:fldCharType="begin"/>
        </w:r>
        <w:r w:rsidRPr="00C00599">
          <w:rPr>
            <w:rFonts w:ascii="Arial Narrow" w:hAnsi="Arial Narrow"/>
            <w:color w:val="1481AB" w:themeColor="accent1" w:themeShade="BF"/>
          </w:rPr>
          <w:instrText>PAGE   \* MERGEFORMAT</w:instrText>
        </w:r>
        <w:r w:rsidRPr="00C00599">
          <w:rPr>
            <w:rFonts w:ascii="Arial Narrow" w:hAnsi="Arial Narrow"/>
            <w:color w:val="1481AB" w:themeColor="accent1" w:themeShade="BF"/>
          </w:rPr>
          <w:fldChar w:fldCharType="separate"/>
        </w:r>
        <w:r w:rsidR="00121C38" w:rsidRPr="00121C38">
          <w:rPr>
            <w:rFonts w:ascii="Arial Narrow" w:hAnsi="Arial Narrow"/>
            <w:noProof/>
            <w:color w:val="1481AB" w:themeColor="accent1" w:themeShade="BF"/>
            <w:lang w:val="es-ES"/>
          </w:rPr>
          <w:t>1</w:t>
        </w:r>
        <w:r w:rsidRPr="00C00599">
          <w:rPr>
            <w:rFonts w:ascii="Arial Narrow" w:hAnsi="Arial Narrow"/>
            <w:color w:val="1481AB" w:themeColor="accent1" w:themeShade="BF"/>
          </w:rPr>
          <w:fldChar w:fldCharType="end"/>
        </w:r>
      </w:p>
    </w:sdtContent>
  </w:sdt>
  <w:p w14:paraId="3B5A56D6" w14:textId="77777777" w:rsidR="00C00599" w:rsidRDefault="00C005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1728641E" w14:paraId="6400E4E7" w14:textId="77777777" w:rsidTr="1728641E">
      <w:trPr>
        <w:trHeight w:val="300"/>
      </w:trPr>
      <w:tc>
        <w:tcPr>
          <w:tcW w:w="2830" w:type="dxa"/>
        </w:tcPr>
        <w:p w14:paraId="7E5017E0" w14:textId="6A8C02E1" w:rsidR="1728641E" w:rsidRDefault="1728641E" w:rsidP="1728641E">
          <w:pPr>
            <w:pStyle w:val="Encabezado"/>
            <w:ind w:left="-115"/>
          </w:pPr>
        </w:p>
      </w:tc>
      <w:tc>
        <w:tcPr>
          <w:tcW w:w="2830" w:type="dxa"/>
        </w:tcPr>
        <w:p w14:paraId="04BB8118" w14:textId="69CF1811" w:rsidR="1728641E" w:rsidRDefault="1728641E" w:rsidP="1728641E">
          <w:pPr>
            <w:pStyle w:val="Encabezado"/>
            <w:jc w:val="center"/>
          </w:pPr>
        </w:p>
      </w:tc>
      <w:tc>
        <w:tcPr>
          <w:tcW w:w="2830" w:type="dxa"/>
        </w:tcPr>
        <w:p w14:paraId="6D5ADF2D" w14:textId="35B1E394" w:rsidR="1728641E" w:rsidRDefault="1728641E" w:rsidP="1728641E">
          <w:pPr>
            <w:pStyle w:val="Encabezado"/>
            <w:ind w:right="-115"/>
            <w:jc w:val="right"/>
          </w:pPr>
        </w:p>
      </w:tc>
    </w:tr>
  </w:tbl>
  <w:p w14:paraId="5AB4990B" w14:textId="31CEA804" w:rsidR="1728641E" w:rsidRDefault="1728641E" w:rsidP="172864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A9B03" w14:textId="77777777" w:rsidR="00F609E7" w:rsidRDefault="00F609E7">
      <w:pPr>
        <w:spacing w:after="0" w:line="240" w:lineRule="auto"/>
      </w:pPr>
      <w:r>
        <w:separator/>
      </w:r>
    </w:p>
  </w:footnote>
  <w:footnote w:type="continuationSeparator" w:id="0">
    <w:p w14:paraId="618EAD04" w14:textId="77777777" w:rsidR="00F609E7" w:rsidRDefault="00F609E7">
      <w:pPr>
        <w:spacing w:after="0" w:line="240" w:lineRule="auto"/>
      </w:pPr>
      <w:r>
        <w:continuationSeparator/>
      </w:r>
    </w:p>
  </w:footnote>
  <w:footnote w:id="1">
    <w:p w14:paraId="06323AB1" w14:textId="512473D7" w:rsidR="00297D12" w:rsidRPr="00986645" w:rsidRDefault="00297D12">
      <w:pPr>
        <w:pStyle w:val="Textonotapie"/>
        <w:rPr>
          <w:rFonts w:ascii="Century Gothic" w:hAnsi="Century Gothic"/>
        </w:rPr>
      </w:pPr>
      <w:r w:rsidRPr="00986645">
        <w:rPr>
          <w:rStyle w:val="Refdenotaalpie"/>
          <w:rFonts w:ascii="Century Gothic" w:hAnsi="Century Gothic"/>
        </w:rPr>
        <w:footnoteRef/>
      </w:r>
      <w:r w:rsidRPr="00986645">
        <w:rPr>
          <w:rFonts w:ascii="Century Gothic" w:hAnsi="Century Gothic"/>
        </w:rPr>
        <w:t xml:space="preserve"> </w:t>
      </w:r>
      <w:r w:rsidR="00211040" w:rsidRPr="00986645">
        <w:rPr>
          <w:rFonts w:ascii="Century Gothic" w:hAnsi="Century Gothic"/>
        </w:rPr>
        <w:t xml:space="preserve">La valoración se realiza tomando en cuenta los criterios establecidos en el </w:t>
      </w:r>
      <w:r w:rsidR="00986645">
        <w:rPr>
          <w:rFonts w:ascii="Century Gothic" w:hAnsi="Century Gothic"/>
        </w:rPr>
        <w:t>cuadro</w:t>
      </w:r>
      <w:r w:rsidR="00211040" w:rsidRPr="00986645">
        <w:rPr>
          <w:rFonts w:ascii="Century Gothic" w:hAnsi="Century Gothic"/>
        </w:rPr>
        <w:t xml:space="preserve"> titulado "Valoración del nivel de implementación</w:t>
      </w:r>
      <w:r w:rsidR="00986645">
        <w:rPr>
          <w:rFonts w:ascii="Century Gothic" w:hAnsi="Century Gothic"/>
        </w:rPr>
        <w:t>” de la Guía.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1728641E" w14:paraId="2EDDCA8B" w14:textId="77777777" w:rsidTr="1728641E">
      <w:trPr>
        <w:trHeight w:val="300"/>
      </w:trPr>
      <w:tc>
        <w:tcPr>
          <w:tcW w:w="2830" w:type="dxa"/>
        </w:tcPr>
        <w:p w14:paraId="35F2EDE2" w14:textId="44F7AFC0" w:rsidR="1728641E" w:rsidRDefault="1728641E" w:rsidP="1728641E">
          <w:pPr>
            <w:pStyle w:val="Encabezado"/>
            <w:ind w:left="-115"/>
          </w:pPr>
        </w:p>
      </w:tc>
      <w:tc>
        <w:tcPr>
          <w:tcW w:w="2830" w:type="dxa"/>
        </w:tcPr>
        <w:p w14:paraId="751755C8" w14:textId="2226A106" w:rsidR="1728641E" w:rsidRDefault="1728641E" w:rsidP="1728641E">
          <w:pPr>
            <w:pStyle w:val="Encabezado"/>
            <w:jc w:val="center"/>
          </w:pPr>
        </w:p>
      </w:tc>
      <w:tc>
        <w:tcPr>
          <w:tcW w:w="2830" w:type="dxa"/>
        </w:tcPr>
        <w:p w14:paraId="5F2A5C1A" w14:textId="13559079" w:rsidR="1728641E" w:rsidRDefault="1728641E" w:rsidP="1728641E">
          <w:pPr>
            <w:pStyle w:val="Encabezado"/>
            <w:ind w:right="-115"/>
            <w:jc w:val="right"/>
          </w:pPr>
        </w:p>
      </w:tc>
    </w:tr>
  </w:tbl>
  <w:p w14:paraId="472E1AE8" w14:textId="61B08F02" w:rsidR="1728641E" w:rsidRDefault="1728641E" w:rsidP="172864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1728641E" w14:paraId="13C0101E" w14:textId="77777777" w:rsidTr="1728641E">
      <w:trPr>
        <w:trHeight w:val="300"/>
      </w:trPr>
      <w:tc>
        <w:tcPr>
          <w:tcW w:w="2830" w:type="dxa"/>
        </w:tcPr>
        <w:p w14:paraId="303BF5BE" w14:textId="42DC5DC2" w:rsidR="1728641E" w:rsidRDefault="1728641E" w:rsidP="1728641E">
          <w:pPr>
            <w:pStyle w:val="Encabezado"/>
            <w:ind w:left="-115"/>
          </w:pPr>
        </w:p>
      </w:tc>
      <w:tc>
        <w:tcPr>
          <w:tcW w:w="2830" w:type="dxa"/>
        </w:tcPr>
        <w:p w14:paraId="1BD00C23" w14:textId="5248A804" w:rsidR="1728641E" w:rsidRDefault="1728641E" w:rsidP="1728641E">
          <w:pPr>
            <w:pStyle w:val="Encabezado"/>
            <w:jc w:val="center"/>
          </w:pPr>
        </w:p>
      </w:tc>
      <w:tc>
        <w:tcPr>
          <w:tcW w:w="2830" w:type="dxa"/>
        </w:tcPr>
        <w:p w14:paraId="0EEDF8FF" w14:textId="0EA54D48" w:rsidR="1728641E" w:rsidRDefault="1728641E" w:rsidP="1728641E">
          <w:pPr>
            <w:pStyle w:val="Encabezado"/>
            <w:ind w:right="-115"/>
            <w:jc w:val="right"/>
          </w:pPr>
        </w:p>
      </w:tc>
    </w:tr>
  </w:tbl>
  <w:p w14:paraId="2317FAFB" w14:textId="7DFE891C" w:rsidR="1728641E" w:rsidRDefault="1728641E" w:rsidP="172864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A6"/>
    <w:multiLevelType w:val="hybridMultilevel"/>
    <w:tmpl w:val="A21C91A2"/>
    <w:lvl w:ilvl="0" w:tplc="838AD168">
      <w:start w:val="3"/>
      <w:numFmt w:val="bullet"/>
      <w:lvlText w:val="-"/>
      <w:lvlJc w:val="left"/>
      <w:pPr>
        <w:ind w:left="1068" w:hanging="360"/>
      </w:pPr>
      <w:rPr>
        <w:rFonts w:ascii="Century Gothic" w:eastAsia="Times New Roman" w:hAnsi="Century Gothic"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5D74163"/>
    <w:multiLevelType w:val="multilevel"/>
    <w:tmpl w:val="ACE8AD2C"/>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AA516C1"/>
    <w:multiLevelType w:val="multilevel"/>
    <w:tmpl w:val="94341B6C"/>
    <w:lvl w:ilvl="0">
      <w:start w:val="3"/>
      <w:numFmt w:val="decimal"/>
      <w:lvlText w:val="%1."/>
      <w:lvlJc w:val="left"/>
      <w:pPr>
        <w:ind w:left="390" w:hanging="390"/>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b/>
        <w:bCs/>
        <w:color w:val="1D99A0" w:themeColor="accent3" w:themeShade="BF"/>
        <w:sz w:val="24"/>
        <w:szCs w:val="24"/>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C111673"/>
    <w:multiLevelType w:val="multilevel"/>
    <w:tmpl w:val="AFC24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45125"/>
    <w:multiLevelType w:val="multilevel"/>
    <w:tmpl w:val="844E080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BB1B51"/>
    <w:multiLevelType w:val="hybridMultilevel"/>
    <w:tmpl w:val="1CAE8D36"/>
    <w:lvl w:ilvl="0" w:tplc="DD6CF892">
      <w:start w:val="1"/>
      <w:numFmt w:val="bullet"/>
      <w:lvlText w:val=""/>
      <w:lvlJc w:val="left"/>
      <w:pPr>
        <w:ind w:left="720" w:hanging="360"/>
      </w:pPr>
      <w:rPr>
        <w:rFonts w:ascii="Wingdings" w:hAnsi="Wingdings" w:hint="default"/>
      </w:rPr>
    </w:lvl>
    <w:lvl w:ilvl="1" w:tplc="8348F25A">
      <w:start w:val="1"/>
      <w:numFmt w:val="bullet"/>
      <w:lvlText w:val="o"/>
      <w:lvlJc w:val="left"/>
      <w:pPr>
        <w:ind w:left="1440" w:hanging="360"/>
      </w:pPr>
      <w:rPr>
        <w:rFonts w:ascii="Courier New" w:hAnsi="Courier New" w:hint="default"/>
      </w:rPr>
    </w:lvl>
    <w:lvl w:ilvl="2" w:tplc="171CD6E8">
      <w:start w:val="1"/>
      <w:numFmt w:val="bullet"/>
      <w:lvlText w:val=""/>
      <w:lvlJc w:val="left"/>
      <w:pPr>
        <w:ind w:left="2160" w:hanging="360"/>
      </w:pPr>
      <w:rPr>
        <w:rFonts w:ascii="Wingdings" w:hAnsi="Wingdings" w:hint="default"/>
      </w:rPr>
    </w:lvl>
    <w:lvl w:ilvl="3" w:tplc="0DDAAE8A">
      <w:start w:val="1"/>
      <w:numFmt w:val="bullet"/>
      <w:lvlText w:val=""/>
      <w:lvlJc w:val="left"/>
      <w:pPr>
        <w:ind w:left="2880" w:hanging="360"/>
      </w:pPr>
      <w:rPr>
        <w:rFonts w:ascii="Symbol" w:hAnsi="Symbol" w:hint="default"/>
      </w:rPr>
    </w:lvl>
    <w:lvl w:ilvl="4" w:tplc="85323758">
      <w:start w:val="1"/>
      <w:numFmt w:val="bullet"/>
      <w:lvlText w:val="o"/>
      <w:lvlJc w:val="left"/>
      <w:pPr>
        <w:ind w:left="3600" w:hanging="360"/>
      </w:pPr>
      <w:rPr>
        <w:rFonts w:ascii="Courier New" w:hAnsi="Courier New" w:hint="default"/>
      </w:rPr>
    </w:lvl>
    <w:lvl w:ilvl="5" w:tplc="AE800CFC">
      <w:start w:val="1"/>
      <w:numFmt w:val="bullet"/>
      <w:lvlText w:val=""/>
      <w:lvlJc w:val="left"/>
      <w:pPr>
        <w:ind w:left="4320" w:hanging="360"/>
      </w:pPr>
      <w:rPr>
        <w:rFonts w:ascii="Wingdings" w:hAnsi="Wingdings" w:hint="default"/>
      </w:rPr>
    </w:lvl>
    <w:lvl w:ilvl="6" w:tplc="81C4D7CA">
      <w:start w:val="1"/>
      <w:numFmt w:val="bullet"/>
      <w:lvlText w:val=""/>
      <w:lvlJc w:val="left"/>
      <w:pPr>
        <w:ind w:left="5040" w:hanging="360"/>
      </w:pPr>
      <w:rPr>
        <w:rFonts w:ascii="Symbol" w:hAnsi="Symbol" w:hint="default"/>
      </w:rPr>
    </w:lvl>
    <w:lvl w:ilvl="7" w:tplc="F716B0F8">
      <w:start w:val="1"/>
      <w:numFmt w:val="bullet"/>
      <w:lvlText w:val="o"/>
      <w:lvlJc w:val="left"/>
      <w:pPr>
        <w:ind w:left="5760" w:hanging="360"/>
      </w:pPr>
      <w:rPr>
        <w:rFonts w:ascii="Courier New" w:hAnsi="Courier New" w:hint="default"/>
      </w:rPr>
    </w:lvl>
    <w:lvl w:ilvl="8" w:tplc="BF5A9460">
      <w:start w:val="1"/>
      <w:numFmt w:val="bullet"/>
      <w:lvlText w:val=""/>
      <w:lvlJc w:val="left"/>
      <w:pPr>
        <w:ind w:left="6480" w:hanging="360"/>
      </w:pPr>
      <w:rPr>
        <w:rFonts w:ascii="Wingdings" w:hAnsi="Wingdings" w:hint="default"/>
      </w:rPr>
    </w:lvl>
  </w:abstractNum>
  <w:abstractNum w:abstractNumId="6" w15:restartNumberingAfterBreak="0">
    <w:nsid w:val="0F04490D"/>
    <w:multiLevelType w:val="multilevel"/>
    <w:tmpl w:val="86922B5C"/>
    <w:lvl w:ilvl="0">
      <w:start w:val="2"/>
      <w:numFmt w:val="decimal"/>
      <w:lvlText w:val="%1"/>
      <w:lvlJc w:val="left"/>
      <w:pPr>
        <w:ind w:left="360" w:hanging="360"/>
      </w:pPr>
      <w:rPr>
        <w:rFonts w:hint="default"/>
      </w:rPr>
    </w:lvl>
    <w:lvl w:ilvl="1">
      <w:start w:val="3"/>
      <w:numFmt w:val="decimal"/>
      <w:lvlText w:val="%1.%2"/>
      <w:lvlJc w:val="left"/>
      <w:pPr>
        <w:ind w:left="2232" w:hanging="360"/>
      </w:pPr>
      <w:rPr>
        <w:rFonts w:hint="default"/>
      </w:rPr>
    </w:lvl>
    <w:lvl w:ilvl="2">
      <w:start w:val="1"/>
      <w:numFmt w:val="decimal"/>
      <w:lvlText w:val="%1.%2.%3"/>
      <w:lvlJc w:val="left"/>
      <w:pPr>
        <w:ind w:left="4464" w:hanging="720"/>
      </w:pPr>
      <w:rPr>
        <w:rFonts w:hint="default"/>
      </w:rPr>
    </w:lvl>
    <w:lvl w:ilvl="3">
      <w:start w:val="1"/>
      <w:numFmt w:val="decimal"/>
      <w:lvlText w:val="%1.%2.%3.%4"/>
      <w:lvlJc w:val="left"/>
      <w:pPr>
        <w:ind w:left="6336" w:hanging="720"/>
      </w:pPr>
      <w:rPr>
        <w:rFonts w:hint="default"/>
      </w:rPr>
    </w:lvl>
    <w:lvl w:ilvl="4">
      <w:start w:val="1"/>
      <w:numFmt w:val="decimal"/>
      <w:lvlText w:val="%1.%2.%3.%4.%5"/>
      <w:lvlJc w:val="left"/>
      <w:pPr>
        <w:ind w:left="8568" w:hanging="1080"/>
      </w:pPr>
      <w:rPr>
        <w:rFonts w:hint="default"/>
      </w:rPr>
    </w:lvl>
    <w:lvl w:ilvl="5">
      <w:start w:val="1"/>
      <w:numFmt w:val="decimal"/>
      <w:lvlText w:val="%1.%2.%3.%4.%5.%6"/>
      <w:lvlJc w:val="left"/>
      <w:pPr>
        <w:ind w:left="10800" w:hanging="1440"/>
      </w:pPr>
      <w:rPr>
        <w:rFonts w:hint="default"/>
      </w:rPr>
    </w:lvl>
    <w:lvl w:ilvl="6">
      <w:start w:val="1"/>
      <w:numFmt w:val="decimal"/>
      <w:lvlText w:val="%1.%2.%3.%4.%5.%6.%7"/>
      <w:lvlJc w:val="left"/>
      <w:pPr>
        <w:ind w:left="12672" w:hanging="1440"/>
      </w:pPr>
      <w:rPr>
        <w:rFonts w:hint="default"/>
      </w:rPr>
    </w:lvl>
    <w:lvl w:ilvl="7">
      <w:start w:val="1"/>
      <w:numFmt w:val="decimal"/>
      <w:lvlText w:val="%1.%2.%3.%4.%5.%6.%7.%8"/>
      <w:lvlJc w:val="left"/>
      <w:pPr>
        <w:ind w:left="14904" w:hanging="1800"/>
      </w:pPr>
      <w:rPr>
        <w:rFonts w:hint="default"/>
      </w:rPr>
    </w:lvl>
    <w:lvl w:ilvl="8">
      <w:start w:val="1"/>
      <w:numFmt w:val="decimal"/>
      <w:lvlText w:val="%1.%2.%3.%4.%5.%6.%7.%8.%9"/>
      <w:lvlJc w:val="left"/>
      <w:pPr>
        <w:ind w:left="16776" w:hanging="1800"/>
      </w:pPr>
      <w:rPr>
        <w:rFonts w:hint="default"/>
      </w:rPr>
    </w:lvl>
  </w:abstractNum>
  <w:abstractNum w:abstractNumId="7" w15:restartNumberingAfterBreak="0">
    <w:nsid w:val="1482775B"/>
    <w:multiLevelType w:val="multilevel"/>
    <w:tmpl w:val="95F8B41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15AD503C"/>
    <w:multiLevelType w:val="hybridMultilevel"/>
    <w:tmpl w:val="4F36508E"/>
    <w:lvl w:ilvl="0" w:tplc="B942C6DE">
      <w:start w:val="1"/>
      <w:numFmt w:val="upperRoman"/>
      <w:lvlText w:val="%1."/>
      <w:lvlJc w:val="left"/>
      <w:pPr>
        <w:ind w:left="1080" w:hanging="720"/>
      </w:pPr>
      <w:rPr>
        <w:rFonts w:hint="default"/>
        <w:color w:val="1481AB" w:themeColor="accent1" w:themeShade="BF"/>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7B36AA"/>
    <w:multiLevelType w:val="hybridMultilevel"/>
    <w:tmpl w:val="8A02D568"/>
    <w:lvl w:ilvl="0" w:tplc="A394D0DC">
      <w:start w:val="1"/>
      <w:numFmt w:val="bullet"/>
      <w:lvlText w:val=""/>
      <w:lvlJc w:val="left"/>
      <w:pPr>
        <w:ind w:left="720" w:hanging="360"/>
      </w:pPr>
      <w:rPr>
        <w:rFonts w:ascii="Wingdings" w:hAnsi="Wingdings" w:hint="default"/>
      </w:rPr>
    </w:lvl>
    <w:lvl w:ilvl="1" w:tplc="08EEE16C">
      <w:start w:val="1"/>
      <w:numFmt w:val="bullet"/>
      <w:lvlText w:val="o"/>
      <w:lvlJc w:val="left"/>
      <w:pPr>
        <w:ind w:left="1440" w:hanging="360"/>
      </w:pPr>
      <w:rPr>
        <w:rFonts w:ascii="Courier New" w:hAnsi="Courier New" w:hint="default"/>
      </w:rPr>
    </w:lvl>
    <w:lvl w:ilvl="2" w:tplc="9BF6C31A">
      <w:start w:val="1"/>
      <w:numFmt w:val="bullet"/>
      <w:lvlText w:val=""/>
      <w:lvlJc w:val="left"/>
      <w:pPr>
        <w:ind w:left="2160" w:hanging="360"/>
      </w:pPr>
      <w:rPr>
        <w:rFonts w:ascii="Wingdings" w:hAnsi="Wingdings" w:hint="default"/>
      </w:rPr>
    </w:lvl>
    <w:lvl w:ilvl="3" w:tplc="53F0813C">
      <w:start w:val="1"/>
      <w:numFmt w:val="bullet"/>
      <w:lvlText w:val=""/>
      <w:lvlJc w:val="left"/>
      <w:pPr>
        <w:ind w:left="2880" w:hanging="360"/>
      </w:pPr>
      <w:rPr>
        <w:rFonts w:ascii="Symbol" w:hAnsi="Symbol" w:hint="default"/>
      </w:rPr>
    </w:lvl>
    <w:lvl w:ilvl="4" w:tplc="5B3EDF5A">
      <w:start w:val="1"/>
      <w:numFmt w:val="bullet"/>
      <w:lvlText w:val="o"/>
      <w:lvlJc w:val="left"/>
      <w:pPr>
        <w:ind w:left="3600" w:hanging="360"/>
      </w:pPr>
      <w:rPr>
        <w:rFonts w:ascii="Courier New" w:hAnsi="Courier New" w:hint="default"/>
      </w:rPr>
    </w:lvl>
    <w:lvl w:ilvl="5" w:tplc="324CEC5C">
      <w:start w:val="1"/>
      <w:numFmt w:val="bullet"/>
      <w:lvlText w:val=""/>
      <w:lvlJc w:val="left"/>
      <w:pPr>
        <w:ind w:left="4320" w:hanging="360"/>
      </w:pPr>
      <w:rPr>
        <w:rFonts w:ascii="Wingdings" w:hAnsi="Wingdings" w:hint="default"/>
      </w:rPr>
    </w:lvl>
    <w:lvl w:ilvl="6" w:tplc="240EA8D2">
      <w:start w:val="1"/>
      <w:numFmt w:val="bullet"/>
      <w:lvlText w:val=""/>
      <w:lvlJc w:val="left"/>
      <w:pPr>
        <w:ind w:left="5040" w:hanging="360"/>
      </w:pPr>
      <w:rPr>
        <w:rFonts w:ascii="Symbol" w:hAnsi="Symbol" w:hint="default"/>
      </w:rPr>
    </w:lvl>
    <w:lvl w:ilvl="7" w:tplc="F7F2C24E">
      <w:start w:val="1"/>
      <w:numFmt w:val="bullet"/>
      <w:lvlText w:val="o"/>
      <w:lvlJc w:val="left"/>
      <w:pPr>
        <w:ind w:left="5760" w:hanging="360"/>
      </w:pPr>
      <w:rPr>
        <w:rFonts w:ascii="Courier New" w:hAnsi="Courier New" w:hint="default"/>
      </w:rPr>
    </w:lvl>
    <w:lvl w:ilvl="8" w:tplc="E55C903C">
      <w:start w:val="1"/>
      <w:numFmt w:val="bullet"/>
      <w:lvlText w:val=""/>
      <w:lvlJc w:val="left"/>
      <w:pPr>
        <w:ind w:left="6480" w:hanging="360"/>
      </w:pPr>
      <w:rPr>
        <w:rFonts w:ascii="Wingdings" w:hAnsi="Wingdings" w:hint="default"/>
      </w:rPr>
    </w:lvl>
  </w:abstractNum>
  <w:abstractNum w:abstractNumId="10" w15:restartNumberingAfterBreak="0">
    <w:nsid w:val="16D07075"/>
    <w:multiLevelType w:val="multilevel"/>
    <w:tmpl w:val="5C86EF4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color w:val="1D99A0" w:themeColor="accent3" w:themeShade="BF"/>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7C348DC"/>
    <w:multiLevelType w:val="hybridMultilevel"/>
    <w:tmpl w:val="9438D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883099A"/>
    <w:multiLevelType w:val="hybridMultilevel"/>
    <w:tmpl w:val="0330A9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11F4935"/>
    <w:multiLevelType w:val="multilevel"/>
    <w:tmpl w:val="7DD019B6"/>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4" w15:restartNumberingAfterBreak="0">
    <w:nsid w:val="237C72B0"/>
    <w:multiLevelType w:val="hybridMultilevel"/>
    <w:tmpl w:val="C5B0A304"/>
    <w:lvl w:ilvl="0" w:tplc="7FD48C96">
      <w:start w:val="1"/>
      <w:numFmt w:val="upperRoman"/>
      <w:lvlText w:val="%1."/>
      <w:lvlJc w:val="left"/>
      <w:pPr>
        <w:ind w:left="887" w:hanging="720"/>
      </w:pPr>
      <w:rPr>
        <w:rFonts w:hint="default"/>
        <w:color w:val="1481AB" w:themeColor="accent1" w:themeShade="BF"/>
      </w:rPr>
    </w:lvl>
    <w:lvl w:ilvl="1" w:tplc="280A0019" w:tentative="1">
      <w:start w:val="1"/>
      <w:numFmt w:val="lowerLetter"/>
      <w:lvlText w:val="%2."/>
      <w:lvlJc w:val="left"/>
      <w:pPr>
        <w:ind w:left="1247" w:hanging="360"/>
      </w:pPr>
    </w:lvl>
    <w:lvl w:ilvl="2" w:tplc="280A001B" w:tentative="1">
      <w:start w:val="1"/>
      <w:numFmt w:val="lowerRoman"/>
      <w:lvlText w:val="%3."/>
      <w:lvlJc w:val="right"/>
      <w:pPr>
        <w:ind w:left="1967" w:hanging="180"/>
      </w:pPr>
    </w:lvl>
    <w:lvl w:ilvl="3" w:tplc="280A000F" w:tentative="1">
      <w:start w:val="1"/>
      <w:numFmt w:val="decimal"/>
      <w:lvlText w:val="%4."/>
      <w:lvlJc w:val="left"/>
      <w:pPr>
        <w:ind w:left="2687" w:hanging="360"/>
      </w:pPr>
    </w:lvl>
    <w:lvl w:ilvl="4" w:tplc="280A0019" w:tentative="1">
      <w:start w:val="1"/>
      <w:numFmt w:val="lowerLetter"/>
      <w:lvlText w:val="%5."/>
      <w:lvlJc w:val="left"/>
      <w:pPr>
        <w:ind w:left="3407" w:hanging="360"/>
      </w:pPr>
    </w:lvl>
    <w:lvl w:ilvl="5" w:tplc="280A001B" w:tentative="1">
      <w:start w:val="1"/>
      <w:numFmt w:val="lowerRoman"/>
      <w:lvlText w:val="%6."/>
      <w:lvlJc w:val="right"/>
      <w:pPr>
        <w:ind w:left="4127" w:hanging="180"/>
      </w:pPr>
    </w:lvl>
    <w:lvl w:ilvl="6" w:tplc="280A000F" w:tentative="1">
      <w:start w:val="1"/>
      <w:numFmt w:val="decimal"/>
      <w:lvlText w:val="%7."/>
      <w:lvlJc w:val="left"/>
      <w:pPr>
        <w:ind w:left="4847" w:hanging="360"/>
      </w:pPr>
    </w:lvl>
    <w:lvl w:ilvl="7" w:tplc="280A0019" w:tentative="1">
      <w:start w:val="1"/>
      <w:numFmt w:val="lowerLetter"/>
      <w:lvlText w:val="%8."/>
      <w:lvlJc w:val="left"/>
      <w:pPr>
        <w:ind w:left="5567" w:hanging="360"/>
      </w:pPr>
    </w:lvl>
    <w:lvl w:ilvl="8" w:tplc="280A001B" w:tentative="1">
      <w:start w:val="1"/>
      <w:numFmt w:val="lowerRoman"/>
      <w:lvlText w:val="%9."/>
      <w:lvlJc w:val="right"/>
      <w:pPr>
        <w:ind w:left="6287" w:hanging="180"/>
      </w:pPr>
    </w:lvl>
  </w:abstractNum>
  <w:abstractNum w:abstractNumId="15" w15:restartNumberingAfterBreak="0">
    <w:nsid w:val="242B2F39"/>
    <w:multiLevelType w:val="hybridMultilevel"/>
    <w:tmpl w:val="FFBC79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4B023A4"/>
    <w:multiLevelType w:val="multilevel"/>
    <w:tmpl w:val="039614F4"/>
    <w:lvl w:ilvl="0">
      <w:start w:val="3"/>
      <w:numFmt w:val="decimal"/>
      <w:lvlText w:val="%1."/>
      <w:lvlJc w:val="left"/>
      <w:pPr>
        <w:ind w:left="390" w:hanging="390"/>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7" w15:restartNumberingAfterBreak="0">
    <w:nsid w:val="28881DC2"/>
    <w:multiLevelType w:val="multilevel"/>
    <w:tmpl w:val="6C74217E"/>
    <w:lvl w:ilvl="0">
      <w:start w:val="1"/>
      <w:numFmt w:val="decimal"/>
      <w:lvlText w:val="%1."/>
      <w:lvlJc w:val="left"/>
      <w:pPr>
        <w:ind w:left="720" w:hanging="360"/>
      </w:pPr>
      <w:rPr>
        <w:color w:val="1C6194" w:themeColor="accent2" w:themeShade="B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0570CA"/>
    <w:multiLevelType w:val="hybridMultilevel"/>
    <w:tmpl w:val="AFCA6444"/>
    <w:lvl w:ilvl="0" w:tplc="E2B272AA">
      <w:numFmt w:val="bullet"/>
      <w:lvlText w:val="-"/>
      <w:lvlJc w:val="left"/>
      <w:pPr>
        <w:ind w:left="720" w:hanging="360"/>
      </w:pPr>
      <w:rPr>
        <w:rFonts w:ascii="Arial Narrow" w:eastAsiaTheme="minorEastAsia" w:hAnsi="Arial Narrow" w:cstheme="minorBidi" w:hint="default"/>
        <w:color w:val="74B5E4"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B5777"/>
    <w:multiLevelType w:val="hybridMultilevel"/>
    <w:tmpl w:val="FB3AA2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D4952B9"/>
    <w:multiLevelType w:val="hybridMultilevel"/>
    <w:tmpl w:val="04A6B550"/>
    <w:lvl w:ilvl="0" w:tplc="02CEE878">
      <w:start w:val="1"/>
      <w:numFmt w:val="decimal"/>
      <w:lvlText w:val="%1."/>
      <w:lvlJc w:val="left"/>
      <w:pPr>
        <w:ind w:left="792" w:hanging="360"/>
      </w:pPr>
      <w:rPr>
        <w:rFonts w:hint="default"/>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21" w15:restartNumberingAfterBreak="0">
    <w:nsid w:val="3EFE6215"/>
    <w:multiLevelType w:val="hybridMultilevel"/>
    <w:tmpl w:val="36F4B722"/>
    <w:lvl w:ilvl="0" w:tplc="430A6A2A">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30734E9"/>
    <w:multiLevelType w:val="hybridMultilevel"/>
    <w:tmpl w:val="274E3894"/>
    <w:lvl w:ilvl="0" w:tplc="430A6A2A">
      <w:start w:val="1"/>
      <w:numFmt w:val="bullet"/>
      <w:lvlText w:val="-"/>
      <w:lvlJc w:val="left"/>
      <w:pPr>
        <w:ind w:left="720" w:hanging="360"/>
      </w:pPr>
      <w:rPr>
        <w:rFonts w:ascii="Arial" w:hAnsi="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31D0355"/>
    <w:multiLevelType w:val="hybridMultilevel"/>
    <w:tmpl w:val="F6DA9710"/>
    <w:lvl w:ilvl="0" w:tplc="430A6A2A">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90915D2"/>
    <w:multiLevelType w:val="multilevel"/>
    <w:tmpl w:val="9710E5A0"/>
    <w:lvl w:ilvl="0">
      <w:start w:val="2"/>
      <w:numFmt w:val="decimal"/>
      <w:lvlText w:val="%1."/>
      <w:lvlJc w:val="left"/>
      <w:pPr>
        <w:ind w:left="495" w:hanging="495"/>
      </w:pPr>
      <w:rPr>
        <w:rFonts w:hint="default"/>
      </w:rPr>
    </w:lvl>
    <w:lvl w:ilvl="1">
      <w:start w:val="3"/>
      <w:numFmt w:val="decimal"/>
      <w:lvlText w:val="%1.%2."/>
      <w:lvlJc w:val="left"/>
      <w:pPr>
        <w:ind w:left="817" w:hanging="495"/>
      </w:pPr>
      <w:rPr>
        <w:rFonts w:hint="default"/>
      </w:rPr>
    </w:lvl>
    <w:lvl w:ilvl="2">
      <w:start w:val="1"/>
      <w:numFmt w:val="decimal"/>
      <w:lvlText w:val="%1.%2.%3."/>
      <w:lvlJc w:val="left"/>
      <w:pPr>
        <w:ind w:left="1364" w:hanging="720"/>
      </w:pPr>
      <w:rPr>
        <w:rFonts w:hint="default"/>
        <w:b/>
        <w:bCs/>
        <w:color w:val="1D99A0" w:themeColor="accent3" w:themeShade="BF"/>
        <w:sz w:val="24"/>
        <w:szCs w:val="24"/>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5" w15:restartNumberingAfterBreak="0">
    <w:nsid w:val="4A0D1FCD"/>
    <w:multiLevelType w:val="hybridMultilevel"/>
    <w:tmpl w:val="61B01B3E"/>
    <w:lvl w:ilvl="0" w:tplc="430A6A2A">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4229B5"/>
    <w:multiLevelType w:val="hybridMultilevel"/>
    <w:tmpl w:val="028CF85A"/>
    <w:lvl w:ilvl="0" w:tplc="4566E0F6">
      <w:start w:val="1"/>
      <w:numFmt w:val="decimal"/>
      <w:lvlText w:val="%1"/>
      <w:lvlJc w:val="left"/>
      <w:pPr>
        <w:ind w:left="1152" w:hanging="360"/>
      </w:pPr>
      <w:rPr>
        <w:rFonts w:hint="default"/>
      </w:rPr>
    </w:lvl>
    <w:lvl w:ilvl="1" w:tplc="280A0019">
      <w:start w:val="1"/>
      <w:numFmt w:val="lowerLetter"/>
      <w:lvlText w:val="%2."/>
      <w:lvlJc w:val="left"/>
      <w:pPr>
        <w:ind w:left="1872" w:hanging="360"/>
      </w:pPr>
    </w:lvl>
    <w:lvl w:ilvl="2" w:tplc="280A001B" w:tentative="1">
      <w:start w:val="1"/>
      <w:numFmt w:val="lowerRoman"/>
      <w:lvlText w:val="%3."/>
      <w:lvlJc w:val="right"/>
      <w:pPr>
        <w:ind w:left="2592" w:hanging="180"/>
      </w:pPr>
    </w:lvl>
    <w:lvl w:ilvl="3" w:tplc="280A000F" w:tentative="1">
      <w:start w:val="1"/>
      <w:numFmt w:val="decimal"/>
      <w:lvlText w:val="%4."/>
      <w:lvlJc w:val="left"/>
      <w:pPr>
        <w:ind w:left="3312" w:hanging="360"/>
      </w:pPr>
    </w:lvl>
    <w:lvl w:ilvl="4" w:tplc="280A0019" w:tentative="1">
      <w:start w:val="1"/>
      <w:numFmt w:val="lowerLetter"/>
      <w:lvlText w:val="%5."/>
      <w:lvlJc w:val="left"/>
      <w:pPr>
        <w:ind w:left="4032" w:hanging="360"/>
      </w:pPr>
    </w:lvl>
    <w:lvl w:ilvl="5" w:tplc="280A001B" w:tentative="1">
      <w:start w:val="1"/>
      <w:numFmt w:val="lowerRoman"/>
      <w:lvlText w:val="%6."/>
      <w:lvlJc w:val="right"/>
      <w:pPr>
        <w:ind w:left="4752" w:hanging="180"/>
      </w:pPr>
    </w:lvl>
    <w:lvl w:ilvl="6" w:tplc="280A000F" w:tentative="1">
      <w:start w:val="1"/>
      <w:numFmt w:val="decimal"/>
      <w:lvlText w:val="%7."/>
      <w:lvlJc w:val="left"/>
      <w:pPr>
        <w:ind w:left="5472" w:hanging="360"/>
      </w:pPr>
    </w:lvl>
    <w:lvl w:ilvl="7" w:tplc="280A0019" w:tentative="1">
      <w:start w:val="1"/>
      <w:numFmt w:val="lowerLetter"/>
      <w:lvlText w:val="%8."/>
      <w:lvlJc w:val="left"/>
      <w:pPr>
        <w:ind w:left="6192" w:hanging="360"/>
      </w:pPr>
    </w:lvl>
    <w:lvl w:ilvl="8" w:tplc="280A001B" w:tentative="1">
      <w:start w:val="1"/>
      <w:numFmt w:val="lowerRoman"/>
      <w:lvlText w:val="%9."/>
      <w:lvlJc w:val="right"/>
      <w:pPr>
        <w:ind w:left="6912" w:hanging="180"/>
      </w:pPr>
    </w:lvl>
  </w:abstractNum>
  <w:abstractNum w:abstractNumId="27" w15:restartNumberingAfterBreak="0">
    <w:nsid w:val="58590AFD"/>
    <w:multiLevelType w:val="hybridMultilevel"/>
    <w:tmpl w:val="7E5ABEA8"/>
    <w:lvl w:ilvl="0" w:tplc="430A6A2A">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3E4602"/>
    <w:multiLevelType w:val="hybridMultilevel"/>
    <w:tmpl w:val="652002BC"/>
    <w:lvl w:ilvl="0" w:tplc="2B502742">
      <w:start w:val="1"/>
      <w:numFmt w:val="upperRoman"/>
      <w:lvlText w:val="%1."/>
      <w:lvlJc w:val="left"/>
      <w:pPr>
        <w:ind w:left="1080" w:hanging="720"/>
      </w:pPr>
      <w:rPr>
        <w:rFonts w:hint="default"/>
        <w:color w:val="1481AB" w:themeColor="accent1" w:themeShade="BF"/>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A524CAC"/>
    <w:multiLevelType w:val="multilevel"/>
    <w:tmpl w:val="700625B0"/>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C263090"/>
    <w:multiLevelType w:val="multilevel"/>
    <w:tmpl w:val="25267E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1D99A0" w:themeColor="accent3" w:themeShade="BF"/>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1E4CFB"/>
    <w:multiLevelType w:val="hybridMultilevel"/>
    <w:tmpl w:val="15A6D546"/>
    <w:lvl w:ilvl="0" w:tplc="F72AD154">
      <w:start w:val="1"/>
      <w:numFmt w:val="bullet"/>
      <w:lvlText w:val="-"/>
      <w:lvlJc w:val="left"/>
      <w:pPr>
        <w:ind w:left="720" w:hanging="360"/>
      </w:pPr>
      <w:rPr>
        <w:rFonts w:ascii="Arial Narrow" w:eastAsiaTheme="minorEastAsia"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7"/>
  </w:num>
  <w:num w:numId="5">
    <w:abstractNumId w:val="30"/>
  </w:num>
  <w:num w:numId="6">
    <w:abstractNumId w:val="7"/>
  </w:num>
  <w:num w:numId="7">
    <w:abstractNumId w:val="28"/>
  </w:num>
  <w:num w:numId="8">
    <w:abstractNumId w:val="14"/>
  </w:num>
  <w:num w:numId="9">
    <w:abstractNumId w:val="8"/>
  </w:num>
  <w:num w:numId="10">
    <w:abstractNumId w:val="31"/>
  </w:num>
  <w:num w:numId="11">
    <w:abstractNumId w:val="18"/>
  </w:num>
  <w:num w:numId="12">
    <w:abstractNumId w:val="10"/>
  </w:num>
  <w:num w:numId="13">
    <w:abstractNumId w:val="13"/>
  </w:num>
  <w:num w:numId="14">
    <w:abstractNumId w:val="29"/>
  </w:num>
  <w:num w:numId="15">
    <w:abstractNumId w:val="1"/>
  </w:num>
  <w:num w:numId="16">
    <w:abstractNumId w:val="16"/>
  </w:num>
  <w:num w:numId="17">
    <w:abstractNumId w:val="24"/>
  </w:num>
  <w:num w:numId="18">
    <w:abstractNumId w:val="2"/>
  </w:num>
  <w:num w:numId="19">
    <w:abstractNumId w:val="4"/>
  </w:num>
  <w:num w:numId="20">
    <w:abstractNumId w:val="20"/>
  </w:num>
  <w:num w:numId="21">
    <w:abstractNumId w:val="26"/>
  </w:num>
  <w:num w:numId="22">
    <w:abstractNumId w:val="6"/>
  </w:num>
  <w:num w:numId="23">
    <w:abstractNumId w:val="15"/>
  </w:num>
  <w:num w:numId="24">
    <w:abstractNumId w:val="0"/>
  </w:num>
  <w:num w:numId="25">
    <w:abstractNumId w:val="12"/>
  </w:num>
  <w:num w:numId="26">
    <w:abstractNumId w:val="19"/>
  </w:num>
  <w:num w:numId="27">
    <w:abstractNumId w:val="22"/>
  </w:num>
  <w:num w:numId="28">
    <w:abstractNumId w:val="11"/>
  </w:num>
  <w:num w:numId="29">
    <w:abstractNumId w:val="23"/>
  </w:num>
  <w:num w:numId="30">
    <w:abstractNumId w:val="21"/>
  </w:num>
  <w:num w:numId="31">
    <w:abstractNumId w:val="25"/>
  </w:num>
  <w:num w:numId="3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7D"/>
    <w:rsid w:val="000023F6"/>
    <w:rsid w:val="00017D00"/>
    <w:rsid w:val="00035EA7"/>
    <w:rsid w:val="00037A7F"/>
    <w:rsid w:val="000408D2"/>
    <w:rsid w:val="00042BB5"/>
    <w:rsid w:val="00056A4D"/>
    <w:rsid w:val="000609F4"/>
    <w:rsid w:val="00097E0F"/>
    <w:rsid w:val="000B1264"/>
    <w:rsid w:val="000B5D57"/>
    <w:rsid w:val="000E1E46"/>
    <w:rsid w:val="000E365D"/>
    <w:rsid w:val="000E3EEC"/>
    <w:rsid w:val="000E6245"/>
    <w:rsid w:val="000F377D"/>
    <w:rsid w:val="000F38A1"/>
    <w:rsid w:val="001070D6"/>
    <w:rsid w:val="00112958"/>
    <w:rsid w:val="00121C38"/>
    <w:rsid w:val="00132763"/>
    <w:rsid w:val="0013347F"/>
    <w:rsid w:val="00135E2C"/>
    <w:rsid w:val="0013763D"/>
    <w:rsid w:val="00147A7F"/>
    <w:rsid w:val="001621E7"/>
    <w:rsid w:val="00176361"/>
    <w:rsid w:val="0017719E"/>
    <w:rsid w:val="00182B35"/>
    <w:rsid w:val="001934B8"/>
    <w:rsid w:val="00194D6E"/>
    <w:rsid w:val="0019614A"/>
    <w:rsid w:val="001973A1"/>
    <w:rsid w:val="001A7732"/>
    <w:rsid w:val="001C1637"/>
    <w:rsid w:val="001C164B"/>
    <w:rsid w:val="001D44B9"/>
    <w:rsid w:val="001E167E"/>
    <w:rsid w:val="001E39E3"/>
    <w:rsid w:val="00205578"/>
    <w:rsid w:val="00211040"/>
    <w:rsid w:val="002250AA"/>
    <w:rsid w:val="0022775C"/>
    <w:rsid w:val="002315D5"/>
    <w:rsid w:val="00231F8D"/>
    <w:rsid w:val="002351D0"/>
    <w:rsid w:val="00236AD9"/>
    <w:rsid w:val="002475D7"/>
    <w:rsid w:val="00262862"/>
    <w:rsid w:val="00287DC3"/>
    <w:rsid w:val="0029426C"/>
    <w:rsid w:val="00294350"/>
    <w:rsid w:val="00297D12"/>
    <w:rsid w:val="002B0806"/>
    <w:rsid w:val="002C32E1"/>
    <w:rsid w:val="002D22C9"/>
    <w:rsid w:val="002F23CB"/>
    <w:rsid w:val="002F7CE9"/>
    <w:rsid w:val="003060C3"/>
    <w:rsid w:val="00311059"/>
    <w:rsid w:val="00326F45"/>
    <w:rsid w:val="00334F41"/>
    <w:rsid w:val="00351E81"/>
    <w:rsid w:val="00382BEB"/>
    <w:rsid w:val="003A3650"/>
    <w:rsid w:val="003A39A5"/>
    <w:rsid w:val="003C532C"/>
    <w:rsid w:val="003D546A"/>
    <w:rsid w:val="003F5D44"/>
    <w:rsid w:val="003F5F6E"/>
    <w:rsid w:val="00411255"/>
    <w:rsid w:val="0044158E"/>
    <w:rsid w:val="0044363A"/>
    <w:rsid w:val="00455586"/>
    <w:rsid w:val="0047165C"/>
    <w:rsid w:val="00471D80"/>
    <w:rsid w:val="004738ED"/>
    <w:rsid w:val="00497676"/>
    <w:rsid w:val="004B0AD4"/>
    <w:rsid w:val="004B366E"/>
    <w:rsid w:val="004B4240"/>
    <w:rsid w:val="004C0F64"/>
    <w:rsid w:val="004C0FDE"/>
    <w:rsid w:val="004C5696"/>
    <w:rsid w:val="004C731A"/>
    <w:rsid w:val="004F0E92"/>
    <w:rsid w:val="004F79DC"/>
    <w:rsid w:val="005046BA"/>
    <w:rsid w:val="00514B8C"/>
    <w:rsid w:val="00522158"/>
    <w:rsid w:val="00524ABC"/>
    <w:rsid w:val="00546662"/>
    <w:rsid w:val="00556B35"/>
    <w:rsid w:val="00563E6C"/>
    <w:rsid w:val="005747D9"/>
    <w:rsid w:val="005820A3"/>
    <w:rsid w:val="005A3635"/>
    <w:rsid w:val="005F51BB"/>
    <w:rsid w:val="005F54AB"/>
    <w:rsid w:val="005F5FDF"/>
    <w:rsid w:val="006044FF"/>
    <w:rsid w:val="00632853"/>
    <w:rsid w:val="00633D0B"/>
    <w:rsid w:val="00645579"/>
    <w:rsid w:val="00653E98"/>
    <w:rsid w:val="00670792"/>
    <w:rsid w:val="0067183F"/>
    <w:rsid w:val="00685330"/>
    <w:rsid w:val="00697D64"/>
    <w:rsid w:val="006B67D2"/>
    <w:rsid w:val="006C2AF2"/>
    <w:rsid w:val="006D580A"/>
    <w:rsid w:val="00702643"/>
    <w:rsid w:val="0071195B"/>
    <w:rsid w:val="00715F11"/>
    <w:rsid w:val="00724738"/>
    <w:rsid w:val="00732FC6"/>
    <w:rsid w:val="00741EA3"/>
    <w:rsid w:val="00755EB5"/>
    <w:rsid w:val="00767C48"/>
    <w:rsid w:val="0078468A"/>
    <w:rsid w:val="0079341D"/>
    <w:rsid w:val="007B37E5"/>
    <w:rsid w:val="007C793C"/>
    <w:rsid w:val="007D36E9"/>
    <w:rsid w:val="007D3F0E"/>
    <w:rsid w:val="007F3507"/>
    <w:rsid w:val="007F5501"/>
    <w:rsid w:val="00833DC5"/>
    <w:rsid w:val="008353D4"/>
    <w:rsid w:val="00836051"/>
    <w:rsid w:val="00885E30"/>
    <w:rsid w:val="00892C02"/>
    <w:rsid w:val="00893A3C"/>
    <w:rsid w:val="00894FA3"/>
    <w:rsid w:val="008A4D61"/>
    <w:rsid w:val="008A5684"/>
    <w:rsid w:val="008B3E6E"/>
    <w:rsid w:val="008C0891"/>
    <w:rsid w:val="008C4891"/>
    <w:rsid w:val="008E4568"/>
    <w:rsid w:val="008E6ADD"/>
    <w:rsid w:val="008F7EB4"/>
    <w:rsid w:val="00903232"/>
    <w:rsid w:val="0092714F"/>
    <w:rsid w:val="009308C9"/>
    <w:rsid w:val="0093180F"/>
    <w:rsid w:val="00943592"/>
    <w:rsid w:val="00965EA8"/>
    <w:rsid w:val="0098299D"/>
    <w:rsid w:val="00986645"/>
    <w:rsid w:val="00987FA3"/>
    <w:rsid w:val="009935DD"/>
    <w:rsid w:val="009E1BB6"/>
    <w:rsid w:val="009E44E4"/>
    <w:rsid w:val="009E5F03"/>
    <w:rsid w:val="009F187E"/>
    <w:rsid w:val="009F3D8F"/>
    <w:rsid w:val="009F4B29"/>
    <w:rsid w:val="009F5FEB"/>
    <w:rsid w:val="00A038B2"/>
    <w:rsid w:val="00A25316"/>
    <w:rsid w:val="00A25EB2"/>
    <w:rsid w:val="00A313D8"/>
    <w:rsid w:val="00A31655"/>
    <w:rsid w:val="00A40BC8"/>
    <w:rsid w:val="00A502DB"/>
    <w:rsid w:val="00A62A28"/>
    <w:rsid w:val="00A75B95"/>
    <w:rsid w:val="00A77A23"/>
    <w:rsid w:val="00A92BF3"/>
    <w:rsid w:val="00AA40B4"/>
    <w:rsid w:val="00AB0829"/>
    <w:rsid w:val="00AB46BB"/>
    <w:rsid w:val="00AD4B13"/>
    <w:rsid w:val="00AD5959"/>
    <w:rsid w:val="00B115EA"/>
    <w:rsid w:val="00B17B73"/>
    <w:rsid w:val="00B21284"/>
    <w:rsid w:val="00B41BC2"/>
    <w:rsid w:val="00B54B17"/>
    <w:rsid w:val="00B60BE7"/>
    <w:rsid w:val="00B7203C"/>
    <w:rsid w:val="00B8181D"/>
    <w:rsid w:val="00B8569C"/>
    <w:rsid w:val="00B95979"/>
    <w:rsid w:val="00BA0A43"/>
    <w:rsid w:val="00BA188C"/>
    <w:rsid w:val="00BA2C22"/>
    <w:rsid w:val="00BE2BD4"/>
    <w:rsid w:val="00BF2825"/>
    <w:rsid w:val="00BF79AA"/>
    <w:rsid w:val="00C00599"/>
    <w:rsid w:val="00C06E37"/>
    <w:rsid w:val="00C12013"/>
    <w:rsid w:val="00C250FC"/>
    <w:rsid w:val="00C2736E"/>
    <w:rsid w:val="00C30ECD"/>
    <w:rsid w:val="00C505F1"/>
    <w:rsid w:val="00C712B6"/>
    <w:rsid w:val="00C90F9D"/>
    <w:rsid w:val="00C90FF7"/>
    <w:rsid w:val="00CB5B2D"/>
    <w:rsid w:val="00CB646D"/>
    <w:rsid w:val="00CF26BE"/>
    <w:rsid w:val="00CF64B7"/>
    <w:rsid w:val="00D025AB"/>
    <w:rsid w:val="00D04F30"/>
    <w:rsid w:val="00D05B86"/>
    <w:rsid w:val="00D06460"/>
    <w:rsid w:val="00D13711"/>
    <w:rsid w:val="00D15C8B"/>
    <w:rsid w:val="00D3178A"/>
    <w:rsid w:val="00D37FB7"/>
    <w:rsid w:val="00D40D56"/>
    <w:rsid w:val="00D45A25"/>
    <w:rsid w:val="00D462C0"/>
    <w:rsid w:val="00D50012"/>
    <w:rsid w:val="00D51BA6"/>
    <w:rsid w:val="00D7434E"/>
    <w:rsid w:val="00D76E01"/>
    <w:rsid w:val="00D804A9"/>
    <w:rsid w:val="00D815F5"/>
    <w:rsid w:val="00D948A7"/>
    <w:rsid w:val="00DC3DDF"/>
    <w:rsid w:val="00DC784D"/>
    <w:rsid w:val="00DD202F"/>
    <w:rsid w:val="00DD3DE7"/>
    <w:rsid w:val="00E14279"/>
    <w:rsid w:val="00E14FE1"/>
    <w:rsid w:val="00E15FE0"/>
    <w:rsid w:val="00E169C3"/>
    <w:rsid w:val="00E176DF"/>
    <w:rsid w:val="00E2173D"/>
    <w:rsid w:val="00E23B9E"/>
    <w:rsid w:val="00E314B0"/>
    <w:rsid w:val="00E449BB"/>
    <w:rsid w:val="00E7318A"/>
    <w:rsid w:val="00EA0CF3"/>
    <w:rsid w:val="00EC725E"/>
    <w:rsid w:val="00EC768E"/>
    <w:rsid w:val="00ED1681"/>
    <w:rsid w:val="00EE0500"/>
    <w:rsid w:val="00EE7306"/>
    <w:rsid w:val="00EF0D11"/>
    <w:rsid w:val="00EF9E90"/>
    <w:rsid w:val="00F23D5C"/>
    <w:rsid w:val="00F35EF4"/>
    <w:rsid w:val="00F53815"/>
    <w:rsid w:val="00F609E7"/>
    <w:rsid w:val="00F61F4E"/>
    <w:rsid w:val="00F75226"/>
    <w:rsid w:val="00F84DE1"/>
    <w:rsid w:val="00F86327"/>
    <w:rsid w:val="00F86C8F"/>
    <w:rsid w:val="00FA0E11"/>
    <w:rsid w:val="00FB009F"/>
    <w:rsid w:val="00FD2E8D"/>
    <w:rsid w:val="00FD59FE"/>
    <w:rsid w:val="0308DF30"/>
    <w:rsid w:val="0565EC48"/>
    <w:rsid w:val="0637E779"/>
    <w:rsid w:val="07854D10"/>
    <w:rsid w:val="0B5358CF"/>
    <w:rsid w:val="0DCC8F56"/>
    <w:rsid w:val="0F795FAF"/>
    <w:rsid w:val="1121A467"/>
    <w:rsid w:val="125941FF"/>
    <w:rsid w:val="148355C9"/>
    <w:rsid w:val="1728641E"/>
    <w:rsid w:val="19071998"/>
    <w:rsid w:val="1A57981C"/>
    <w:rsid w:val="1BEB184A"/>
    <w:rsid w:val="1D252316"/>
    <w:rsid w:val="1D86E8AB"/>
    <w:rsid w:val="1E090AFD"/>
    <w:rsid w:val="1ED56092"/>
    <w:rsid w:val="1FDEE951"/>
    <w:rsid w:val="2001CEF6"/>
    <w:rsid w:val="201A3EB7"/>
    <w:rsid w:val="2802A05B"/>
    <w:rsid w:val="28AB57EC"/>
    <w:rsid w:val="29B941E3"/>
    <w:rsid w:val="2B117530"/>
    <w:rsid w:val="2D6A4EDB"/>
    <w:rsid w:val="2E4F4E18"/>
    <w:rsid w:val="2FAE702A"/>
    <w:rsid w:val="301B9E3E"/>
    <w:rsid w:val="30F0DBFF"/>
    <w:rsid w:val="316F8157"/>
    <w:rsid w:val="33B32EC1"/>
    <w:rsid w:val="33D4A337"/>
    <w:rsid w:val="33F0CB14"/>
    <w:rsid w:val="34143B7F"/>
    <w:rsid w:val="3625015A"/>
    <w:rsid w:val="371A6EFE"/>
    <w:rsid w:val="37A4DB26"/>
    <w:rsid w:val="393E430F"/>
    <w:rsid w:val="3CABCB17"/>
    <w:rsid w:val="41ADC461"/>
    <w:rsid w:val="43097E81"/>
    <w:rsid w:val="44D9F306"/>
    <w:rsid w:val="483C9AA1"/>
    <w:rsid w:val="4883B34C"/>
    <w:rsid w:val="4E92B3C8"/>
    <w:rsid w:val="51CA548A"/>
    <w:rsid w:val="52A4FC7B"/>
    <w:rsid w:val="52A5286C"/>
    <w:rsid w:val="57514C76"/>
    <w:rsid w:val="576FC7D0"/>
    <w:rsid w:val="5A88ED38"/>
    <w:rsid w:val="5B7B0094"/>
    <w:rsid w:val="5C90FDB1"/>
    <w:rsid w:val="5F20EA09"/>
    <w:rsid w:val="5FD103BF"/>
    <w:rsid w:val="69A25324"/>
    <w:rsid w:val="7042D34B"/>
    <w:rsid w:val="78A0919C"/>
    <w:rsid w:val="79A5561A"/>
    <w:rsid w:val="7C56A376"/>
    <w:rsid w:val="7CF22DC2"/>
    <w:rsid w:val="7CF7A5E6"/>
    <w:rsid w:val="7F4131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78CF"/>
  <w15:docId w15:val="{C5938628-0CBC-4573-BC0A-5C87FB94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1E7"/>
  </w:style>
  <w:style w:type="paragraph" w:styleId="Ttulo1">
    <w:name w:val="heading 1"/>
    <w:basedOn w:val="Normal"/>
    <w:next w:val="Normal"/>
    <w:link w:val="Ttulo1Car"/>
    <w:uiPriority w:val="9"/>
    <w:qFormat/>
    <w:rsid w:val="0022775C"/>
    <w:pPr>
      <w:keepNext/>
      <w:keepLines/>
      <w:numPr>
        <w:numId w:val="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22775C"/>
    <w:pPr>
      <w:keepNext/>
      <w:keepLines/>
      <w:numPr>
        <w:ilvl w:val="1"/>
        <w:numId w:val="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unhideWhenUsed/>
    <w:qFormat/>
    <w:rsid w:val="0022775C"/>
    <w:pPr>
      <w:keepNext/>
      <w:keepLines/>
      <w:numPr>
        <w:ilvl w:val="2"/>
        <w:numId w:val="6"/>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unhideWhenUsed/>
    <w:qFormat/>
    <w:rsid w:val="0022775C"/>
    <w:pPr>
      <w:keepNext/>
      <w:keepLines/>
      <w:numPr>
        <w:ilvl w:val="3"/>
        <w:numId w:val="6"/>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unhideWhenUsed/>
    <w:qFormat/>
    <w:rsid w:val="0022775C"/>
    <w:pPr>
      <w:keepNext/>
      <w:keepLines/>
      <w:numPr>
        <w:ilvl w:val="4"/>
        <w:numId w:val="6"/>
      </w:numPr>
      <w:spacing w:before="200" w:after="0"/>
      <w:outlineLvl w:val="4"/>
    </w:pPr>
    <w:rPr>
      <w:rFonts w:asciiTheme="majorHAnsi" w:eastAsiaTheme="majorEastAsia" w:hAnsiTheme="majorHAnsi" w:cstheme="majorBidi"/>
      <w:color w:val="264356" w:themeColor="text2" w:themeShade="BF"/>
    </w:rPr>
  </w:style>
  <w:style w:type="paragraph" w:styleId="Ttulo6">
    <w:name w:val="heading 6"/>
    <w:basedOn w:val="Normal"/>
    <w:next w:val="Normal"/>
    <w:link w:val="Ttulo6Car"/>
    <w:uiPriority w:val="9"/>
    <w:unhideWhenUsed/>
    <w:qFormat/>
    <w:rsid w:val="0022775C"/>
    <w:pPr>
      <w:keepNext/>
      <w:keepLines/>
      <w:numPr>
        <w:ilvl w:val="5"/>
        <w:numId w:val="6"/>
      </w:numPr>
      <w:spacing w:before="200" w:after="0"/>
      <w:outlineLvl w:val="5"/>
    </w:pPr>
    <w:rPr>
      <w:rFonts w:asciiTheme="majorHAnsi" w:eastAsiaTheme="majorEastAsia" w:hAnsiTheme="majorHAnsi" w:cstheme="majorBidi"/>
      <w:i/>
      <w:iCs/>
      <w:color w:val="264356" w:themeColor="text2" w:themeShade="BF"/>
    </w:rPr>
  </w:style>
  <w:style w:type="paragraph" w:styleId="Ttulo7">
    <w:name w:val="heading 7"/>
    <w:basedOn w:val="Normal"/>
    <w:next w:val="Normal"/>
    <w:link w:val="Ttulo7Car"/>
    <w:uiPriority w:val="9"/>
    <w:semiHidden/>
    <w:unhideWhenUsed/>
    <w:qFormat/>
    <w:rsid w:val="0022775C"/>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2775C"/>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2775C"/>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2775C"/>
    <w:pPr>
      <w:spacing w:after="0" w:line="240" w:lineRule="auto"/>
      <w:contextualSpacing/>
    </w:pPr>
    <w:rPr>
      <w:rFonts w:asciiTheme="majorHAnsi" w:eastAsiaTheme="majorEastAsia" w:hAnsiTheme="majorHAnsi" w:cstheme="majorBidi"/>
      <w:color w:val="000000" w:themeColor="text1"/>
      <w:sz w:val="56"/>
      <w:szCs w:val="56"/>
    </w:rPr>
  </w:style>
  <w:style w:type="paragraph" w:styleId="Prrafodelista">
    <w:name w:val="List Paragraph"/>
    <w:aliases w:val="Bulleted List,Fundamentacion,Cita Pie de Página,titulo,Iz - Párrafo de lista,Sivsa Parrafo,Titulo de Fígura,Párrafo Normal,Lista 123,Lista vistosa - Énfasis 11,titulo 5,MAPA,Viñeta,TITULO A,Cuadro 2-1,paul2,SubPárrafo de lista,Footnote"/>
    <w:basedOn w:val="Normal"/>
    <w:link w:val="PrrafodelistaCar"/>
    <w:uiPriority w:val="34"/>
    <w:qFormat/>
    <w:rsid w:val="005B565A"/>
    <w:pPr>
      <w:ind w:left="720"/>
      <w:contextualSpacing/>
    </w:pPr>
  </w:style>
  <w:style w:type="character" w:customStyle="1" w:styleId="PrrafodelistaCar">
    <w:name w:val="Párrafo de lista Car"/>
    <w:aliases w:val="Bulleted List Car,Fundamentacion Car,Cita Pie de Página Car,titulo Car,Iz - Párrafo de lista Car,Sivsa Parrafo Car,Titulo de Fígura Car,Párrafo Normal Car,Lista 123 Car,Lista vistosa - Énfasis 11 Car,titulo 5 Car,MAPA Car,Viñeta Car"/>
    <w:basedOn w:val="Fuentedeprrafopredeter"/>
    <w:link w:val="Prrafodelista"/>
    <w:uiPriority w:val="34"/>
    <w:locked/>
    <w:rsid w:val="00FE23B5"/>
  </w:style>
  <w:style w:type="paragraph" w:styleId="Textonotapie">
    <w:name w:val="footnote text"/>
    <w:basedOn w:val="Normal"/>
    <w:link w:val="TextonotapieCar"/>
    <w:uiPriority w:val="99"/>
    <w:unhideWhenUsed/>
    <w:rsid w:val="00FE23B5"/>
    <w:pPr>
      <w:spacing w:after="0" w:line="240" w:lineRule="auto"/>
      <w:ind w:left="284"/>
      <w:jc w:val="both"/>
    </w:pPr>
    <w:rPr>
      <w:rFonts w:asciiTheme="majorHAnsi" w:hAnsiTheme="majorHAnsi" w:cstheme="majorHAnsi"/>
      <w:sz w:val="20"/>
      <w:szCs w:val="20"/>
    </w:rPr>
  </w:style>
  <w:style w:type="character" w:customStyle="1" w:styleId="TextonotapieCar">
    <w:name w:val="Texto nota pie Car"/>
    <w:basedOn w:val="Fuentedeprrafopredeter"/>
    <w:link w:val="Textonotapie"/>
    <w:uiPriority w:val="99"/>
    <w:qFormat/>
    <w:rsid w:val="00FE23B5"/>
    <w:rPr>
      <w:rFonts w:asciiTheme="majorHAnsi" w:hAnsiTheme="majorHAnsi" w:cstheme="majorHAnsi"/>
      <w:sz w:val="20"/>
      <w:szCs w:val="20"/>
    </w:rPr>
  </w:style>
  <w:style w:type="character" w:styleId="Refdenotaalpie">
    <w:name w:val="footnote reference"/>
    <w:basedOn w:val="Fuentedeprrafopredeter"/>
    <w:uiPriority w:val="99"/>
    <w:semiHidden/>
    <w:unhideWhenUsed/>
    <w:rsid w:val="00FE23B5"/>
    <w:rPr>
      <w:vertAlign w:val="superscript"/>
    </w:rPr>
  </w:style>
  <w:style w:type="paragraph" w:styleId="Subttulo">
    <w:name w:val="Subtitle"/>
    <w:basedOn w:val="Normal"/>
    <w:next w:val="Normal"/>
    <w:link w:val="SubttuloCar"/>
    <w:uiPriority w:val="11"/>
    <w:qFormat/>
    <w:rsid w:val="0022775C"/>
    <w:pPr>
      <w:numPr>
        <w:ilvl w:val="1"/>
      </w:numPr>
    </w:pPr>
    <w:rPr>
      <w:color w:val="5A5A5A" w:themeColor="text1" w:themeTint="A5"/>
      <w:spacing w:val="1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4B4240"/>
    <w:rPr>
      <w:sz w:val="16"/>
      <w:szCs w:val="16"/>
    </w:rPr>
  </w:style>
  <w:style w:type="paragraph" w:styleId="Textocomentario">
    <w:name w:val="annotation text"/>
    <w:basedOn w:val="Normal"/>
    <w:link w:val="TextocomentarioCar"/>
    <w:uiPriority w:val="99"/>
    <w:unhideWhenUsed/>
    <w:rsid w:val="004B4240"/>
    <w:pPr>
      <w:spacing w:line="240" w:lineRule="auto"/>
    </w:pPr>
    <w:rPr>
      <w:sz w:val="20"/>
      <w:szCs w:val="20"/>
    </w:rPr>
  </w:style>
  <w:style w:type="character" w:customStyle="1" w:styleId="TextocomentarioCar">
    <w:name w:val="Texto comentario Car"/>
    <w:basedOn w:val="Fuentedeprrafopredeter"/>
    <w:link w:val="Textocomentario"/>
    <w:uiPriority w:val="99"/>
    <w:rsid w:val="004B4240"/>
    <w:rPr>
      <w:sz w:val="20"/>
      <w:szCs w:val="20"/>
    </w:rPr>
  </w:style>
  <w:style w:type="paragraph" w:styleId="Asuntodelcomentario">
    <w:name w:val="annotation subject"/>
    <w:basedOn w:val="Textocomentario"/>
    <w:next w:val="Textocomentario"/>
    <w:link w:val="AsuntodelcomentarioCar"/>
    <w:uiPriority w:val="99"/>
    <w:semiHidden/>
    <w:unhideWhenUsed/>
    <w:rsid w:val="004B4240"/>
    <w:rPr>
      <w:b/>
      <w:bCs/>
    </w:rPr>
  </w:style>
  <w:style w:type="character" w:customStyle="1" w:styleId="AsuntodelcomentarioCar">
    <w:name w:val="Asunto del comentario Car"/>
    <w:basedOn w:val="TextocomentarioCar"/>
    <w:link w:val="Asuntodelcomentario"/>
    <w:uiPriority w:val="99"/>
    <w:semiHidden/>
    <w:rsid w:val="004B4240"/>
    <w:rPr>
      <w:b/>
      <w:bCs/>
      <w:sz w:val="20"/>
      <w:szCs w:val="20"/>
    </w:rPr>
  </w:style>
  <w:style w:type="paragraph" w:styleId="Textodeglobo">
    <w:name w:val="Balloon Text"/>
    <w:basedOn w:val="Normal"/>
    <w:link w:val="TextodegloboCar"/>
    <w:uiPriority w:val="99"/>
    <w:semiHidden/>
    <w:unhideWhenUsed/>
    <w:rsid w:val="004B42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240"/>
    <w:rPr>
      <w:rFonts w:ascii="Segoe UI" w:hAnsi="Segoe UI" w:cs="Segoe UI"/>
      <w:sz w:val="18"/>
      <w:szCs w:val="18"/>
    </w:rPr>
  </w:style>
  <w:style w:type="character" w:customStyle="1" w:styleId="Ttulo1Car">
    <w:name w:val="Título 1 Car"/>
    <w:basedOn w:val="Fuentedeprrafopredeter"/>
    <w:link w:val="Ttulo1"/>
    <w:uiPriority w:val="9"/>
    <w:rsid w:val="0022775C"/>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22775C"/>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rsid w:val="0022775C"/>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rsid w:val="0022775C"/>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rsid w:val="0022775C"/>
    <w:rPr>
      <w:rFonts w:asciiTheme="majorHAnsi" w:eastAsiaTheme="majorEastAsia" w:hAnsiTheme="majorHAnsi" w:cstheme="majorBidi"/>
      <w:color w:val="264356" w:themeColor="text2" w:themeShade="BF"/>
    </w:rPr>
  </w:style>
  <w:style w:type="character" w:customStyle="1" w:styleId="Ttulo6Car">
    <w:name w:val="Título 6 Car"/>
    <w:basedOn w:val="Fuentedeprrafopredeter"/>
    <w:link w:val="Ttulo6"/>
    <w:uiPriority w:val="9"/>
    <w:rsid w:val="0022775C"/>
    <w:rPr>
      <w:rFonts w:asciiTheme="majorHAnsi" w:eastAsiaTheme="majorEastAsia" w:hAnsiTheme="majorHAnsi" w:cstheme="majorBidi"/>
      <w:i/>
      <w:iCs/>
      <w:color w:val="264356" w:themeColor="text2" w:themeShade="BF"/>
    </w:rPr>
  </w:style>
  <w:style w:type="character" w:customStyle="1" w:styleId="Ttulo7Car">
    <w:name w:val="Título 7 Car"/>
    <w:basedOn w:val="Fuentedeprrafopredeter"/>
    <w:link w:val="Ttulo7"/>
    <w:uiPriority w:val="9"/>
    <w:semiHidden/>
    <w:rsid w:val="0022775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2775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2775C"/>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22775C"/>
    <w:pPr>
      <w:spacing w:after="200" w:line="240" w:lineRule="auto"/>
    </w:pPr>
    <w:rPr>
      <w:i/>
      <w:iCs/>
      <w:color w:val="335B74" w:themeColor="text2"/>
      <w:sz w:val="18"/>
      <w:szCs w:val="18"/>
    </w:rPr>
  </w:style>
  <w:style w:type="character" w:customStyle="1" w:styleId="TtuloCar">
    <w:name w:val="Título Car"/>
    <w:basedOn w:val="Fuentedeprrafopredeter"/>
    <w:link w:val="Ttulo"/>
    <w:uiPriority w:val="10"/>
    <w:rsid w:val="0022775C"/>
    <w:rPr>
      <w:rFonts w:asciiTheme="majorHAnsi" w:eastAsiaTheme="majorEastAsia" w:hAnsiTheme="majorHAnsi" w:cstheme="majorBidi"/>
      <w:color w:val="000000" w:themeColor="text1"/>
      <w:sz w:val="56"/>
      <w:szCs w:val="56"/>
    </w:rPr>
  </w:style>
  <w:style w:type="character" w:customStyle="1" w:styleId="SubttuloCar">
    <w:name w:val="Subtítulo Car"/>
    <w:basedOn w:val="Fuentedeprrafopredeter"/>
    <w:link w:val="Subttulo"/>
    <w:uiPriority w:val="11"/>
    <w:rsid w:val="0022775C"/>
    <w:rPr>
      <w:color w:val="5A5A5A" w:themeColor="text1" w:themeTint="A5"/>
      <w:spacing w:val="10"/>
    </w:rPr>
  </w:style>
  <w:style w:type="character" w:styleId="Textoennegrita">
    <w:name w:val="Strong"/>
    <w:basedOn w:val="Fuentedeprrafopredeter"/>
    <w:uiPriority w:val="22"/>
    <w:qFormat/>
    <w:rsid w:val="0022775C"/>
    <w:rPr>
      <w:b/>
      <w:bCs/>
      <w:color w:val="000000" w:themeColor="text1"/>
    </w:rPr>
  </w:style>
  <w:style w:type="character" w:styleId="nfasis">
    <w:name w:val="Emphasis"/>
    <w:basedOn w:val="Fuentedeprrafopredeter"/>
    <w:uiPriority w:val="20"/>
    <w:qFormat/>
    <w:rsid w:val="0022775C"/>
    <w:rPr>
      <w:i/>
      <w:iCs/>
      <w:color w:val="auto"/>
    </w:rPr>
  </w:style>
  <w:style w:type="paragraph" w:styleId="Sinespaciado">
    <w:name w:val="No Spacing"/>
    <w:link w:val="SinespaciadoCar"/>
    <w:uiPriority w:val="1"/>
    <w:qFormat/>
    <w:rsid w:val="0022775C"/>
    <w:pPr>
      <w:spacing w:after="0" w:line="240" w:lineRule="auto"/>
    </w:pPr>
  </w:style>
  <w:style w:type="paragraph" w:styleId="Cita">
    <w:name w:val="Quote"/>
    <w:basedOn w:val="Normal"/>
    <w:next w:val="Normal"/>
    <w:link w:val="CitaCar"/>
    <w:uiPriority w:val="29"/>
    <w:qFormat/>
    <w:rsid w:val="0022775C"/>
    <w:pPr>
      <w:spacing w:before="160"/>
      <w:ind w:left="720" w:right="720"/>
    </w:pPr>
    <w:rPr>
      <w:i/>
      <w:iCs/>
      <w:color w:val="000000" w:themeColor="text1"/>
    </w:rPr>
  </w:style>
  <w:style w:type="character" w:customStyle="1" w:styleId="CitaCar">
    <w:name w:val="Cita Car"/>
    <w:basedOn w:val="Fuentedeprrafopredeter"/>
    <w:link w:val="Cita"/>
    <w:uiPriority w:val="29"/>
    <w:rsid w:val="0022775C"/>
    <w:rPr>
      <w:i/>
      <w:iCs/>
      <w:color w:val="000000" w:themeColor="text1"/>
    </w:rPr>
  </w:style>
  <w:style w:type="paragraph" w:styleId="Citadestacada">
    <w:name w:val="Intense Quote"/>
    <w:basedOn w:val="Normal"/>
    <w:next w:val="Normal"/>
    <w:link w:val="CitadestacadaCar"/>
    <w:uiPriority w:val="30"/>
    <w:qFormat/>
    <w:rsid w:val="0022775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22775C"/>
    <w:rPr>
      <w:color w:val="000000" w:themeColor="text1"/>
      <w:shd w:val="clear" w:color="auto" w:fill="F2F2F2" w:themeFill="background1" w:themeFillShade="F2"/>
    </w:rPr>
  </w:style>
  <w:style w:type="character" w:styleId="nfasissutil">
    <w:name w:val="Subtle Emphasis"/>
    <w:basedOn w:val="Fuentedeprrafopredeter"/>
    <w:uiPriority w:val="19"/>
    <w:qFormat/>
    <w:rsid w:val="0022775C"/>
    <w:rPr>
      <w:i/>
      <w:iCs/>
      <w:color w:val="404040" w:themeColor="text1" w:themeTint="BF"/>
    </w:rPr>
  </w:style>
  <w:style w:type="character" w:styleId="nfasisintenso">
    <w:name w:val="Intense Emphasis"/>
    <w:basedOn w:val="Fuentedeprrafopredeter"/>
    <w:uiPriority w:val="21"/>
    <w:qFormat/>
    <w:rsid w:val="0022775C"/>
    <w:rPr>
      <w:b/>
      <w:bCs/>
      <w:i/>
      <w:iCs/>
      <w:caps/>
    </w:rPr>
  </w:style>
  <w:style w:type="character" w:styleId="Referenciasutil">
    <w:name w:val="Subtle Reference"/>
    <w:basedOn w:val="Fuentedeprrafopredeter"/>
    <w:uiPriority w:val="31"/>
    <w:qFormat/>
    <w:rsid w:val="0022775C"/>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2775C"/>
    <w:rPr>
      <w:b/>
      <w:bCs/>
      <w:smallCaps/>
      <w:u w:val="single"/>
    </w:rPr>
  </w:style>
  <w:style w:type="character" w:styleId="Ttulodellibro">
    <w:name w:val="Book Title"/>
    <w:basedOn w:val="Fuentedeprrafopredeter"/>
    <w:uiPriority w:val="33"/>
    <w:qFormat/>
    <w:rsid w:val="0022775C"/>
    <w:rPr>
      <w:b w:val="0"/>
      <w:bCs w:val="0"/>
      <w:smallCaps/>
      <w:spacing w:val="5"/>
    </w:rPr>
  </w:style>
  <w:style w:type="paragraph" w:styleId="TtuloTDC">
    <w:name w:val="TOC Heading"/>
    <w:basedOn w:val="Ttulo1"/>
    <w:next w:val="Normal"/>
    <w:uiPriority w:val="39"/>
    <w:unhideWhenUsed/>
    <w:qFormat/>
    <w:rsid w:val="0022775C"/>
    <w:pPr>
      <w:outlineLvl w:val="9"/>
    </w:pPr>
  </w:style>
  <w:style w:type="character" w:customStyle="1" w:styleId="SinespaciadoCar">
    <w:name w:val="Sin espaciado Car"/>
    <w:basedOn w:val="Fuentedeprrafopredeter"/>
    <w:link w:val="Sinespaciado"/>
    <w:uiPriority w:val="1"/>
    <w:rsid w:val="00C30ECD"/>
  </w:style>
  <w:style w:type="table" w:styleId="Tablaconcuadrcula">
    <w:name w:val="Table Grid"/>
    <w:basedOn w:val="Tablanormal"/>
    <w:uiPriority w:val="39"/>
    <w:rsid w:val="0033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31655"/>
    <w:pPr>
      <w:spacing w:after="0" w:line="240" w:lineRule="auto"/>
    </w:pPr>
  </w:style>
  <w:style w:type="paragraph" w:styleId="TDC2">
    <w:name w:val="toc 2"/>
    <w:basedOn w:val="Normal"/>
    <w:next w:val="Normal"/>
    <w:autoRedefine/>
    <w:uiPriority w:val="39"/>
    <w:unhideWhenUsed/>
    <w:rsid w:val="00C00599"/>
    <w:pPr>
      <w:tabs>
        <w:tab w:val="left" w:pos="1100"/>
        <w:tab w:val="right" w:leader="dot" w:pos="8494"/>
      </w:tabs>
      <w:spacing w:after="100"/>
      <w:ind w:left="220"/>
    </w:pPr>
    <w:rPr>
      <w:rFonts w:cs="Times New Roman"/>
    </w:rPr>
  </w:style>
  <w:style w:type="paragraph" w:styleId="TDC1">
    <w:name w:val="toc 1"/>
    <w:basedOn w:val="Normal"/>
    <w:next w:val="Normal"/>
    <w:autoRedefine/>
    <w:uiPriority w:val="39"/>
    <w:unhideWhenUsed/>
    <w:rsid w:val="007D36E9"/>
    <w:pPr>
      <w:spacing w:after="100"/>
    </w:pPr>
    <w:rPr>
      <w:rFonts w:cs="Times New Roman"/>
    </w:rPr>
  </w:style>
  <w:style w:type="paragraph" w:styleId="TDC3">
    <w:name w:val="toc 3"/>
    <w:basedOn w:val="Normal"/>
    <w:next w:val="Normal"/>
    <w:autoRedefine/>
    <w:uiPriority w:val="39"/>
    <w:unhideWhenUsed/>
    <w:rsid w:val="007D36E9"/>
    <w:pPr>
      <w:spacing w:after="100"/>
      <w:ind w:left="440"/>
    </w:pPr>
    <w:rPr>
      <w:rFonts w:cs="Times New Roman"/>
    </w:rPr>
  </w:style>
  <w:style w:type="character" w:styleId="Hipervnculo">
    <w:name w:val="Hyperlink"/>
    <w:basedOn w:val="Fuentedeprrafopredeter"/>
    <w:uiPriority w:val="99"/>
    <w:unhideWhenUsed/>
    <w:rsid w:val="007D36E9"/>
    <w:rPr>
      <w:color w:val="6B9F25" w:themeColor="hyperlink"/>
      <w:u w:val="single"/>
    </w:rPr>
  </w:style>
  <w:style w:type="paragraph" w:styleId="Encabezado">
    <w:name w:val="header"/>
    <w:basedOn w:val="Normal"/>
    <w:link w:val="EncabezadoCar"/>
    <w:uiPriority w:val="99"/>
    <w:unhideWhenUsed/>
    <w:rsid w:val="00C005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0599"/>
  </w:style>
  <w:style w:type="paragraph" w:styleId="Piedepgina">
    <w:name w:val="footer"/>
    <w:basedOn w:val="Normal"/>
    <w:link w:val="PiedepginaCar"/>
    <w:uiPriority w:val="99"/>
    <w:unhideWhenUsed/>
    <w:rsid w:val="00C00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06131">
      <w:bodyDiv w:val="1"/>
      <w:marLeft w:val="0"/>
      <w:marRight w:val="0"/>
      <w:marTop w:val="0"/>
      <w:marBottom w:val="0"/>
      <w:divBdr>
        <w:top w:val="none" w:sz="0" w:space="0" w:color="auto"/>
        <w:left w:val="none" w:sz="0" w:space="0" w:color="auto"/>
        <w:bottom w:val="none" w:sz="0" w:space="0" w:color="auto"/>
        <w:right w:val="none" w:sz="0" w:space="0" w:color="auto"/>
      </w:divBdr>
      <w:divsChild>
        <w:div w:id="2102482153">
          <w:marLeft w:val="0"/>
          <w:marRight w:val="0"/>
          <w:marTop w:val="0"/>
          <w:marBottom w:val="0"/>
          <w:divBdr>
            <w:top w:val="none" w:sz="0" w:space="0" w:color="auto"/>
            <w:left w:val="none" w:sz="0" w:space="0" w:color="auto"/>
            <w:bottom w:val="none" w:sz="0" w:space="0" w:color="auto"/>
            <w:right w:val="none" w:sz="0" w:space="0" w:color="auto"/>
          </w:divBdr>
        </w:div>
        <w:div w:id="37971198">
          <w:marLeft w:val="0"/>
          <w:marRight w:val="0"/>
          <w:marTop w:val="0"/>
          <w:marBottom w:val="0"/>
          <w:divBdr>
            <w:top w:val="none" w:sz="0" w:space="0" w:color="auto"/>
            <w:left w:val="none" w:sz="0" w:space="0" w:color="auto"/>
            <w:bottom w:val="none" w:sz="0" w:space="0" w:color="auto"/>
            <w:right w:val="none" w:sz="0" w:space="0" w:color="auto"/>
          </w:divBdr>
        </w:div>
        <w:div w:id="426195904">
          <w:marLeft w:val="0"/>
          <w:marRight w:val="0"/>
          <w:marTop w:val="0"/>
          <w:marBottom w:val="0"/>
          <w:divBdr>
            <w:top w:val="none" w:sz="0" w:space="0" w:color="auto"/>
            <w:left w:val="none" w:sz="0" w:space="0" w:color="auto"/>
            <w:bottom w:val="none" w:sz="0" w:space="0" w:color="auto"/>
            <w:right w:val="none" w:sz="0" w:space="0" w:color="auto"/>
          </w:divBdr>
        </w:div>
        <w:div w:id="1458253955">
          <w:marLeft w:val="0"/>
          <w:marRight w:val="0"/>
          <w:marTop w:val="0"/>
          <w:marBottom w:val="0"/>
          <w:divBdr>
            <w:top w:val="none" w:sz="0" w:space="0" w:color="auto"/>
            <w:left w:val="none" w:sz="0" w:space="0" w:color="auto"/>
            <w:bottom w:val="none" w:sz="0" w:space="0" w:color="auto"/>
            <w:right w:val="none" w:sz="0" w:space="0" w:color="auto"/>
          </w:divBdr>
        </w:div>
        <w:div w:id="607809790">
          <w:marLeft w:val="0"/>
          <w:marRight w:val="0"/>
          <w:marTop w:val="0"/>
          <w:marBottom w:val="0"/>
          <w:divBdr>
            <w:top w:val="none" w:sz="0" w:space="0" w:color="auto"/>
            <w:left w:val="none" w:sz="0" w:space="0" w:color="auto"/>
            <w:bottom w:val="none" w:sz="0" w:space="0" w:color="auto"/>
            <w:right w:val="none" w:sz="0" w:space="0" w:color="auto"/>
          </w:divBdr>
        </w:div>
        <w:div w:id="20294013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2022-03-03T00:00:00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75DBD24906FC4D89B385AAD9D4AB37" ma:contentTypeVersion="14" ma:contentTypeDescription="Crear nuevo documento." ma:contentTypeScope="" ma:versionID="a80d68be66a46c4233da139764a06984">
  <xsd:schema xmlns:xsd="http://www.w3.org/2001/XMLSchema" xmlns:xs="http://www.w3.org/2001/XMLSchema" xmlns:p="http://schemas.microsoft.com/office/2006/metadata/properties" xmlns:ns2="a24bbe93-4ae9-479e-8ec6-a9c3c4458d6d" xmlns:ns3="54181d8d-0757-4faf-8d61-1d832ad9993d" targetNamespace="http://schemas.microsoft.com/office/2006/metadata/properties" ma:root="true" ma:fieldsID="a2db7bb9f5a34c3bda0cf7213e835c2a" ns2:_="" ns3:_="">
    <xsd:import namespace="a24bbe93-4ae9-479e-8ec6-a9c3c4458d6d"/>
    <xsd:import namespace="54181d8d-0757-4faf-8d61-1d832ad999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bbe93-4ae9-479e-8ec6-a9c3c4458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2cd3e2e-0ebe-4019-93ab-f5eb85c776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81d8d-0757-4faf-8d61-1d832ad9993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8d81982-427a-4ba5-ba94-bd3f743876e2}" ma:internalName="TaxCatchAll" ma:showField="CatchAllData" ma:web="54181d8d-0757-4faf-8d61-1d832ad99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4bbe93-4ae9-479e-8ec6-a9c3c4458d6d">
      <Terms xmlns="http://schemas.microsoft.com/office/infopath/2007/PartnerControls"/>
    </lcf76f155ced4ddcb4097134ff3c332f>
    <TaxCatchAll xmlns="54181d8d-0757-4faf-8d61-1d832ad999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IREhcs/sJkTugcN3Vd1PuWjBlCw==">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</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8B5741-7E94-44F9-9984-9D58AD72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bbe93-4ae9-479e-8ec6-a9c3c4458d6d"/>
    <ds:schemaRef ds:uri="54181d8d-0757-4faf-8d61-1d832ad99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E9398-AAAB-4F10-8C15-B296D351EC88}">
  <ds:schemaRefs>
    <ds:schemaRef ds:uri="http://schemas.microsoft.com/office/2006/metadata/properties"/>
    <ds:schemaRef ds:uri="http://schemas.microsoft.com/office/infopath/2007/PartnerControls"/>
    <ds:schemaRef ds:uri="a24bbe93-4ae9-479e-8ec6-a9c3c4458d6d"/>
    <ds:schemaRef ds:uri="54181d8d-0757-4faf-8d61-1d832ad9993d"/>
  </ds:schemaRefs>
</ds:datastoreItem>
</file>

<file path=customXml/itemProps4.xml><?xml version="1.0" encoding="utf-8"?>
<ds:datastoreItem xmlns:ds="http://schemas.openxmlformats.org/officeDocument/2006/customXml" ds:itemID="{2DEAD0EB-D82C-46C5-A762-A7159D11B1E5}">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FE223359-41DC-4D34-BFFA-1EBEB441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4309</Words>
  <Characters>23704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Centro Nacional de planeamiento estratégico</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Nacional de Seguimiento y Evaluación</dc:creator>
  <cp:lastModifiedBy>VELARDE MORILLAS CHRISTIAN ARMANDO</cp:lastModifiedBy>
  <cp:revision>16</cp:revision>
  <cp:lastPrinted>2025-05-08T15:19:00Z</cp:lastPrinted>
  <dcterms:created xsi:type="dcterms:W3CDTF">2025-05-08T15:11:00Z</dcterms:created>
  <dcterms:modified xsi:type="dcterms:W3CDTF">2025-06-12T16:22:00Z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0x010100DC75DBD24906FC4D89B385AAD9D4AB37</vt:lpwstr>
  </property>
  <property fmtid="{D5CDD505-2E9C-101B-9397-08002B2CF9AE}" pid="3" name="MediaServiceImageTags">
    <vt:lpwstr/>
  </property>
</Properties>
</file>