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653" w:rsidRPr="00BE3337" w:rsidRDefault="00DD1653" w:rsidP="00DD1653">
      <w:pPr>
        <w:spacing w:after="0" w:line="240" w:lineRule="auto"/>
        <w:rPr>
          <w:rFonts w:ascii="Times New Roman" w:eastAsia="Times New Roman" w:hAnsi="Times New Roman" w:cs="Times New Roman"/>
          <w:b/>
          <w:sz w:val="24"/>
          <w:szCs w:val="24"/>
          <w:u w:val="single"/>
          <w:lang w:val="es-ES" w:eastAsia="es-MX"/>
        </w:rPr>
      </w:pPr>
      <w:bookmarkStart w:id="0" w:name="_GoBack"/>
      <w:bookmarkEnd w:id="0"/>
    </w:p>
    <w:p w:rsidR="00DD1653" w:rsidRPr="00BE3337" w:rsidRDefault="00F07F9D" w:rsidP="00DD1653">
      <w:pPr>
        <w:spacing w:after="0" w:line="240" w:lineRule="auto"/>
        <w:jc w:val="center"/>
        <w:rPr>
          <w:rFonts w:ascii="Times New Roman" w:eastAsia="Times New Roman" w:hAnsi="Times New Roman" w:cs="Times New Roman"/>
          <w:b/>
          <w:sz w:val="24"/>
          <w:szCs w:val="24"/>
          <w:u w:val="single"/>
          <w:lang w:val="es-ES" w:eastAsia="es-MX"/>
        </w:rPr>
      </w:pPr>
      <w:r>
        <w:rPr>
          <w:rFonts w:ascii="Times New Roman" w:eastAsia="Times New Roman" w:hAnsi="Times New Roman" w:cs="Times New Roman"/>
          <w:b/>
          <w:sz w:val="24"/>
          <w:szCs w:val="24"/>
          <w:u w:val="single"/>
          <w:lang w:val="es-ES" w:eastAsia="es-MX"/>
        </w:rPr>
        <w:t>PRONUNCIAMIENTO Nº 419</w:t>
      </w:r>
      <w:r w:rsidR="00DD1653" w:rsidRPr="00BE3337">
        <w:rPr>
          <w:rFonts w:ascii="Times New Roman" w:eastAsia="Times New Roman" w:hAnsi="Times New Roman" w:cs="Times New Roman"/>
          <w:b/>
          <w:sz w:val="24"/>
          <w:szCs w:val="24"/>
          <w:u w:val="single"/>
          <w:lang w:val="es-ES" w:eastAsia="es-MX"/>
        </w:rPr>
        <w:t>-2015/DSU</w:t>
      </w:r>
    </w:p>
    <w:p w:rsidR="00DD1653" w:rsidRPr="00BE3337" w:rsidRDefault="00DD1653" w:rsidP="00DD1653">
      <w:pPr>
        <w:spacing w:after="0" w:line="240" w:lineRule="auto"/>
        <w:rPr>
          <w:rFonts w:ascii="Times New Roman" w:eastAsia="Times New Roman" w:hAnsi="Times New Roman" w:cs="Times New Roman"/>
          <w:sz w:val="24"/>
          <w:szCs w:val="24"/>
          <w:lang w:val="es-ES" w:eastAsia="es-MX"/>
        </w:rPr>
      </w:pPr>
      <w:r w:rsidRPr="00BE3337">
        <w:rPr>
          <w:rFonts w:ascii="Times New Roman" w:eastAsia="Times New Roman" w:hAnsi="Times New Roman" w:cs="Times New Roman"/>
          <w:sz w:val="24"/>
          <w:szCs w:val="24"/>
          <w:lang w:val="es-ES" w:eastAsia="es-MX"/>
        </w:rPr>
        <w:tab/>
      </w:r>
    </w:p>
    <w:p w:rsidR="00DD1653" w:rsidRPr="00BE3337" w:rsidRDefault="00DD1653" w:rsidP="00DD1653">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BE3337">
        <w:rPr>
          <w:rFonts w:ascii="Times New Roman" w:eastAsia="Times New Roman" w:hAnsi="Times New Roman" w:cs="Times New Roman"/>
          <w:sz w:val="24"/>
          <w:szCs w:val="24"/>
          <w:lang w:val="es-ES" w:eastAsia="es-MX"/>
        </w:rPr>
        <w:t>Entidad:</w:t>
      </w:r>
      <w:r w:rsidRPr="00BE3337">
        <w:rPr>
          <w:rFonts w:ascii="Times New Roman" w:eastAsia="Times New Roman" w:hAnsi="Times New Roman" w:cs="Times New Roman"/>
          <w:sz w:val="24"/>
          <w:szCs w:val="24"/>
          <w:lang w:val="es-ES" w:eastAsia="es-MX"/>
        </w:rPr>
        <w:tab/>
      </w:r>
      <w:r w:rsidRPr="00BE3337">
        <w:rPr>
          <w:rFonts w:ascii="Times New Roman" w:eastAsia="Times New Roman" w:hAnsi="Times New Roman" w:cs="Times New Roman"/>
          <w:sz w:val="24"/>
          <w:szCs w:val="24"/>
          <w:lang w:val="es-ES" w:eastAsia="es-MX"/>
        </w:rPr>
        <w:tab/>
        <w:t>Inversión Pública SUNAT</w:t>
      </w:r>
    </w:p>
    <w:p w:rsidR="00DD1653" w:rsidRPr="00BE3337" w:rsidRDefault="00DD1653" w:rsidP="00DD1653">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p>
    <w:p w:rsidR="00DD1653" w:rsidRPr="00BE3337" w:rsidRDefault="00DD1653" w:rsidP="00DD1653">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BE3337">
        <w:rPr>
          <w:rFonts w:ascii="Times New Roman" w:eastAsia="Times New Roman" w:hAnsi="Times New Roman" w:cs="Times New Roman"/>
          <w:sz w:val="24"/>
          <w:szCs w:val="24"/>
          <w:lang w:val="es-ES" w:eastAsia="es-MX"/>
        </w:rPr>
        <w:t>Referencia:</w:t>
      </w:r>
      <w:r w:rsidRPr="00BE3337">
        <w:rPr>
          <w:rFonts w:ascii="Times New Roman" w:eastAsia="Times New Roman" w:hAnsi="Times New Roman" w:cs="Times New Roman"/>
          <w:sz w:val="24"/>
          <w:szCs w:val="24"/>
          <w:lang w:val="es-ES" w:eastAsia="es-MX"/>
        </w:rPr>
        <w:tab/>
      </w:r>
      <w:r w:rsidRPr="00BE3337">
        <w:rPr>
          <w:rFonts w:ascii="Times New Roman" w:eastAsia="Times New Roman" w:hAnsi="Times New Roman" w:cs="Times New Roman"/>
          <w:sz w:val="24"/>
          <w:szCs w:val="24"/>
          <w:lang w:val="es-ES" w:eastAsia="es-MX"/>
        </w:rPr>
        <w:tab/>
        <w:t xml:space="preserve">Licitación Pública Nº 002-2015-SUNAT/800010, convocada para la ejecución </w:t>
      </w:r>
      <w:r w:rsidR="009D7640" w:rsidRPr="00BE3337">
        <w:rPr>
          <w:rFonts w:ascii="Times New Roman" w:eastAsia="Times New Roman" w:hAnsi="Times New Roman" w:cs="Times New Roman"/>
          <w:sz w:val="24"/>
          <w:szCs w:val="24"/>
          <w:lang w:val="es-ES" w:eastAsia="es-MX"/>
        </w:rPr>
        <w:t>de la obra del PIP: “Implementación del Nuevo centro de Servicios al Contribuyente y Centro de Control y Fiscalización en la Ciudad de Huánuco</w:t>
      </w:r>
      <w:r w:rsidRPr="00BE3337">
        <w:rPr>
          <w:rFonts w:ascii="Times New Roman" w:eastAsia="Times New Roman" w:hAnsi="Times New Roman" w:cs="Times New Roman"/>
          <w:sz w:val="24"/>
          <w:szCs w:val="24"/>
          <w:lang w:val="es-ES" w:eastAsia="es-MX"/>
        </w:rPr>
        <w:t>”.</w:t>
      </w:r>
    </w:p>
    <w:p w:rsidR="00DD1653" w:rsidRPr="00BE3337" w:rsidRDefault="00DD1653" w:rsidP="00DD1653">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DD1653" w:rsidRPr="00BE3337" w:rsidRDefault="00DD1653" w:rsidP="00DD1653">
      <w:pPr>
        <w:spacing w:after="0" w:line="240" w:lineRule="auto"/>
        <w:rPr>
          <w:rFonts w:ascii="Times New Roman" w:eastAsia="Times New Roman" w:hAnsi="Times New Roman" w:cs="Times New Roman"/>
          <w:sz w:val="24"/>
          <w:szCs w:val="24"/>
          <w:lang w:val="es-ES" w:eastAsia="es-MX"/>
        </w:rPr>
      </w:pPr>
      <w:r w:rsidRPr="00BE3337">
        <w:rPr>
          <w:rFonts w:ascii="Times New Roman" w:eastAsia="Times New Roman" w:hAnsi="Times New Roman" w:cs="Times New Roman"/>
          <w:sz w:val="24"/>
          <w:szCs w:val="24"/>
          <w:lang w:val="es-ES" w:eastAsia="es-MX"/>
        </w:rPr>
        <w:t xml:space="preserve"> </w:t>
      </w:r>
    </w:p>
    <w:p w:rsidR="00DD1653" w:rsidRPr="00BE3337" w:rsidRDefault="00DD1653" w:rsidP="00DD1653">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BE3337">
        <w:rPr>
          <w:rFonts w:ascii="Times New Roman" w:eastAsia="Times New Roman" w:hAnsi="Times New Roman" w:cs="Times New Roman"/>
          <w:b/>
          <w:sz w:val="24"/>
          <w:szCs w:val="24"/>
          <w:lang w:val="es-ES" w:eastAsia="es-MX"/>
        </w:rPr>
        <w:t>ANTECEDENTES</w:t>
      </w:r>
    </w:p>
    <w:p w:rsidR="00DD1653" w:rsidRPr="00BE3337" w:rsidRDefault="00DD1653" w:rsidP="00DD1653">
      <w:pPr>
        <w:spacing w:after="0" w:line="240" w:lineRule="auto"/>
        <w:rPr>
          <w:rFonts w:ascii="Times New Roman" w:eastAsia="Times New Roman" w:hAnsi="Times New Roman" w:cs="Times New Roman"/>
          <w:sz w:val="24"/>
          <w:szCs w:val="24"/>
          <w:lang w:val="es-ES" w:eastAsia="es-MX"/>
        </w:rPr>
      </w:pPr>
    </w:p>
    <w:p w:rsidR="00DD1653" w:rsidRPr="00BE3337" w:rsidRDefault="00E86859" w:rsidP="00DD1653">
      <w:pPr>
        <w:spacing w:after="0"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Mediante Oficio N° </w:t>
      </w:r>
      <w:r w:rsidR="00DD1653" w:rsidRPr="00BE3337">
        <w:rPr>
          <w:rFonts w:ascii="Times New Roman" w:eastAsia="Times New Roman" w:hAnsi="Times New Roman" w:cs="Times New Roman"/>
          <w:sz w:val="24"/>
          <w:szCs w:val="24"/>
          <w:lang w:eastAsia="es-ES"/>
        </w:rPr>
        <w:t>02-2015-</w:t>
      </w:r>
      <w:r w:rsidR="00BB1008" w:rsidRPr="00BE3337">
        <w:rPr>
          <w:rFonts w:ascii="Times New Roman" w:eastAsia="Times New Roman" w:hAnsi="Times New Roman" w:cs="Times New Roman"/>
          <w:sz w:val="24"/>
          <w:szCs w:val="24"/>
          <w:lang w:eastAsia="es-ES"/>
        </w:rPr>
        <w:t>SUNAT/CE LP 002-2015-800010</w:t>
      </w:r>
      <w:r w:rsidR="00DD1653" w:rsidRPr="00BE3337">
        <w:rPr>
          <w:rFonts w:ascii="Times New Roman" w:eastAsia="Times New Roman" w:hAnsi="Times New Roman" w:cs="Times New Roman"/>
          <w:sz w:val="24"/>
          <w:szCs w:val="24"/>
          <w:lang w:eastAsia="es-ES"/>
        </w:rPr>
        <w:t xml:space="preserve"> recibido con fecha </w:t>
      </w:r>
      <w:r w:rsidR="00BB1008" w:rsidRPr="00BE3337">
        <w:rPr>
          <w:rFonts w:ascii="Times New Roman" w:eastAsia="Times New Roman" w:hAnsi="Times New Roman" w:cs="Times New Roman"/>
          <w:sz w:val="24"/>
          <w:szCs w:val="24"/>
          <w:lang w:eastAsia="es-ES"/>
        </w:rPr>
        <w:t>28</w:t>
      </w:r>
      <w:r w:rsidR="00DD1653" w:rsidRPr="00BE3337">
        <w:rPr>
          <w:rFonts w:ascii="Times New Roman" w:eastAsia="Times New Roman" w:hAnsi="Times New Roman" w:cs="Times New Roman"/>
          <w:sz w:val="24"/>
          <w:szCs w:val="24"/>
          <w:lang w:eastAsia="es-ES"/>
        </w:rPr>
        <w:t xml:space="preserve">.ABR.2015, el Presidente </w:t>
      </w:r>
      <w:r w:rsidR="00DD1653" w:rsidRPr="00BE3337">
        <w:rPr>
          <w:rFonts w:ascii="Times New Roman" w:eastAsia="Times New Roman" w:hAnsi="Times New Roman" w:cs="Times New Roman"/>
          <w:sz w:val="24"/>
          <w:szCs w:val="24"/>
          <w:lang w:val="es-ES" w:eastAsia="es-ES"/>
        </w:rPr>
        <w:t xml:space="preserve">del Comité Especial a cargo </w:t>
      </w:r>
      <w:r w:rsidR="00DD1653" w:rsidRPr="00BE3337">
        <w:rPr>
          <w:rFonts w:ascii="Times New Roman" w:eastAsia="Times New Roman" w:hAnsi="Times New Roman" w:cs="Times New Roman"/>
          <w:sz w:val="24"/>
          <w:szCs w:val="24"/>
          <w:lang w:eastAsia="es-ES"/>
        </w:rPr>
        <w:t xml:space="preserve">del proceso de selección de la referencia remitió al Organismo Supervisor de las Contrataciones del Estado (OSCE) las </w:t>
      </w:r>
      <w:r w:rsidR="00BB1008" w:rsidRPr="00BE3337">
        <w:rPr>
          <w:rFonts w:ascii="Times New Roman" w:eastAsia="Times New Roman" w:hAnsi="Times New Roman" w:cs="Times New Roman"/>
          <w:sz w:val="24"/>
          <w:szCs w:val="24"/>
          <w:lang w:eastAsia="es-ES"/>
        </w:rPr>
        <w:t>trece (13) observaciones</w:t>
      </w:r>
      <w:r w:rsidR="00DD1653" w:rsidRPr="00BE3337">
        <w:rPr>
          <w:rFonts w:ascii="Times New Roman" w:eastAsia="Times New Roman" w:hAnsi="Times New Roman" w:cs="Times New Roman"/>
          <w:sz w:val="24"/>
          <w:szCs w:val="24"/>
          <w:lang w:eastAsia="es-ES"/>
        </w:rPr>
        <w:t xml:space="preserve"> formulad</w:t>
      </w:r>
      <w:r w:rsidR="00BB1008" w:rsidRPr="00BE3337">
        <w:rPr>
          <w:rFonts w:ascii="Times New Roman" w:eastAsia="Times New Roman" w:hAnsi="Times New Roman" w:cs="Times New Roman"/>
          <w:sz w:val="24"/>
          <w:szCs w:val="24"/>
          <w:lang w:eastAsia="es-ES"/>
        </w:rPr>
        <w:t>a</w:t>
      </w:r>
      <w:r w:rsidR="00DD1653" w:rsidRPr="00BE3337">
        <w:rPr>
          <w:rFonts w:ascii="Times New Roman" w:eastAsia="Times New Roman" w:hAnsi="Times New Roman" w:cs="Times New Roman"/>
          <w:sz w:val="24"/>
          <w:szCs w:val="24"/>
          <w:lang w:eastAsia="es-ES"/>
        </w:rPr>
        <w:t xml:space="preserve">s por el participante </w:t>
      </w:r>
      <w:r w:rsidR="00BB1008" w:rsidRPr="00BE3337">
        <w:rPr>
          <w:rFonts w:ascii="Times New Roman" w:eastAsia="Times New Roman" w:hAnsi="Times New Roman" w:cs="Times New Roman"/>
          <w:b/>
          <w:sz w:val="24"/>
          <w:szCs w:val="24"/>
          <w:lang w:eastAsia="es-ES"/>
        </w:rPr>
        <w:t>CHUNG &amp; TONG INGENIEROS S.A.C.</w:t>
      </w:r>
      <w:r w:rsidR="00DD1653" w:rsidRPr="00BE3337">
        <w:rPr>
          <w:rFonts w:ascii="Times New Roman" w:eastAsia="Times New Roman" w:hAnsi="Times New Roman" w:cs="Times New Roman"/>
          <w:sz w:val="24"/>
          <w:szCs w:val="24"/>
          <w:lang w:eastAsia="es-ES"/>
        </w:rPr>
        <w:t>,</w:t>
      </w:r>
      <w:r w:rsidR="00DD1653" w:rsidRPr="00BE3337">
        <w:rPr>
          <w:rFonts w:ascii="Times New Roman" w:eastAsia="Times New Roman" w:hAnsi="Times New Roman" w:cs="Times New Roman"/>
          <w:b/>
          <w:sz w:val="24"/>
          <w:szCs w:val="24"/>
          <w:lang w:eastAsia="es-ES"/>
        </w:rPr>
        <w:t xml:space="preserve"> </w:t>
      </w:r>
      <w:r w:rsidR="00DD1653" w:rsidRPr="00BE3337">
        <w:rPr>
          <w:rFonts w:ascii="Times New Roman" w:eastAsia="Times New Roman" w:hAnsi="Times New Roman" w:cs="Times New Roman"/>
          <w:sz w:val="24"/>
          <w:szCs w:val="24"/>
          <w:lang w:eastAsia="es-ES"/>
        </w:rPr>
        <w:t xml:space="preserve">así como el respectivo informe técnico, </w:t>
      </w:r>
      <w:r w:rsidR="00DD1653" w:rsidRPr="00BE3337">
        <w:rPr>
          <w:rFonts w:ascii="Times New Roman" w:eastAsia="Times New Roman" w:hAnsi="Times New Roman" w:cs="Times New Roman"/>
          <w:sz w:val="24"/>
          <w:szCs w:val="24"/>
          <w:lang w:val="es-ES" w:eastAsia="es-ES"/>
        </w:rPr>
        <w:t>en cumplimiento de lo dispuesto por el artículo 28º</w:t>
      </w:r>
      <w:r w:rsidR="00DD1653" w:rsidRPr="00BE3337">
        <w:rPr>
          <w:rFonts w:ascii="Times New Roman" w:eastAsia="Times New Roman" w:hAnsi="Times New Roman" w:cs="Times New Roman"/>
          <w:sz w:val="24"/>
          <w:szCs w:val="24"/>
          <w:lang w:val="es-ES" w:eastAsia="es-MX"/>
        </w:rPr>
        <w:t xml:space="preserve"> del Decreto Legislativo Nº 1017, </w:t>
      </w:r>
      <w:r w:rsidR="00DD1653" w:rsidRPr="00BE3337">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DD1653" w:rsidRDefault="00DD1653" w:rsidP="00DD1653">
      <w:pPr>
        <w:spacing w:after="0" w:line="240" w:lineRule="auto"/>
        <w:jc w:val="both"/>
        <w:rPr>
          <w:rFonts w:ascii="Times New Roman" w:eastAsia="Times New Roman" w:hAnsi="Times New Roman" w:cs="Times New Roman"/>
          <w:sz w:val="24"/>
          <w:szCs w:val="24"/>
          <w:lang w:val="es-ES_tradnl" w:eastAsia="es-ES"/>
        </w:rPr>
      </w:pPr>
    </w:p>
    <w:p w:rsidR="00E86859" w:rsidRDefault="00E86859" w:rsidP="00E86859">
      <w:pPr>
        <w:pStyle w:val="WW-Textoindependiente2"/>
        <w:tabs>
          <w:tab w:val="left" w:pos="0"/>
        </w:tabs>
        <w:suppressAutoHyphens w:val="0"/>
        <w:rPr>
          <w:rFonts w:ascii="Times New Roman" w:hAnsi="Times New Roman"/>
          <w:szCs w:val="24"/>
          <w:lang w:val="es-ES" w:eastAsia="es-ES"/>
        </w:rPr>
      </w:pPr>
      <w:r>
        <w:rPr>
          <w:rFonts w:ascii="Times New Roman" w:hAnsi="Times New Roman"/>
          <w:szCs w:val="24"/>
          <w:lang w:val="es-ES" w:eastAsia="es-ES"/>
        </w:rPr>
        <w:t>Sobre el particular, resulta importante resaltar que, en atención al</w:t>
      </w:r>
      <w:r w:rsidRPr="00152BE7">
        <w:rPr>
          <w:rFonts w:ascii="Times New Roman" w:hAnsi="Times New Roman"/>
          <w:szCs w:val="24"/>
          <w:lang w:val="es-ES" w:eastAsia="es-ES"/>
        </w:rPr>
        <w:t xml:space="preserve"> Oficio Nº </w:t>
      </w:r>
      <w:r w:rsidRPr="00E86859">
        <w:rPr>
          <w:rFonts w:ascii="Times New Roman" w:hAnsi="Times New Roman"/>
          <w:szCs w:val="24"/>
          <w:lang w:val="es-PE" w:eastAsia="es-ES"/>
        </w:rPr>
        <w:t>01-2015-SUNAT/CE LP 002-2015-800010</w:t>
      </w:r>
      <w:r>
        <w:rPr>
          <w:rStyle w:val="Refdenotaalpie"/>
          <w:rFonts w:ascii="Times New Roman" w:hAnsi="Times New Roman"/>
          <w:szCs w:val="24"/>
          <w:lang w:val="es-ES" w:eastAsia="es-ES"/>
        </w:rPr>
        <w:footnoteReference w:id="1"/>
      </w:r>
      <w:r w:rsidRPr="00152BE7">
        <w:rPr>
          <w:rFonts w:ascii="Times New Roman" w:hAnsi="Times New Roman"/>
          <w:szCs w:val="24"/>
          <w:lang w:val="es-ES" w:eastAsia="es-ES"/>
        </w:rPr>
        <w:t>,</w:t>
      </w:r>
      <w:r>
        <w:rPr>
          <w:rFonts w:ascii="Times New Roman" w:hAnsi="Times New Roman"/>
          <w:szCs w:val="24"/>
          <w:lang w:val="es-ES" w:eastAsia="es-ES"/>
        </w:rPr>
        <w:t xml:space="preserve"> mediante el cual el Comité Especial remitió la solicitud de elevación de observaciones para pronunciamiento formulada por el participante </w:t>
      </w:r>
      <w:r w:rsidRPr="00E86859">
        <w:rPr>
          <w:rFonts w:ascii="Times New Roman" w:hAnsi="Times New Roman"/>
          <w:szCs w:val="24"/>
          <w:lang w:val="es-ES" w:eastAsia="es-ES"/>
        </w:rPr>
        <w:t>NESO CONSTRUCTORA S.A.C.</w:t>
      </w:r>
      <w:r>
        <w:rPr>
          <w:rFonts w:ascii="Times New Roman" w:hAnsi="Times New Roman"/>
          <w:szCs w:val="24"/>
          <w:lang w:val="es-ES" w:eastAsia="es-ES"/>
        </w:rPr>
        <w:t xml:space="preserve">, los antecedentes del proceso, así como el informe técnico respectivo, este Organismo Supervisor emitió el Pronunciamiento Nº 415-2015/DSU, el que resulta válido en todos sus extremos y será complementado por el presente Pronunciamiento.  </w:t>
      </w:r>
    </w:p>
    <w:p w:rsidR="00E86859" w:rsidRPr="00BE3337" w:rsidRDefault="00E86859" w:rsidP="00DD1653">
      <w:pPr>
        <w:spacing w:after="0" w:line="240" w:lineRule="auto"/>
        <w:jc w:val="both"/>
        <w:rPr>
          <w:rFonts w:ascii="Times New Roman" w:eastAsia="Times New Roman" w:hAnsi="Times New Roman" w:cs="Times New Roman"/>
          <w:sz w:val="24"/>
          <w:szCs w:val="24"/>
          <w:lang w:val="es-ES_tradnl" w:eastAsia="es-ES"/>
        </w:rPr>
      </w:pPr>
    </w:p>
    <w:p w:rsidR="00DD1653" w:rsidRPr="00BE3337" w:rsidRDefault="00E86859" w:rsidP="00DD1653">
      <w:pPr>
        <w:widowControl w:val="0"/>
        <w:spacing w:after="0" w:line="240" w:lineRule="auto"/>
        <w:ind w:left="1" w:firstLine="1"/>
        <w:jc w:val="both"/>
        <w:rPr>
          <w:rFonts w:ascii="Times New Roman" w:eastAsia="Times New Roman" w:hAnsi="Times New Roman" w:cs="Times New Roman"/>
          <w:sz w:val="24"/>
          <w:szCs w:val="24"/>
          <w:lang w:val="es-ES_tradnl" w:eastAsia="es-MX"/>
        </w:rPr>
      </w:pPr>
      <w:r>
        <w:rPr>
          <w:rFonts w:ascii="Times New Roman" w:eastAsia="Times New Roman" w:hAnsi="Times New Roman" w:cs="Times New Roman"/>
          <w:sz w:val="24"/>
          <w:szCs w:val="24"/>
          <w:lang w:eastAsia="es-ES"/>
        </w:rPr>
        <w:t>Adicionalmente</w:t>
      </w:r>
      <w:r w:rsidR="00DD1653" w:rsidRPr="00BE3337">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sz w:val="24"/>
          <w:szCs w:val="24"/>
          <w:lang w:eastAsia="es-ES"/>
        </w:rPr>
        <w:t xml:space="preserve">corresponde señalar que, </w:t>
      </w:r>
      <w:r w:rsidR="00DD1653" w:rsidRPr="00BE3337">
        <w:rPr>
          <w:rFonts w:ascii="Times New Roman" w:eastAsia="Times New Roman" w:hAnsi="Times New Roman" w:cs="Times New Roman"/>
          <w:sz w:val="24"/>
          <w:szCs w:val="24"/>
          <w:lang w:eastAsia="es-MX"/>
        </w:rPr>
        <w:t xml:space="preserve">atendiendo a lo dispuesto por el artículo 58º del Reglamento, independientemente de la denominación que les haya dado el participante, este Organismo Supervisor se pronunciará únicamente respecto de: </w:t>
      </w:r>
      <w:r w:rsidR="00DD1653" w:rsidRPr="00BE3337">
        <w:rPr>
          <w:rFonts w:ascii="Times New Roman" w:eastAsia="Times New Roman" w:hAnsi="Times New Roman" w:cs="Times New Roman"/>
          <w:sz w:val="24"/>
          <w:szCs w:val="24"/>
          <w:lang w:val="es-ES_tradnl" w:eastAsia="es-MX"/>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DD1653" w:rsidRPr="00BE3337" w:rsidRDefault="00DD1653" w:rsidP="00DD1653">
      <w:pPr>
        <w:widowControl w:val="0"/>
        <w:suppressAutoHyphens/>
        <w:spacing w:after="0" w:line="240" w:lineRule="auto"/>
        <w:jc w:val="both"/>
        <w:rPr>
          <w:rFonts w:ascii="Times New Roman" w:eastAsia="Calibri" w:hAnsi="Times New Roman" w:cs="Times New Roman"/>
          <w:sz w:val="24"/>
          <w:szCs w:val="24"/>
          <w:lang w:eastAsia="es-PE"/>
        </w:rPr>
      </w:pPr>
    </w:p>
    <w:p w:rsidR="00EC1724" w:rsidRPr="00BE3337" w:rsidRDefault="00DD1653" w:rsidP="00DD1653">
      <w:pPr>
        <w:pStyle w:val="WW-Textoindependiente2"/>
        <w:tabs>
          <w:tab w:val="left" w:pos="426"/>
        </w:tabs>
        <w:rPr>
          <w:rFonts w:ascii="Times New Roman" w:hAnsi="Times New Roman"/>
          <w:szCs w:val="24"/>
        </w:rPr>
      </w:pPr>
      <w:r w:rsidRPr="00BE3337">
        <w:rPr>
          <w:rFonts w:ascii="Times New Roman" w:hAnsi="Times New Roman"/>
          <w:szCs w:val="24"/>
        </w:rPr>
        <w:t xml:space="preserve">En relación </w:t>
      </w:r>
      <w:r w:rsidR="009318F1" w:rsidRPr="00BE3337">
        <w:rPr>
          <w:rFonts w:ascii="Times New Roman" w:hAnsi="Times New Roman"/>
          <w:szCs w:val="24"/>
        </w:rPr>
        <w:t xml:space="preserve">con lo anterior, </w:t>
      </w:r>
      <w:r w:rsidR="00EC1724" w:rsidRPr="00BE3337">
        <w:rPr>
          <w:rFonts w:ascii="Times New Roman" w:hAnsi="Times New Roman"/>
          <w:szCs w:val="24"/>
        </w:rPr>
        <w:t>advertimos que la</w:t>
      </w:r>
      <w:r w:rsidR="00C05586" w:rsidRPr="00BE3337">
        <w:rPr>
          <w:rFonts w:ascii="Times New Roman" w:hAnsi="Times New Roman"/>
          <w:szCs w:val="24"/>
        </w:rPr>
        <w:t>s</w:t>
      </w:r>
      <w:r w:rsidR="00EC1724" w:rsidRPr="00BE3337">
        <w:rPr>
          <w:rFonts w:ascii="Times New Roman" w:hAnsi="Times New Roman"/>
          <w:szCs w:val="24"/>
        </w:rPr>
        <w:t xml:space="preserve"> Observación Nº 1</w:t>
      </w:r>
      <w:r w:rsidR="00E61D4F" w:rsidRPr="00BE3337">
        <w:rPr>
          <w:rFonts w:ascii="Times New Roman" w:hAnsi="Times New Roman"/>
          <w:szCs w:val="24"/>
        </w:rPr>
        <w:t xml:space="preserve">, </w:t>
      </w:r>
      <w:r w:rsidR="00C05586" w:rsidRPr="00BE3337">
        <w:rPr>
          <w:rFonts w:ascii="Times New Roman" w:hAnsi="Times New Roman"/>
          <w:szCs w:val="24"/>
        </w:rPr>
        <w:t>Nº 9</w:t>
      </w:r>
      <w:r w:rsidR="00E61D4F" w:rsidRPr="00BE3337">
        <w:rPr>
          <w:rFonts w:ascii="Times New Roman" w:hAnsi="Times New Roman"/>
          <w:szCs w:val="24"/>
        </w:rPr>
        <w:t xml:space="preserve"> y Nº 1</w:t>
      </w:r>
      <w:r w:rsidR="005E2D57" w:rsidRPr="00BE3337">
        <w:rPr>
          <w:rFonts w:ascii="Times New Roman" w:hAnsi="Times New Roman"/>
          <w:szCs w:val="24"/>
        </w:rPr>
        <w:t>2</w:t>
      </w:r>
      <w:r w:rsidR="00EC1724" w:rsidRPr="00BE3337">
        <w:rPr>
          <w:rFonts w:ascii="Times New Roman" w:eastAsia="Times New Roman" w:hAnsi="Times New Roman"/>
          <w:szCs w:val="24"/>
          <w:lang w:eastAsia="es-MX"/>
        </w:rPr>
        <w:t xml:space="preserve"> </w:t>
      </w:r>
      <w:r w:rsidR="00EC1724" w:rsidRPr="00BE3337">
        <w:rPr>
          <w:rFonts w:ascii="Times New Roman" w:hAnsi="Times New Roman"/>
          <w:szCs w:val="24"/>
        </w:rPr>
        <w:t>no se enmarca</w:t>
      </w:r>
      <w:r w:rsidR="00C05586" w:rsidRPr="00BE3337">
        <w:rPr>
          <w:rFonts w:ascii="Times New Roman" w:hAnsi="Times New Roman"/>
          <w:szCs w:val="24"/>
        </w:rPr>
        <w:t>n</w:t>
      </w:r>
      <w:r w:rsidR="00EC1724" w:rsidRPr="00BE3337">
        <w:rPr>
          <w:rFonts w:ascii="Times New Roman" w:hAnsi="Times New Roman"/>
          <w:szCs w:val="24"/>
        </w:rPr>
        <w:t xml:space="preserve"> dentro de los supuestos establecidos en el artículo 58° del Reglamento, pues, en estricto, constituye</w:t>
      </w:r>
      <w:r w:rsidR="00C05586" w:rsidRPr="00BE3337">
        <w:rPr>
          <w:rFonts w:ascii="Times New Roman" w:hAnsi="Times New Roman"/>
          <w:szCs w:val="24"/>
        </w:rPr>
        <w:t>n</w:t>
      </w:r>
      <w:r w:rsidR="00EC1724" w:rsidRPr="00BE3337">
        <w:rPr>
          <w:rFonts w:ascii="Times New Roman" w:hAnsi="Times New Roman"/>
          <w:szCs w:val="24"/>
        </w:rPr>
        <w:t xml:space="preserve"> solicitud</w:t>
      </w:r>
      <w:r w:rsidR="00C05586" w:rsidRPr="00BE3337">
        <w:rPr>
          <w:rFonts w:ascii="Times New Roman" w:hAnsi="Times New Roman"/>
          <w:szCs w:val="24"/>
        </w:rPr>
        <w:t>es</w:t>
      </w:r>
      <w:r w:rsidR="00EC1724" w:rsidRPr="00BE3337">
        <w:rPr>
          <w:rFonts w:ascii="Times New Roman" w:hAnsi="Times New Roman"/>
          <w:szCs w:val="24"/>
        </w:rPr>
        <w:t xml:space="preserve"> de </w:t>
      </w:r>
      <w:r w:rsidR="00C05586" w:rsidRPr="00BE3337">
        <w:rPr>
          <w:rFonts w:ascii="Times New Roman" w:hAnsi="Times New Roman"/>
          <w:szCs w:val="24"/>
        </w:rPr>
        <w:t>precisión</w:t>
      </w:r>
      <w:r w:rsidR="00EC1724" w:rsidRPr="00BE3337">
        <w:rPr>
          <w:rFonts w:ascii="Times New Roman" w:hAnsi="Times New Roman"/>
          <w:szCs w:val="24"/>
        </w:rPr>
        <w:t xml:space="preserve"> y/o aclaración </w:t>
      </w:r>
      <w:r w:rsidR="00C05586" w:rsidRPr="00BE3337">
        <w:rPr>
          <w:rFonts w:ascii="Times New Roman" w:hAnsi="Times New Roman"/>
          <w:szCs w:val="24"/>
        </w:rPr>
        <w:t>sobre ciertos aspectos de</w:t>
      </w:r>
      <w:r w:rsidR="00EC1724" w:rsidRPr="00BE3337">
        <w:rPr>
          <w:rFonts w:ascii="Times New Roman" w:hAnsi="Times New Roman"/>
          <w:szCs w:val="24"/>
        </w:rPr>
        <w:t xml:space="preserve"> las Bases; por lo que al tratar</w:t>
      </w:r>
      <w:r w:rsidR="00C05586" w:rsidRPr="00BE3337">
        <w:rPr>
          <w:rFonts w:ascii="Times New Roman" w:hAnsi="Times New Roman"/>
          <w:szCs w:val="24"/>
        </w:rPr>
        <w:t xml:space="preserve">se en estricto de </w:t>
      </w:r>
      <w:r w:rsidR="00EC1724" w:rsidRPr="00BE3337">
        <w:rPr>
          <w:rFonts w:ascii="Times New Roman" w:hAnsi="Times New Roman"/>
          <w:szCs w:val="24"/>
        </w:rPr>
        <w:t>consulta</w:t>
      </w:r>
      <w:r w:rsidR="00C05586" w:rsidRPr="00BE3337">
        <w:rPr>
          <w:rFonts w:ascii="Times New Roman" w:hAnsi="Times New Roman"/>
          <w:szCs w:val="24"/>
        </w:rPr>
        <w:t>s</w:t>
      </w:r>
      <w:r w:rsidR="00EC1724" w:rsidRPr="00BE3337">
        <w:rPr>
          <w:rFonts w:ascii="Times New Roman" w:hAnsi="Times New Roman"/>
          <w:szCs w:val="24"/>
        </w:rPr>
        <w:t xml:space="preserve">, este Organismo Supervisor no se pronunciará al respecto. </w:t>
      </w:r>
    </w:p>
    <w:p w:rsidR="00EC1724" w:rsidRPr="00BE3337" w:rsidRDefault="00EC1724" w:rsidP="00DD1653">
      <w:pPr>
        <w:pStyle w:val="WW-Textoindependiente2"/>
        <w:tabs>
          <w:tab w:val="left" w:pos="426"/>
        </w:tabs>
        <w:rPr>
          <w:rFonts w:ascii="Times New Roman" w:hAnsi="Times New Roman"/>
          <w:szCs w:val="24"/>
        </w:rPr>
      </w:pPr>
    </w:p>
    <w:p w:rsidR="00F8495F" w:rsidRPr="00BE3337" w:rsidRDefault="0089126D" w:rsidP="00DD1653">
      <w:pPr>
        <w:pStyle w:val="WW-Textoindependiente2"/>
        <w:tabs>
          <w:tab w:val="left" w:pos="426"/>
        </w:tabs>
        <w:rPr>
          <w:rFonts w:ascii="Times New Roman" w:hAnsi="Times New Roman"/>
          <w:szCs w:val="24"/>
        </w:rPr>
      </w:pPr>
      <w:r w:rsidRPr="00BE3337">
        <w:rPr>
          <w:rFonts w:ascii="Times New Roman" w:hAnsi="Times New Roman"/>
          <w:szCs w:val="24"/>
        </w:rPr>
        <w:lastRenderedPageBreak/>
        <w:t>Con respecto a la Observación N° 2,</w:t>
      </w:r>
      <w:r w:rsidR="00F8495F" w:rsidRPr="00BE3337">
        <w:rPr>
          <w:rFonts w:ascii="Times New Roman" w:hAnsi="Times New Roman"/>
          <w:szCs w:val="24"/>
        </w:rPr>
        <w:t xml:space="preserve"> mediante la cual el participante solicita que los profesionales además de su experiencia en la ejecución de obras similares puedan acreditar experiencia en la supervisión de éstas,</w:t>
      </w:r>
      <w:r w:rsidRPr="00BE3337">
        <w:rPr>
          <w:rFonts w:ascii="Times New Roman" w:hAnsi="Times New Roman"/>
          <w:szCs w:val="24"/>
        </w:rPr>
        <w:t xml:space="preserve"> </w:t>
      </w:r>
      <w:r w:rsidR="00C22DE7" w:rsidRPr="00BE3337">
        <w:rPr>
          <w:rFonts w:ascii="Times New Roman" w:hAnsi="Times New Roman"/>
          <w:szCs w:val="24"/>
        </w:rPr>
        <w:t xml:space="preserve">si bien el Comité Especial </w:t>
      </w:r>
      <w:r w:rsidR="009A13AA">
        <w:rPr>
          <w:rFonts w:ascii="Times New Roman" w:hAnsi="Times New Roman"/>
          <w:szCs w:val="24"/>
        </w:rPr>
        <w:t>señaló</w:t>
      </w:r>
      <w:r w:rsidR="00C22DE7" w:rsidRPr="00BE3337">
        <w:rPr>
          <w:rFonts w:ascii="Times New Roman" w:hAnsi="Times New Roman"/>
          <w:szCs w:val="24"/>
        </w:rPr>
        <w:t xml:space="preserve"> no acoger la misma, en la medida que dicho Colegiado ha </w:t>
      </w:r>
      <w:r w:rsidR="009A13AA">
        <w:rPr>
          <w:rFonts w:ascii="Times New Roman" w:hAnsi="Times New Roman"/>
          <w:szCs w:val="24"/>
        </w:rPr>
        <w:t>indicado</w:t>
      </w:r>
      <w:r w:rsidR="00C22DE7" w:rsidRPr="00BE3337">
        <w:rPr>
          <w:rFonts w:ascii="Times New Roman" w:hAnsi="Times New Roman"/>
          <w:szCs w:val="24"/>
        </w:rPr>
        <w:t xml:space="preserve"> que para el personal propuesto será válida su experiencia como </w:t>
      </w:r>
      <w:r w:rsidR="00F8495F" w:rsidRPr="00BE3337">
        <w:rPr>
          <w:rFonts w:ascii="Times New Roman" w:hAnsi="Times New Roman"/>
          <w:szCs w:val="24"/>
        </w:rPr>
        <w:t>“especialistas”</w:t>
      </w:r>
      <w:r w:rsidR="00C22DE7" w:rsidRPr="00BE3337">
        <w:rPr>
          <w:rFonts w:ascii="Times New Roman" w:hAnsi="Times New Roman"/>
          <w:szCs w:val="24"/>
        </w:rPr>
        <w:t xml:space="preserve"> tanto en la ejecución como en la supervisión de obras similares,</w:t>
      </w:r>
      <w:r w:rsidR="00F8495F" w:rsidRPr="00BE3337">
        <w:rPr>
          <w:rFonts w:ascii="Times New Roman" w:hAnsi="Times New Roman"/>
          <w:szCs w:val="24"/>
        </w:rPr>
        <w:t xml:space="preserve"> </w:t>
      </w:r>
      <w:r w:rsidR="00C22DE7" w:rsidRPr="00BE3337">
        <w:rPr>
          <w:rFonts w:ascii="Times New Roman" w:hAnsi="Times New Roman"/>
          <w:szCs w:val="24"/>
        </w:rPr>
        <w:t xml:space="preserve">lo cual guarda relación </w:t>
      </w:r>
      <w:r w:rsidR="00BC5062" w:rsidRPr="00BE3337">
        <w:rPr>
          <w:rFonts w:ascii="Times New Roman" w:hAnsi="Times New Roman"/>
          <w:szCs w:val="24"/>
        </w:rPr>
        <w:t xml:space="preserve">con lo requerido por el participante, </w:t>
      </w:r>
      <w:r w:rsidR="009A13AA">
        <w:rPr>
          <w:rFonts w:ascii="Times New Roman" w:hAnsi="Times New Roman"/>
          <w:szCs w:val="24"/>
        </w:rPr>
        <w:t>se advierte</w:t>
      </w:r>
      <w:r w:rsidR="00F8495F" w:rsidRPr="00BE3337">
        <w:rPr>
          <w:rFonts w:ascii="Times New Roman" w:hAnsi="Times New Roman"/>
          <w:szCs w:val="24"/>
        </w:rPr>
        <w:t xml:space="preserve"> que la presente observación en estricto habría sido acogida</w:t>
      </w:r>
      <w:r w:rsidR="009A13AA">
        <w:rPr>
          <w:rFonts w:ascii="Times New Roman" w:hAnsi="Times New Roman"/>
          <w:szCs w:val="24"/>
        </w:rPr>
        <w:t>; por lo tanto,</w:t>
      </w:r>
      <w:r w:rsidR="00F8495F" w:rsidRPr="00BE3337">
        <w:rPr>
          <w:rFonts w:ascii="Times New Roman" w:hAnsi="Times New Roman"/>
          <w:szCs w:val="24"/>
        </w:rPr>
        <w:t xml:space="preserve"> </w:t>
      </w:r>
      <w:r w:rsidR="00D13B60" w:rsidRPr="00BE3337">
        <w:rPr>
          <w:rFonts w:ascii="Times New Roman" w:hAnsi="Times New Roman"/>
          <w:szCs w:val="24"/>
        </w:rPr>
        <w:t>no corresponde que este</w:t>
      </w:r>
      <w:r w:rsidR="00F8495F" w:rsidRPr="00BE3337">
        <w:rPr>
          <w:rFonts w:ascii="Times New Roman" w:hAnsi="Times New Roman"/>
          <w:szCs w:val="24"/>
        </w:rPr>
        <w:t xml:space="preserve"> Organismo Supervisor se </w:t>
      </w:r>
      <w:r w:rsidR="00D13B60" w:rsidRPr="00BE3337">
        <w:rPr>
          <w:rFonts w:ascii="Times New Roman" w:hAnsi="Times New Roman"/>
          <w:szCs w:val="24"/>
        </w:rPr>
        <w:t>pronuncie</w:t>
      </w:r>
      <w:r w:rsidR="00F8495F" w:rsidRPr="00BE3337">
        <w:rPr>
          <w:rFonts w:ascii="Times New Roman" w:hAnsi="Times New Roman"/>
          <w:szCs w:val="24"/>
        </w:rPr>
        <w:t xml:space="preserve"> al respecto.</w:t>
      </w:r>
    </w:p>
    <w:p w:rsidR="00D13B60" w:rsidRPr="00BE3337" w:rsidRDefault="00D13B60" w:rsidP="00DD1653">
      <w:pPr>
        <w:pStyle w:val="WW-Textoindependiente2"/>
        <w:tabs>
          <w:tab w:val="left" w:pos="426"/>
        </w:tabs>
        <w:rPr>
          <w:rFonts w:ascii="Times New Roman" w:hAnsi="Times New Roman"/>
          <w:szCs w:val="24"/>
        </w:rPr>
      </w:pPr>
    </w:p>
    <w:p w:rsidR="00DD1653" w:rsidRPr="00BE3337" w:rsidRDefault="0089126D" w:rsidP="00EC1724">
      <w:pPr>
        <w:pStyle w:val="WW-Textoindependiente2"/>
        <w:tabs>
          <w:tab w:val="left" w:pos="426"/>
        </w:tabs>
        <w:rPr>
          <w:rFonts w:ascii="Times New Roman" w:hAnsi="Times New Roman"/>
          <w:szCs w:val="24"/>
        </w:rPr>
      </w:pPr>
      <w:r w:rsidRPr="00BE3337">
        <w:rPr>
          <w:rFonts w:ascii="Times New Roman" w:hAnsi="Times New Roman"/>
          <w:szCs w:val="24"/>
        </w:rPr>
        <w:t>Por otro lado</w:t>
      </w:r>
      <w:r w:rsidR="00EC1724" w:rsidRPr="00BE3337">
        <w:rPr>
          <w:rFonts w:ascii="Times New Roman" w:hAnsi="Times New Roman"/>
          <w:szCs w:val="24"/>
        </w:rPr>
        <w:t xml:space="preserve">, </w:t>
      </w:r>
      <w:r w:rsidR="009318F1" w:rsidRPr="00BE3337">
        <w:rPr>
          <w:rFonts w:ascii="Times New Roman" w:hAnsi="Times New Roman"/>
          <w:szCs w:val="24"/>
        </w:rPr>
        <w:t xml:space="preserve">este Organismo Supervisor no se pronunciará respecto de las Observaciones </w:t>
      </w:r>
      <w:r w:rsidR="00EC1724" w:rsidRPr="00BE3337">
        <w:rPr>
          <w:rFonts w:ascii="Times New Roman" w:hAnsi="Times New Roman"/>
          <w:szCs w:val="24"/>
        </w:rPr>
        <w:t xml:space="preserve">       </w:t>
      </w:r>
      <w:r w:rsidR="009318F1" w:rsidRPr="00BE3337">
        <w:rPr>
          <w:rFonts w:ascii="Times New Roman" w:hAnsi="Times New Roman"/>
          <w:szCs w:val="24"/>
        </w:rPr>
        <w:t>N° 3, N° 5, N° 7, N° 8 y N° 10, puesto que éstas han sido acogidas por el Comité Especial y no fueron cuestionadas por el participante en su solicitu</w:t>
      </w:r>
      <w:r w:rsidR="00EC1724" w:rsidRPr="00BE3337">
        <w:rPr>
          <w:rFonts w:ascii="Times New Roman" w:hAnsi="Times New Roman"/>
          <w:szCs w:val="24"/>
        </w:rPr>
        <w:t>d de elevación de observaciones</w:t>
      </w:r>
      <w:r w:rsidR="00DD1653" w:rsidRPr="00BE3337">
        <w:rPr>
          <w:rFonts w:ascii="Times New Roman" w:eastAsia="Times New Roman" w:hAnsi="Times New Roman"/>
          <w:szCs w:val="24"/>
          <w:lang w:val="es-ES" w:eastAsia="es-MX"/>
        </w:rPr>
        <w:t xml:space="preserve">; </w:t>
      </w:r>
      <w:r w:rsidR="00DD1653" w:rsidRPr="00BE3337">
        <w:rPr>
          <w:rFonts w:ascii="Times New Roman" w:eastAsia="Times New Roman" w:hAnsi="Times New Roman"/>
          <w:szCs w:val="24"/>
          <w:lang w:eastAsia="es-MX"/>
        </w:rPr>
        <w:t>sin perjuicio de las observaciones de oficio que puedan realizarse sobre aspectos relevantes de las Bases al amparo de lo previsto en el inciso a) del artículo 58 de la Ley.</w:t>
      </w:r>
    </w:p>
    <w:p w:rsidR="00044828" w:rsidRPr="00BE3337" w:rsidRDefault="00044828" w:rsidP="00DD1653">
      <w:pPr>
        <w:widowControl w:val="0"/>
        <w:suppressAutoHyphens/>
        <w:spacing w:after="0" w:line="240" w:lineRule="auto"/>
        <w:jc w:val="both"/>
        <w:rPr>
          <w:rFonts w:ascii="Times New Roman" w:eastAsia="MS Mincho" w:hAnsi="Times New Roman" w:cs="Times New Roman"/>
          <w:sz w:val="24"/>
          <w:szCs w:val="24"/>
          <w:lang w:eastAsia="es-PE"/>
        </w:rPr>
      </w:pPr>
    </w:p>
    <w:p w:rsidR="00DD1653" w:rsidRPr="00BE3337" w:rsidRDefault="00DD1653" w:rsidP="00DD1653">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BE3337">
        <w:rPr>
          <w:rFonts w:ascii="Times New Roman" w:eastAsia="Times New Roman" w:hAnsi="Times New Roman" w:cs="Times New Roman"/>
          <w:b/>
          <w:sz w:val="24"/>
          <w:szCs w:val="24"/>
          <w:lang w:val="es-ES" w:eastAsia="es-MX"/>
        </w:rPr>
        <w:t>OBSERVACIONES</w:t>
      </w:r>
    </w:p>
    <w:p w:rsidR="00DD1653" w:rsidRPr="00BE3337" w:rsidRDefault="00DD1653" w:rsidP="00DD1653">
      <w:pPr>
        <w:widowControl w:val="0"/>
        <w:spacing w:after="0" w:line="240" w:lineRule="auto"/>
        <w:ind w:left="567"/>
        <w:jc w:val="both"/>
        <w:rPr>
          <w:rFonts w:ascii="Times New Roman" w:eastAsia="Times New Roman" w:hAnsi="Times New Roman" w:cs="Times New Roman"/>
          <w:b/>
          <w:sz w:val="24"/>
          <w:szCs w:val="24"/>
          <w:lang w:val="es-ES" w:eastAsia="es-MX"/>
        </w:rPr>
      </w:pPr>
    </w:p>
    <w:p w:rsidR="00DD1653" w:rsidRPr="00BE3337" w:rsidRDefault="00DD1653" w:rsidP="00DD1653">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ES"/>
        </w:rPr>
      </w:pPr>
      <w:r w:rsidRPr="00BE3337">
        <w:rPr>
          <w:rFonts w:ascii="Times New Roman" w:eastAsia="Times New Roman" w:hAnsi="Times New Roman" w:cs="Times New Roman"/>
          <w:b/>
          <w:sz w:val="24"/>
          <w:szCs w:val="24"/>
          <w:lang w:eastAsia="es-MX"/>
        </w:rPr>
        <w:t>Observante:</w:t>
      </w:r>
      <w:r w:rsidRPr="00BE3337">
        <w:rPr>
          <w:rFonts w:ascii="Times New Roman" w:eastAsia="Times New Roman" w:hAnsi="Times New Roman" w:cs="Times New Roman"/>
          <w:b/>
          <w:sz w:val="24"/>
          <w:szCs w:val="24"/>
          <w:lang w:eastAsia="es-MX"/>
        </w:rPr>
        <w:tab/>
      </w:r>
      <w:r w:rsidR="00044828" w:rsidRPr="00BE3337">
        <w:rPr>
          <w:rFonts w:ascii="Times New Roman" w:eastAsia="Times New Roman" w:hAnsi="Times New Roman" w:cs="Times New Roman"/>
          <w:b/>
          <w:sz w:val="24"/>
          <w:szCs w:val="24"/>
          <w:lang w:eastAsia="es-ES"/>
        </w:rPr>
        <w:t>CHUNG &amp; TONG INGENIEROS S.A.C.</w:t>
      </w:r>
    </w:p>
    <w:p w:rsidR="00DD1653" w:rsidRPr="00BE3337" w:rsidRDefault="00DD1653" w:rsidP="00DD1653">
      <w:pPr>
        <w:widowControl w:val="0"/>
        <w:tabs>
          <w:tab w:val="left" w:pos="3969"/>
        </w:tabs>
        <w:spacing w:after="0" w:line="240" w:lineRule="auto"/>
        <w:ind w:left="3969" w:hanging="3969"/>
        <w:jc w:val="both"/>
        <w:rPr>
          <w:rFonts w:ascii="Times New Roman" w:eastAsia="Times New Roman" w:hAnsi="Times New Roman" w:cs="Times New Roman"/>
          <w:b/>
          <w:sz w:val="24"/>
          <w:szCs w:val="24"/>
          <w:lang w:eastAsia="es-MX"/>
        </w:rPr>
      </w:pPr>
    </w:p>
    <w:p w:rsidR="00DD1653" w:rsidRPr="00BE3337" w:rsidRDefault="00044828" w:rsidP="00DD1653">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BE3337">
        <w:rPr>
          <w:rFonts w:ascii="Times New Roman" w:eastAsia="Times New Roman" w:hAnsi="Times New Roman" w:cs="Times New Roman"/>
          <w:b/>
          <w:sz w:val="24"/>
          <w:szCs w:val="24"/>
          <w:lang w:val="es-ES" w:eastAsia="es-MX"/>
        </w:rPr>
        <w:t>Observaci</w:t>
      </w:r>
      <w:r w:rsidR="007D66B5" w:rsidRPr="00BE3337">
        <w:rPr>
          <w:rFonts w:ascii="Times New Roman" w:eastAsia="Times New Roman" w:hAnsi="Times New Roman" w:cs="Times New Roman"/>
          <w:b/>
          <w:sz w:val="24"/>
          <w:szCs w:val="24"/>
          <w:lang w:val="es-ES" w:eastAsia="es-MX"/>
        </w:rPr>
        <w:t>ones</w:t>
      </w:r>
      <w:r w:rsidR="00DD1653" w:rsidRPr="00BE3337">
        <w:rPr>
          <w:rFonts w:ascii="Times New Roman" w:eastAsia="Times New Roman" w:hAnsi="Times New Roman" w:cs="Times New Roman"/>
          <w:b/>
          <w:sz w:val="24"/>
          <w:szCs w:val="24"/>
          <w:lang w:val="es-ES" w:eastAsia="es-MX"/>
        </w:rPr>
        <w:t xml:space="preserve"> Nº </w:t>
      </w:r>
      <w:r w:rsidR="00D13B60" w:rsidRPr="00BE3337">
        <w:rPr>
          <w:rFonts w:ascii="Times New Roman" w:eastAsia="Times New Roman" w:hAnsi="Times New Roman" w:cs="Times New Roman"/>
          <w:b/>
          <w:sz w:val="24"/>
          <w:szCs w:val="24"/>
          <w:lang w:val="es-ES" w:eastAsia="es-MX"/>
        </w:rPr>
        <w:t>4</w:t>
      </w:r>
      <w:r w:rsidR="00545BB9" w:rsidRPr="00BE3337">
        <w:rPr>
          <w:rFonts w:ascii="Times New Roman" w:eastAsia="Times New Roman" w:hAnsi="Times New Roman" w:cs="Times New Roman"/>
          <w:b/>
          <w:sz w:val="24"/>
          <w:szCs w:val="24"/>
          <w:lang w:val="es-ES" w:eastAsia="es-MX"/>
        </w:rPr>
        <w:t xml:space="preserve"> y Nº 6</w:t>
      </w:r>
      <w:r w:rsidR="00DD1653" w:rsidRPr="00BE3337">
        <w:rPr>
          <w:rFonts w:ascii="Times New Roman" w:eastAsia="Times New Roman" w:hAnsi="Times New Roman" w:cs="Times New Roman"/>
          <w:b/>
          <w:sz w:val="24"/>
          <w:szCs w:val="24"/>
          <w:lang w:val="es-ES" w:eastAsia="es-MX"/>
        </w:rPr>
        <w:tab/>
        <w:t>Contra los requerimientos técnicos mínimos</w:t>
      </w:r>
    </w:p>
    <w:p w:rsidR="00DD1653" w:rsidRPr="00BE3337" w:rsidRDefault="00DD1653" w:rsidP="00DD1653">
      <w:pPr>
        <w:widowControl w:val="0"/>
        <w:spacing w:after="0" w:line="240" w:lineRule="auto"/>
        <w:ind w:left="4111" w:hanging="4111"/>
        <w:jc w:val="both"/>
        <w:rPr>
          <w:rFonts w:ascii="Times New Roman" w:eastAsia="Times New Roman" w:hAnsi="Times New Roman" w:cs="Times New Roman"/>
          <w:sz w:val="24"/>
          <w:szCs w:val="24"/>
          <w:lang w:val="es-ES" w:eastAsia="es-MX"/>
        </w:rPr>
      </w:pPr>
    </w:p>
    <w:p w:rsidR="003C55E2" w:rsidRPr="00BE3337" w:rsidRDefault="00D13B60" w:rsidP="003C55E2">
      <w:pPr>
        <w:widowControl w:val="0"/>
        <w:spacing w:after="0" w:line="240" w:lineRule="auto"/>
        <w:jc w:val="both"/>
        <w:rPr>
          <w:rFonts w:ascii="Times New Roman" w:hAnsi="Times New Roman"/>
          <w:sz w:val="24"/>
          <w:szCs w:val="24"/>
        </w:rPr>
      </w:pPr>
      <w:r w:rsidRPr="00BE3337">
        <w:rPr>
          <w:rFonts w:ascii="Times New Roman" w:eastAsia="Times New Roman" w:hAnsi="Times New Roman" w:cs="Times New Roman"/>
          <w:sz w:val="24"/>
          <w:szCs w:val="24"/>
          <w:lang w:val="es-ES" w:eastAsia="es-MX"/>
        </w:rPr>
        <w:t>Mediante la Observación N</w:t>
      </w:r>
      <w:r w:rsidRPr="00BE3337">
        <w:rPr>
          <w:rFonts w:ascii="Times New Roman" w:hAnsi="Times New Roman"/>
          <w:sz w:val="24"/>
          <w:szCs w:val="24"/>
        </w:rPr>
        <w:t>° 4</w:t>
      </w:r>
      <w:r w:rsidR="00B0286B" w:rsidRPr="00BE3337">
        <w:rPr>
          <w:rFonts w:ascii="Times New Roman" w:hAnsi="Times New Roman"/>
          <w:sz w:val="24"/>
          <w:szCs w:val="24"/>
        </w:rPr>
        <w:t>,</w:t>
      </w:r>
      <w:r w:rsidRPr="00BE3337">
        <w:rPr>
          <w:rFonts w:ascii="Times New Roman" w:hAnsi="Times New Roman"/>
          <w:sz w:val="24"/>
          <w:szCs w:val="24"/>
        </w:rPr>
        <w:t xml:space="preserve"> el participante </w:t>
      </w:r>
      <w:r w:rsidR="003C55E2" w:rsidRPr="00BE3337">
        <w:rPr>
          <w:rFonts w:ascii="Times New Roman" w:hAnsi="Times New Roman"/>
          <w:sz w:val="24"/>
          <w:szCs w:val="24"/>
        </w:rPr>
        <w:t>señala</w:t>
      </w:r>
      <w:r w:rsidR="00E744B1" w:rsidRPr="00BE3337">
        <w:rPr>
          <w:rFonts w:ascii="Times New Roman" w:hAnsi="Times New Roman"/>
          <w:sz w:val="24"/>
          <w:szCs w:val="24"/>
        </w:rPr>
        <w:t xml:space="preserve"> que teniendo en cuenta </w:t>
      </w:r>
      <w:r w:rsidR="003C55E2" w:rsidRPr="00BE3337">
        <w:rPr>
          <w:rFonts w:ascii="Times New Roman" w:hAnsi="Times New Roman"/>
          <w:sz w:val="24"/>
          <w:szCs w:val="24"/>
        </w:rPr>
        <w:t xml:space="preserve">la especialidad y </w:t>
      </w:r>
      <w:r w:rsidR="00E744B1" w:rsidRPr="00BE3337">
        <w:rPr>
          <w:rFonts w:ascii="Times New Roman" w:hAnsi="Times New Roman"/>
          <w:sz w:val="24"/>
          <w:szCs w:val="24"/>
        </w:rPr>
        <w:t>las labores que desarrollará el “</w:t>
      </w:r>
      <w:r w:rsidR="003C55E2" w:rsidRPr="00BE3337">
        <w:rPr>
          <w:rFonts w:ascii="Times New Roman" w:hAnsi="Times New Roman"/>
          <w:sz w:val="24"/>
          <w:szCs w:val="24"/>
        </w:rPr>
        <w:t>arquitecto</w:t>
      </w:r>
      <w:r w:rsidR="00E744B1" w:rsidRPr="00BE3337">
        <w:rPr>
          <w:rFonts w:ascii="Times New Roman" w:hAnsi="Times New Roman"/>
          <w:sz w:val="24"/>
          <w:szCs w:val="24"/>
        </w:rPr>
        <w:t xml:space="preserve">” en la ejecución de la obra, su experiencia no solo debería restringirse </w:t>
      </w:r>
      <w:r w:rsidR="003C55E2" w:rsidRPr="00BE3337">
        <w:rPr>
          <w:rFonts w:ascii="Times New Roman" w:hAnsi="Times New Roman"/>
          <w:sz w:val="24"/>
          <w:szCs w:val="24"/>
        </w:rPr>
        <w:t xml:space="preserve">al cargo de especialista en arquitectura; por lo que solicita que también se considere como válida su experiencia como “arquitecto”. </w:t>
      </w:r>
    </w:p>
    <w:p w:rsidR="00E744B1" w:rsidRPr="00BE3337" w:rsidRDefault="00E744B1" w:rsidP="00E744B1">
      <w:pPr>
        <w:widowControl w:val="0"/>
        <w:spacing w:after="0" w:line="240" w:lineRule="auto"/>
        <w:jc w:val="both"/>
        <w:rPr>
          <w:rFonts w:ascii="Times New Roman" w:hAnsi="Times New Roman"/>
          <w:sz w:val="24"/>
          <w:szCs w:val="24"/>
        </w:rPr>
      </w:pPr>
    </w:p>
    <w:p w:rsidR="004F3787" w:rsidRPr="00BE3337" w:rsidRDefault="003C55E2" w:rsidP="004F3787">
      <w:pPr>
        <w:widowControl w:val="0"/>
        <w:spacing w:after="0" w:line="240" w:lineRule="auto"/>
        <w:jc w:val="both"/>
        <w:rPr>
          <w:rFonts w:ascii="Times New Roman" w:hAnsi="Times New Roman"/>
          <w:sz w:val="24"/>
          <w:szCs w:val="24"/>
        </w:rPr>
      </w:pPr>
      <w:r w:rsidRPr="00BE3337">
        <w:rPr>
          <w:rFonts w:ascii="Times New Roman" w:hAnsi="Times New Roman"/>
          <w:sz w:val="24"/>
          <w:szCs w:val="24"/>
        </w:rPr>
        <w:t xml:space="preserve">Mediante la Observación N° 6, </w:t>
      </w:r>
      <w:r w:rsidR="004F3787" w:rsidRPr="00BE3337">
        <w:rPr>
          <w:rFonts w:ascii="Times New Roman" w:hAnsi="Times New Roman"/>
          <w:sz w:val="24"/>
          <w:szCs w:val="24"/>
        </w:rPr>
        <w:t xml:space="preserve">el participante señala que al tratarse la obra objeto de convocatoria de una edificación, las funciones del “ingeniero electromecánico o mecánico - eléctrico” no </w:t>
      </w:r>
      <w:r w:rsidR="00ED2AA3" w:rsidRPr="00BE3337">
        <w:rPr>
          <w:rFonts w:ascii="Times New Roman" w:hAnsi="Times New Roman"/>
          <w:sz w:val="24"/>
          <w:szCs w:val="24"/>
        </w:rPr>
        <w:t>deberían</w:t>
      </w:r>
      <w:r w:rsidR="004F3787" w:rsidRPr="00BE3337">
        <w:rPr>
          <w:rFonts w:ascii="Times New Roman" w:hAnsi="Times New Roman"/>
          <w:sz w:val="24"/>
          <w:szCs w:val="24"/>
        </w:rPr>
        <w:t xml:space="preserve"> </w:t>
      </w:r>
      <w:r w:rsidR="00ED2AA3" w:rsidRPr="00BE3337">
        <w:rPr>
          <w:rFonts w:ascii="Times New Roman" w:hAnsi="Times New Roman"/>
          <w:sz w:val="24"/>
          <w:szCs w:val="24"/>
        </w:rPr>
        <w:t>ser realizadas únicamente</w:t>
      </w:r>
      <w:r w:rsidR="004F3787" w:rsidRPr="00BE3337">
        <w:rPr>
          <w:rFonts w:ascii="Times New Roman" w:hAnsi="Times New Roman"/>
          <w:sz w:val="24"/>
          <w:szCs w:val="24"/>
        </w:rPr>
        <w:t xml:space="preserve"> </w:t>
      </w:r>
      <w:r w:rsidR="00ED2AA3" w:rsidRPr="00BE3337">
        <w:rPr>
          <w:rFonts w:ascii="Times New Roman" w:hAnsi="Times New Roman"/>
          <w:sz w:val="24"/>
          <w:szCs w:val="24"/>
        </w:rPr>
        <w:t>por un</w:t>
      </w:r>
      <w:r w:rsidR="004F3787" w:rsidRPr="00BE3337">
        <w:rPr>
          <w:rFonts w:ascii="Times New Roman" w:hAnsi="Times New Roman"/>
          <w:sz w:val="24"/>
          <w:szCs w:val="24"/>
        </w:rPr>
        <w:t xml:space="preserve"> “</w:t>
      </w:r>
      <w:r w:rsidR="00ED2AA3" w:rsidRPr="00BE3337">
        <w:rPr>
          <w:rFonts w:ascii="Times New Roman" w:hAnsi="Times New Roman"/>
          <w:sz w:val="24"/>
          <w:szCs w:val="24"/>
        </w:rPr>
        <w:t>ingeniero electromecánico o ingeniero mecánico eléctrico</w:t>
      </w:r>
      <w:r w:rsidR="004F3787" w:rsidRPr="00BE3337">
        <w:rPr>
          <w:rFonts w:ascii="Times New Roman" w:hAnsi="Times New Roman"/>
          <w:sz w:val="24"/>
          <w:szCs w:val="24"/>
        </w:rPr>
        <w:t xml:space="preserve">”, ya que profesionales de otras ramas relacionadas a la construcción y supervisión de edificaciones en general y en la especialidad </w:t>
      </w:r>
      <w:r w:rsidR="00772F15" w:rsidRPr="00BE3337">
        <w:rPr>
          <w:rFonts w:ascii="Times New Roman" w:hAnsi="Times New Roman"/>
          <w:sz w:val="24"/>
          <w:szCs w:val="24"/>
        </w:rPr>
        <w:t xml:space="preserve">también </w:t>
      </w:r>
      <w:r w:rsidR="00ED2AA3" w:rsidRPr="00BE3337">
        <w:rPr>
          <w:rFonts w:ascii="Times New Roman" w:hAnsi="Times New Roman"/>
          <w:sz w:val="24"/>
          <w:szCs w:val="24"/>
        </w:rPr>
        <w:t>podrían</w:t>
      </w:r>
      <w:r w:rsidR="004F3787" w:rsidRPr="00BE3337">
        <w:rPr>
          <w:rFonts w:ascii="Times New Roman" w:hAnsi="Times New Roman"/>
          <w:sz w:val="24"/>
          <w:szCs w:val="24"/>
        </w:rPr>
        <w:t xml:space="preserve"> realizar </w:t>
      </w:r>
      <w:r w:rsidR="00772F15" w:rsidRPr="00BE3337">
        <w:rPr>
          <w:rFonts w:ascii="Times New Roman" w:hAnsi="Times New Roman"/>
          <w:sz w:val="24"/>
          <w:szCs w:val="24"/>
        </w:rPr>
        <w:t>las</w:t>
      </w:r>
      <w:r w:rsidR="004F3787" w:rsidRPr="00BE3337">
        <w:rPr>
          <w:rFonts w:ascii="Times New Roman" w:hAnsi="Times New Roman"/>
          <w:sz w:val="24"/>
          <w:szCs w:val="24"/>
        </w:rPr>
        <w:t xml:space="preserve"> </w:t>
      </w:r>
      <w:r w:rsidR="00165D01" w:rsidRPr="00BE3337">
        <w:rPr>
          <w:rFonts w:ascii="Times New Roman" w:hAnsi="Times New Roman"/>
          <w:sz w:val="24"/>
          <w:szCs w:val="24"/>
        </w:rPr>
        <w:t xml:space="preserve">labores </w:t>
      </w:r>
      <w:r w:rsidR="00545BB9" w:rsidRPr="00BE3337">
        <w:rPr>
          <w:rFonts w:ascii="Times New Roman" w:hAnsi="Times New Roman"/>
          <w:sz w:val="24"/>
          <w:szCs w:val="24"/>
        </w:rPr>
        <w:t>del profesional previsto en las Bases</w:t>
      </w:r>
      <w:r w:rsidR="00934518" w:rsidRPr="00BE3337">
        <w:rPr>
          <w:rFonts w:ascii="Times New Roman" w:hAnsi="Times New Roman"/>
          <w:sz w:val="24"/>
          <w:szCs w:val="24"/>
        </w:rPr>
        <w:t xml:space="preserve">; mientras que en su solicitud de elevación de observaciones señala que al absolver la presente observación el Comité Especial habría considerado la experiencia y no el cargo del profesional, por lo que la respuesta brindada resultaría incorrecta. En ese sentido, </w:t>
      </w:r>
      <w:r w:rsidR="00ED2AA3" w:rsidRPr="00BE3337">
        <w:rPr>
          <w:rFonts w:ascii="Times New Roman" w:hAnsi="Times New Roman"/>
          <w:sz w:val="24"/>
          <w:szCs w:val="24"/>
        </w:rPr>
        <w:t xml:space="preserve">solicita que </w:t>
      </w:r>
      <w:r w:rsidR="00934518" w:rsidRPr="00BE3337">
        <w:rPr>
          <w:rFonts w:ascii="Times New Roman" w:hAnsi="Times New Roman"/>
          <w:sz w:val="24"/>
          <w:szCs w:val="24"/>
        </w:rPr>
        <w:t>adicionalmente</w:t>
      </w:r>
      <w:r w:rsidR="00ED2AA3" w:rsidRPr="00BE3337">
        <w:rPr>
          <w:rFonts w:ascii="Times New Roman" w:hAnsi="Times New Roman"/>
          <w:sz w:val="24"/>
          <w:szCs w:val="24"/>
        </w:rPr>
        <w:t xml:space="preserve"> se considere como válida la profesión de “ingeniero mecánico electricista”</w:t>
      </w:r>
      <w:r w:rsidR="00772F15" w:rsidRPr="00BE3337">
        <w:rPr>
          <w:rFonts w:ascii="Times New Roman" w:hAnsi="Times New Roman"/>
          <w:sz w:val="24"/>
          <w:szCs w:val="24"/>
        </w:rPr>
        <w:t xml:space="preserve"> dentro del perfil del “ingeniero electromecánico o mecánico - eléctrico”.</w:t>
      </w:r>
    </w:p>
    <w:p w:rsidR="004F3787" w:rsidRPr="00BE3337" w:rsidRDefault="004F3787" w:rsidP="004F3787">
      <w:pPr>
        <w:widowControl w:val="0"/>
        <w:spacing w:after="0" w:line="240" w:lineRule="auto"/>
        <w:jc w:val="both"/>
        <w:rPr>
          <w:rFonts w:ascii="Times New Roman" w:hAnsi="Times New Roman"/>
          <w:sz w:val="24"/>
          <w:szCs w:val="24"/>
        </w:rPr>
      </w:pPr>
    </w:p>
    <w:p w:rsidR="00545BB9" w:rsidRPr="00BE3337" w:rsidRDefault="00545BB9" w:rsidP="004F3787">
      <w:pPr>
        <w:widowControl w:val="0"/>
        <w:spacing w:after="0" w:line="240" w:lineRule="auto"/>
        <w:jc w:val="both"/>
        <w:rPr>
          <w:rFonts w:ascii="Times New Roman" w:hAnsi="Times New Roman"/>
          <w:b/>
          <w:sz w:val="24"/>
          <w:szCs w:val="24"/>
        </w:rPr>
      </w:pPr>
      <w:r w:rsidRPr="00BE3337">
        <w:rPr>
          <w:rFonts w:ascii="Times New Roman" w:hAnsi="Times New Roman"/>
          <w:b/>
          <w:sz w:val="24"/>
          <w:szCs w:val="24"/>
        </w:rPr>
        <w:t>Pronunciamiento</w:t>
      </w:r>
    </w:p>
    <w:p w:rsidR="00545BB9" w:rsidRPr="00BE3337" w:rsidRDefault="00545BB9" w:rsidP="004F3787">
      <w:pPr>
        <w:widowControl w:val="0"/>
        <w:spacing w:after="0" w:line="240" w:lineRule="auto"/>
        <w:jc w:val="both"/>
        <w:rPr>
          <w:rFonts w:ascii="Times New Roman" w:hAnsi="Times New Roman"/>
          <w:b/>
          <w:sz w:val="24"/>
          <w:szCs w:val="24"/>
        </w:rPr>
      </w:pPr>
    </w:p>
    <w:p w:rsidR="00545BB9" w:rsidRPr="00BE3337" w:rsidRDefault="00545BB9" w:rsidP="004F3787">
      <w:pPr>
        <w:widowControl w:val="0"/>
        <w:spacing w:after="0" w:line="240" w:lineRule="auto"/>
        <w:jc w:val="both"/>
        <w:rPr>
          <w:rFonts w:ascii="Times New Roman" w:hAnsi="Times New Roman"/>
          <w:sz w:val="24"/>
          <w:szCs w:val="24"/>
        </w:rPr>
      </w:pPr>
      <w:r w:rsidRPr="00BE3337">
        <w:rPr>
          <w:rFonts w:ascii="Times New Roman" w:hAnsi="Times New Roman"/>
          <w:sz w:val="24"/>
          <w:szCs w:val="24"/>
        </w:rPr>
        <w:t xml:space="preserve">De la revisión del Capítulo III de la Sección Específica de las Bases se aprecia el perfil mínimo del </w:t>
      </w:r>
      <w:r w:rsidR="00934518" w:rsidRPr="00BE3337">
        <w:rPr>
          <w:rFonts w:ascii="Times New Roman" w:hAnsi="Times New Roman"/>
          <w:sz w:val="24"/>
          <w:szCs w:val="24"/>
        </w:rPr>
        <w:t xml:space="preserve">“arquitecto” y del “ingeniero electromecánico o mecánico – eléctrico” </w:t>
      </w:r>
      <w:r w:rsidRPr="00BE3337">
        <w:rPr>
          <w:rFonts w:ascii="Times New Roman" w:hAnsi="Times New Roman"/>
          <w:sz w:val="24"/>
          <w:szCs w:val="24"/>
        </w:rPr>
        <w:t>conforme a lo siguiente:</w:t>
      </w:r>
    </w:p>
    <w:p w:rsidR="00545BB9" w:rsidRPr="00BE3337" w:rsidRDefault="00545BB9" w:rsidP="004F3787">
      <w:pPr>
        <w:widowControl w:val="0"/>
        <w:spacing w:after="0" w:line="240" w:lineRule="auto"/>
        <w:jc w:val="both"/>
        <w:rPr>
          <w:rFonts w:ascii="Times New Roman" w:hAnsi="Times New Roman"/>
          <w:sz w:val="24"/>
          <w:szCs w:val="24"/>
        </w:rPr>
      </w:pPr>
    </w:p>
    <w:p w:rsidR="00545BB9" w:rsidRPr="00BE3337" w:rsidRDefault="00545BB9" w:rsidP="00545BB9">
      <w:pPr>
        <w:widowControl w:val="0"/>
        <w:spacing w:after="0" w:line="240" w:lineRule="auto"/>
        <w:jc w:val="both"/>
        <w:rPr>
          <w:rFonts w:ascii="Times New Roman" w:hAnsi="Times New Roman"/>
          <w:i/>
          <w:sz w:val="24"/>
          <w:szCs w:val="24"/>
        </w:rPr>
      </w:pPr>
      <w:r w:rsidRPr="00BE3337">
        <w:rPr>
          <w:rFonts w:ascii="Times New Roman" w:hAnsi="Times New Roman"/>
          <w:i/>
          <w:sz w:val="24"/>
          <w:szCs w:val="24"/>
        </w:rPr>
        <w:t xml:space="preserve">“Un (1) </w:t>
      </w:r>
      <w:r w:rsidRPr="00BE3337">
        <w:rPr>
          <w:rFonts w:ascii="Times New Roman" w:hAnsi="Times New Roman"/>
          <w:b/>
          <w:bCs/>
          <w:i/>
          <w:sz w:val="24"/>
          <w:szCs w:val="24"/>
        </w:rPr>
        <w:t>Arquitecto:</w:t>
      </w:r>
      <w:r w:rsidRPr="00BE3337">
        <w:rPr>
          <w:rFonts w:ascii="Times New Roman" w:hAnsi="Times New Roman"/>
          <w:i/>
          <w:sz w:val="24"/>
          <w:szCs w:val="24"/>
        </w:rPr>
        <w:t xml:space="preserve"> Profesional en Arquitectura colegiado y habilitado. Debe tener una experiencia mínima de dos (02) años de haber participado como Especialista en Arquitectura de obras similares</w:t>
      </w:r>
      <w:r w:rsidRPr="00BE3337">
        <w:rPr>
          <w:rFonts w:ascii="Times New Roman" w:hAnsi="Times New Roman"/>
          <w:bCs/>
          <w:i/>
          <w:sz w:val="24"/>
          <w:szCs w:val="24"/>
        </w:rPr>
        <w:t>.</w:t>
      </w:r>
    </w:p>
    <w:p w:rsidR="00545BB9" w:rsidRPr="00BE3337" w:rsidRDefault="00545BB9" w:rsidP="00545BB9">
      <w:pPr>
        <w:widowControl w:val="0"/>
        <w:spacing w:after="0" w:line="240" w:lineRule="auto"/>
        <w:jc w:val="both"/>
        <w:rPr>
          <w:rFonts w:ascii="Times New Roman" w:hAnsi="Times New Roman"/>
          <w:i/>
          <w:sz w:val="24"/>
          <w:szCs w:val="24"/>
        </w:rPr>
      </w:pPr>
      <w:r w:rsidRPr="00BE3337">
        <w:rPr>
          <w:rFonts w:ascii="Times New Roman" w:hAnsi="Times New Roman"/>
          <w:i/>
          <w:sz w:val="24"/>
          <w:szCs w:val="24"/>
        </w:rPr>
        <w:lastRenderedPageBreak/>
        <w:t xml:space="preserve">Un (1) </w:t>
      </w:r>
      <w:r w:rsidRPr="00BE3337">
        <w:rPr>
          <w:rFonts w:ascii="Times New Roman" w:hAnsi="Times New Roman"/>
          <w:b/>
          <w:bCs/>
          <w:i/>
          <w:sz w:val="24"/>
          <w:szCs w:val="24"/>
        </w:rPr>
        <w:t>Ingeniero Electromecánico o Mecánico - Eléctrico</w:t>
      </w:r>
      <w:r w:rsidRPr="00BE3337">
        <w:rPr>
          <w:rFonts w:ascii="Times New Roman" w:hAnsi="Times New Roman"/>
          <w:i/>
          <w:sz w:val="24"/>
          <w:szCs w:val="24"/>
        </w:rPr>
        <w:t xml:space="preserve">: Profesional en Ingeniería </w:t>
      </w:r>
      <w:r w:rsidRPr="00BE3337">
        <w:rPr>
          <w:rFonts w:ascii="Times New Roman" w:hAnsi="Times New Roman"/>
          <w:bCs/>
          <w:i/>
          <w:sz w:val="24"/>
          <w:szCs w:val="24"/>
        </w:rPr>
        <w:t>Electromecánica o Ingeniería Mecánica Eléctrica</w:t>
      </w:r>
      <w:r w:rsidRPr="00BE3337">
        <w:rPr>
          <w:rFonts w:ascii="Times New Roman" w:hAnsi="Times New Roman"/>
          <w:i/>
          <w:sz w:val="24"/>
          <w:szCs w:val="24"/>
        </w:rPr>
        <w:t xml:space="preserve"> colegiado y habilitado. Debe tener una experiencia mínima de dos (02) años de haber participado como Especialista Electromecánico o Mecánico Eléctrico en obras similares</w:t>
      </w:r>
      <w:r w:rsidR="00CA2120" w:rsidRPr="00BE3337">
        <w:rPr>
          <w:rFonts w:ascii="Times New Roman" w:hAnsi="Times New Roman"/>
          <w:i/>
          <w:sz w:val="24"/>
          <w:szCs w:val="24"/>
        </w:rPr>
        <w:t>”</w:t>
      </w:r>
      <w:r w:rsidRPr="00BE3337">
        <w:rPr>
          <w:rFonts w:ascii="Times New Roman" w:hAnsi="Times New Roman"/>
          <w:i/>
          <w:sz w:val="24"/>
          <w:szCs w:val="24"/>
        </w:rPr>
        <w:t>.</w:t>
      </w:r>
    </w:p>
    <w:p w:rsidR="00502892" w:rsidRPr="00BE3337" w:rsidRDefault="00502892" w:rsidP="004F3787">
      <w:pPr>
        <w:widowControl w:val="0"/>
        <w:spacing w:after="0" w:line="240" w:lineRule="auto"/>
        <w:jc w:val="both"/>
        <w:rPr>
          <w:rFonts w:ascii="Times New Roman" w:hAnsi="Times New Roman"/>
          <w:sz w:val="24"/>
          <w:szCs w:val="24"/>
        </w:rPr>
      </w:pPr>
    </w:p>
    <w:p w:rsidR="00545BB9" w:rsidRPr="00BE3337" w:rsidRDefault="00545BB9" w:rsidP="004F3787">
      <w:pPr>
        <w:widowControl w:val="0"/>
        <w:spacing w:after="0" w:line="240" w:lineRule="auto"/>
        <w:jc w:val="both"/>
        <w:rPr>
          <w:rFonts w:ascii="Times New Roman" w:hAnsi="Times New Roman"/>
          <w:sz w:val="24"/>
          <w:szCs w:val="24"/>
        </w:rPr>
      </w:pPr>
      <w:r w:rsidRPr="00BE3337">
        <w:rPr>
          <w:rFonts w:ascii="Times New Roman" w:hAnsi="Times New Roman"/>
          <w:sz w:val="24"/>
          <w:szCs w:val="24"/>
        </w:rPr>
        <w:t>Sobre el particular, al absolver las referidas observaciones el Comité Especial señaló lo siguiente:</w:t>
      </w:r>
    </w:p>
    <w:p w:rsidR="00545BB9" w:rsidRPr="00BE3337" w:rsidRDefault="00545BB9" w:rsidP="004F3787">
      <w:pPr>
        <w:widowControl w:val="0"/>
        <w:spacing w:after="0" w:line="240" w:lineRule="auto"/>
        <w:jc w:val="both"/>
        <w:rPr>
          <w:rFonts w:ascii="Times New Roman" w:hAnsi="Times New Roman"/>
          <w:sz w:val="24"/>
          <w:szCs w:val="24"/>
        </w:rPr>
      </w:pPr>
    </w:p>
    <w:p w:rsidR="00545BB9" w:rsidRPr="00BE3337" w:rsidRDefault="00545BB9" w:rsidP="004F3787">
      <w:pPr>
        <w:widowControl w:val="0"/>
        <w:spacing w:after="0" w:line="240" w:lineRule="auto"/>
        <w:jc w:val="both"/>
        <w:rPr>
          <w:rFonts w:ascii="Times New Roman" w:hAnsi="Times New Roman"/>
          <w:i/>
          <w:sz w:val="24"/>
          <w:szCs w:val="24"/>
          <w:lang w:val="es-ES"/>
        </w:rPr>
      </w:pPr>
      <w:r w:rsidRPr="00BE3337">
        <w:rPr>
          <w:rFonts w:ascii="Times New Roman" w:hAnsi="Times New Roman"/>
          <w:b/>
          <w:sz w:val="24"/>
          <w:szCs w:val="24"/>
        </w:rPr>
        <w:t>Respecto de la Observación N° 4:</w:t>
      </w:r>
      <w:r w:rsidRPr="00BE3337">
        <w:rPr>
          <w:rFonts w:ascii="Times New Roman" w:hAnsi="Times New Roman"/>
          <w:sz w:val="24"/>
          <w:szCs w:val="24"/>
        </w:rPr>
        <w:t xml:space="preserve"> Dicho Colegiado se refirió a lo dispuesto en la Observación N° 4 del participante A&amp;A Proyectos S.A.C., donde manifestó que </w:t>
      </w:r>
      <w:r w:rsidRPr="00BE3337">
        <w:rPr>
          <w:rFonts w:ascii="Times New Roman" w:hAnsi="Times New Roman"/>
          <w:i/>
          <w:sz w:val="24"/>
          <w:szCs w:val="24"/>
        </w:rPr>
        <w:t>“teniendo en consideración que la experiencia relevante en el caso de los profesionales debe encontrarse relacionada con labores iguales o similares, es decir, experiencia en la especialidad, no siendo razonable aquella experiencia obtenida como arquitecto”</w:t>
      </w:r>
    </w:p>
    <w:p w:rsidR="00545BB9" w:rsidRPr="00BE3337" w:rsidRDefault="00545BB9" w:rsidP="004F3787">
      <w:pPr>
        <w:widowControl w:val="0"/>
        <w:spacing w:after="0" w:line="240" w:lineRule="auto"/>
        <w:jc w:val="both"/>
        <w:rPr>
          <w:rFonts w:ascii="Times New Roman" w:hAnsi="Times New Roman"/>
          <w:sz w:val="24"/>
          <w:szCs w:val="24"/>
        </w:rPr>
      </w:pPr>
    </w:p>
    <w:p w:rsidR="00545BB9" w:rsidRPr="00BE3337" w:rsidRDefault="00545BB9" w:rsidP="004F3787">
      <w:pPr>
        <w:widowControl w:val="0"/>
        <w:spacing w:after="0" w:line="240" w:lineRule="auto"/>
        <w:jc w:val="both"/>
        <w:rPr>
          <w:rFonts w:ascii="Times New Roman" w:hAnsi="Times New Roman"/>
          <w:sz w:val="24"/>
          <w:szCs w:val="24"/>
        </w:rPr>
      </w:pPr>
      <w:r w:rsidRPr="00BE3337">
        <w:rPr>
          <w:rFonts w:ascii="Times New Roman" w:hAnsi="Times New Roman"/>
          <w:b/>
          <w:sz w:val="24"/>
          <w:szCs w:val="24"/>
        </w:rPr>
        <w:t xml:space="preserve">Respecto de la Observación N° 6: </w:t>
      </w:r>
      <w:r w:rsidRPr="00BE3337">
        <w:rPr>
          <w:rFonts w:ascii="Times New Roman" w:hAnsi="Times New Roman"/>
          <w:sz w:val="24"/>
          <w:szCs w:val="24"/>
        </w:rPr>
        <w:t xml:space="preserve">Dicho Colegiado se refirió a lo dispuesto en la Observación N° </w:t>
      </w:r>
      <w:r w:rsidR="008176FB" w:rsidRPr="00BE3337">
        <w:rPr>
          <w:rFonts w:ascii="Times New Roman" w:hAnsi="Times New Roman"/>
          <w:sz w:val="24"/>
          <w:szCs w:val="24"/>
        </w:rPr>
        <w:t xml:space="preserve">7 </w:t>
      </w:r>
      <w:r w:rsidRPr="00BE3337">
        <w:rPr>
          <w:rFonts w:ascii="Times New Roman" w:hAnsi="Times New Roman"/>
          <w:sz w:val="24"/>
          <w:szCs w:val="24"/>
        </w:rPr>
        <w:t xml:space="preserve">del participante </w:t>
      </w:r>
      <w:proofErr w:type="spellStart"/>
      <w:r w:rsidR="008176FB" w:rsidRPr="00BE3337">
        <w:rPr>
          <w:rFonts w:ascii="Times New Roman" w:hAnsi="Times New Roman"/>
          <w:sz w:val="24"/>
          <w:szCs w:val="24"/>
        </w:rPr>
        <w:t>Porfisa</w:t>
      </w:r>
      <w:proofErr w:type="spellEnd"/>
      <w:r w:rsidR="008176FB" w:rsidRPr="00BE3337">
        <w:rPr>
          <w:rFonts w:ascii="Times New Roman" w:hAnsi="Times New Roman"/>
          <w:sz w:val="24"/>
          <w:szCs w:val="24"/>
        </w:rPr>
        <w:t xml:space="preserve"> Contratistas Generales</w:t>
      </w:r>
      <w:r w:rsidRPr="00BE3337">
        <w:rPr>
          <w:rFonts w:ascii="Times New Roman" w:hAnsi="Times New Roman"/>
          <w:sz w:val="24"/>
          <w:szCs w:val="24"/>
        </w:rPr>
        <w:t xml:space="preserve"> S.A.C., donde manifestó que </w:t>
      </w:r>
      <w:r w:rsidRPr="00BE3337">
        <w:rPr>
          <w:rFonts w:ascii="Times New Roman" w:hAnsi="Times New Roman"/>
          <w:i/>
          <w:sz w:val="24"/>
          <w:szCs w:val="24"/>
        </w:rPr>
        <w:t>“</w:t>
      </w:r>
      <w:r w:rsidR="00CA2120" w:rsidRPr="00BE3337">
        <w:rPr>
          <w:rFonts w:ascii="Times New Roman" w:hAnsi="Times New Roman"/>
          <w:i/>
          <w:sz w:val="24"/>
          <w:szCs w:val="24"/>
        </w:rPr>
        <w:t>además de lo establecido en las Bases, será válido el siguiente cargo: Especialista Mecánico Electricista”</w:t>
      </w:r>
      <w:r w:rsidR="008F4962" w:rsidRPr="00BE3337">
        <w:rPr>
          <w:rFonts w:ascii="Times New Roman" w:hAnsi="Times New Roman"/>
          <w:sz w:val="24"/>
          <w:szCs w:val="24"/>
        </w:rPr>
        <w:t xml:space="preserve">; mientras que en el Informe Técnico remitido por la Entidad con ocasión de la solicitud de elevación de observaciones, el Comité Especial precisó que </w:t>
      </w:r>
      <w:r w:rsidR="008F4962" w:rsidRPr="00BE3337">
        <w:rPr>
          <w:rFonts w:ascii="Times New Roman" w:hAnsi="Times New Roman"/>
          <w:i/>
          <w:sz w:val="24"/>
          <w:szCs w:val="24"/>
        </w:rPr>
        <w:t>“</w:t>
      </w:r>
      <w:r w:rsidR="008F4962" w:rsidRPr="00BE3337">
        <w:rPr>
          <w:rFonts w:ascii="Times New Roman" w:hAnsi="Times New Roman"/>
          <w:i/>
          <w:sz w:val="24"/>
          <w:szCs w:val="24"/>
          <w:u w:val="single"/>
        </w:rPr>
        <w:t>incorporó como válida la profesión de Ingeniero Mecánico Electricista</w:t>
      </w:r>
      <w:r w:rsidR="008F4962" w:rsidRPr="00BE3337">
        <w:rPr>
          <w:rFonts w:ascii="Times New Roman" w:hAnsi="Times New Roman"/>
          <w:i/>
          <w:sz w:val="24"/>
          <w:szCs w:val="24"/>
        </w:rPr>
        <w:t xml:space="preserve">, por lo que no hubo respuesta incorrecta”. </w:t>
      </w:r>
      <w:r w:rsidR="008F4962" w:rsidRPr="00BE3337">
        <w:rPr>
          <w:rFonts w:ascii="Times New Roman" w:hAnsi="Times New Roman"/>
          <w:sz w:val="24"/>
          <w:szCs w:val="24"/>
        </w:rPr>
        <w:t xml:space="preserve">(El subrayado es agregado). </w:t>
      </w:r>
    </w:p>
    <w:p w:rsidR="00CA2120" w:rsidRPr="00BE3337" w:rsidRDefault="00CA2120" w:rsidP="004F3787">
      <w:pPr>
        <w:widowControl w:val="0"/>
        <w:spacing w:after="0" w:line="240" w:lineRule="auto"/>
        <w:jc w:val="both"/>
        <w:rPr>
          <w:rFonts w:ascii="Times New Roman" w:hAnsi="Times New Roman"/>
          <w:i/>
          <w:sz w:val="24"/>
          <w:szCs w:val="24"/>
        </w:rPr>
      </w:pPr>
    </w:p>
    <w:p w:rsidR="00BB4FE1" w:rsidRPr="00BE3337" w:rsidRDefault="00BB4FE1" w:rsidP="00BB4FE1">
      <w:pPr>
        <w:spacing w:after="0" w:line="240" w:lineRule="auto"/>
        <w:jc w:val="both"/>
        <w:rPr>
          <w:rFonts w:ascii="Times New Roman" w:eastAsia="Times New Roman" w:hAnsi="Times New Roman"/>
          <w:sz w:val="24"/>
          <w:szCs w:val="24"/>
          <w:lang w:val="es-ES_tradnl" w:eastAsia="es-MX"/>
        </w:rPr>
      </w:pPr>
      <w:r w:rsidRPr="00BE3337">
        <w:rPr>
          <w:rFonts w:ascii="Times New Roman" w:eastAsia="Times New Roman" w:hAnsi="Times New Roman"/>
          <w:sz w:val="24"/>
          <w:szCs w:val="24"/>
          <w:lang w:val="es-ES_tradnl"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BB4FE1" w:rsidRPr="00BE3337" w:rsidRDefault="00BB4FE1" w:rsidP="00BB4FE1">
      <w:pPr>
        <w:spacing w:after="0" w:line="240" w:lineRule="auto"/>
        <w:jc w:val="both"/>
        <w:rPr>
          <w:rFonts w:ascii="Times New Roman" w:eastAsia="Times New Roman" w:hAnsi="Times New Roman"/>
          <w:sz w:val="24"/>
          <w:szCs w:val="24"/>
          <w:lang w:val="es-ES_tradnl" w:eastAsia="es-MX"/>
        </w:rPr>
      </w:pPr>
    </w:p>
    <w:p w:rsidR="00BB4FE1" w:rsidRPr="00BE3337" w:rsidRDefault="00BB4FE1" w:rsidP="00BB4FE1">
      <w:pPr>
        <w:spacing w:after="0" w:line="240" w:lineRule="auto"/>
        <w:jc w:val="both"/>
        <w:rPr>
          <w:rFonts w:ascii="Times New Roman" w:eastAsia="Times New Roman" w:hAnsi="Times New Roman"/>
          <w:sz w:val="24"/>
          <w:szCs w:val="24"/>
          <w:lang w:val="es-ES_tradnl" w:eastAsia="es-MX"/>
        </w:rPr>
      </w:pPr>
      <w:r w:rsidRPr="00BE3337">
        <w:rPr>
          <w:rFonts w:ascii="Times New Roman" w:eastAsia="Times New Roman" w:hAnsi="Times New Roman"/>
          <w:sz w:val="24"/>
          <w:szCs w:val="24"/>
          <w:lang w:val="es-ES_tradnl" w:eastAsia="es-MX"/>
        </w:rPr>
        <w:t>Así, los requisitos técnicos mínimos cumplen con la función de asegurar a la Entidad que el postor ofertará lo mínimo necesario para cubrir adecuadamente la operatividad y funcionalidad de la obra requerida.</w:t>
      </w:r>
    </w:p>
    <w:p w:rsidR="007E38F6" w:rsidRPr="00BE3337" w:rsidRDefault="007E38F6" w:rsidP="00BB4FE1">
      <w:pPr>
        <w:spacing w:after="0" w:line="240" w:lineRule="auto"/>
        <w:jc w:val="both"/>
        <w:rPr>
          <w:rFonts w:ascii="Times New Roman" w:eastAsia="Times New Roman" w:hAnsi="Times New Roman"/>
          <w:sz w:val="24"/>
          <w:szCs w:val="24"/>
          <w:lang w:val="es-ES_tradnl" w:eastAsia="es-MX"/>
        </w:rPr>
      </w:pPr>
    </w:p>
    <w:p w:rsidR="00BB4FE1" w:rsidRPr="00BE3337" w:rsidRDefault="00BB4FE1" w:rsidP="00BB4FE1">
      <w:pPr>
        <w:spacing w:after="0" w:line="240" w:lineRule="auto"/>
        <w:jc w:val="both"/>
        <w:rPr>
          <w:rFonts w:ascii="Times New Roman" w:eastAsia="Times New Roman" w:hAnsi="Times New Roman"/>
          <w:sz w:val="24"/>
          <w:szCs w:val="24"/>
          <w:lang w:eastAsia="es-MX"/>
        </w:rPr>
      </w:pPr>
      <w:r w:rsidRPr="00BE3337">
        <w:rPr>
          <w:rFonts w:ascii="Times New Roman" w:eastAsia="Times New Roman" w:hAnsi="Times New Roman"/>
          <w:sz w:val="24"/>
          <w:szCs w:val="24"/>
          <w:lang w:val="es-ES" w:eastAsia="es-MX"/>
        </w:rPr>
        <w:t>Asimismo, corresponde señalar</w:t>
      </w:r>
      <w:r w:rsidRPr="00BE3337">
        <w:rPr>
          <w:rFonts w:ascii="Times New Roman" w:eastAsia="Times New Roman" w:hAnsi="Times New Roman"/>
          <w:sz w:val="24"/>
          <w:szCs w:val="24"/>
          <w:lang w:eastAsia="es-MX"/>
        </w:rPr>
        <w:t xml:space="preserve"> que en la medida que la Entidad conoce las funciones que desempeñarán los profesionales propuestos durante la ejecución contractual, es su responsabilidad definir el perfil (lo que incluye </w:t>
      </w:r>
      <w:r w:rsidR="007E38F6" w:rsidRPr="00BE3337">
        <w:rPr>
          <w:rFonts w:ascii="Times New Roman" w:eastAsia="Times New Roman" w:hAnsi="Times New Roman"/>
          <w:sz w:val="24"/>
          <w:szCs w:val="24"/>
          <w:lang w:eastAsia="es-MX"/>
        </w:rPr>
        <w:t xml:space="preserve">la experiencia y </w:t>
      </w:r>
      <w:r w:rsidRPr="00BE3337">
        <w:rPr>
          <w:rFonts w:ascii="Times New Roman" w:eastAsia="Times New Roman" w:hAnsi="Times New Roman"/>
          <w:sz w:val="24"/>
          <w:szCs w:val="24"/>
          <w:lang w:eastAsia="es-MX"/>
        </w:rPr>
        <w:t xml:space="preserve">las profesiones requeridas </w:t>
      </w:r>
      <w:r w:rsidR="007E38F6" w:rsidRPr="00BE3337">
        <w:rPr>
          <w:rFonts w:ascii="Times New Roman" w:eastAsia="Times New Roman" w:hAnsi="Times New Roman"/>
          <w:sz w:val="24"/>
          <w:szCs w:val="24"/>
          <w:lang w:eastAsia="es-MX"/>
        </w:rPr>
        <w:t>a</w:t>
      </w:r>
      <w:r w:rsidRPr="00BE3337">
        <w:rPr>
          <w:rFonts w:ascii="Times New Roman" w:eastAsia="Times New Roman" w:hAnsi="Times New Roman"/>
          <w:sz w:val="24"/>
          <w:szCs w:val="24"/>
          <w:lang w:eastAsia="es-MX"/>
        </w:rPr>
        <w:t>l personal propuesto) que deben acreditar dichos profesionales en función de los trabajos que desempeñarán a efectos de asegurar la correcta ejecución de la obra.</w:t>
      </w:r>
    </w:p>
    <w:p w:rsidR="007E38F6" w:rsidRPr="00BE3337" w:rsidRDefault="007E38F6" w:rsidP="00BB4FE1">
      <w:pPr>
        <w:widowControl w:val="0"/>
        <w:spacing w:after="0" w:line="240" w:lineRule="auto"/>
        <w:jc w:val="both"/>
        <w:rPr>
          <w:rFonts w:ascii="Times New Roman" w:eastAsia="Times New Roman" w:hAnsi="Times New Roman"/>
          <w:sz w:val="24"/>
          <w:szCs w:val="24"/>
          <w:lang w:val="es-ES_tradnl" w:eastAsia="es-MX"/>
        </w:rPr>
      </w:pPr>
    </w:p>
    <w:p w:rsidR="007E38F6" w:rsidRPr="00BE3337" w:rsidRDefault="007E38F6" w:rsidP="007E38F6">
      <w:pPr>
        <w:widowControl w:val="0"/>
        <w:spacing w:after="0" w:line="240" w:lineRule="auto"/>
        <w:jc w:val="both"/>
        <w:rPr>
          <w:rFonts w:ascii="Times New Roman" w:eastAsia="Times New Roman" w:hAnsi="Times New Roman"/>
          <w:sz w:val="24"/>
          <w:szCs w:val="24"/>
          <w:lang w:eastAsia="es-MX"/>
        </w:rPr>
      </w:pPr>
      <w:r w:rsidRPr="00BE3337">
        <w:rPr>
          <w:rFonts w:ascii="Times New Roman" w:eastAsia="Times New Roman" w:hAnsi="Times New Roman" w:cs="Times New Roman"/>
          <w:sz w:val="24"/>
          <w:szCs w:val="24"/>
          <w:lang w:eastAsia="es-MX"/>
        </w:rPr>
        <w:t xml:space="preserve">Adicionalmente, </w:t>
      </w:r>
      <w:r w:rsidRPr="00BE3337">
        <w:rPr>
          <w:rFonts w:ascii="Times New Roman" w:eastAsia="Times New Roman" w:hAnsi="Times New Roman"/>
          <w:sz w:val="24"/>
          <w:szCs w:val="24"/>
          <w:lang w:val="es-ES" w:eastAsia="es-MX"/>
        </w:rPr>
        <w:t>en el numeral 4.1 del “Formato de Resumen Ejecutivo” la Entidad ha declarado que para el presente proceso existe pluralidad de proveedores</w:t>
      </w:r>
      <w:r w:rsidRPr="00BE3337">
        <w:rPr>
          <w:rFonts w:ascii="Times New Roman" w:eastAsia="Times New Roman" w:hAnsi="Times New Roman"/>
          <w:i/>
          <w:sz w:val="24"/>
          <w:szCs w:val="24"/>
          <w:lang w:val="es-ES" w:eastAsia="es-MX"/>
        </w:rPr>
        <w:t xml:space="preserve"> </w:t>
      </w:r>
      <w:r w:rsidRPr="00BE3337">
        <w:rPr>
          <w:rFonts w:ascii="Times New Roman" w:eastAsia="Times New Roman" w:hAnsi="Times New Roman"/>
          <w:sz w:val="24"/>
          <w:szCs w:val="24"/>
          <w:lang w:val="es-ES" w:eastAsia="es-MX"/>
        </w:rPr>
        <w:t xml:space="preserve">que cumplen con los requerimientos técnicos mínimos, lo que incluye </w:t>
      </w:r>
      <w:r w:rsidRPr="00BE3337">
        <w:rPr>
          <w:rFonts w:ascii="Times New Roman" w:eastAsia="Times New Roman" w:hAnsi="Times New Roman"/>
          <w:sz w:val="24"/>
          <w:szCs w:val="24"/>
          <w:lang w:eastAsia="es-MX"/>
        </w:rPr>
        <w:t xml:space="preserve">el perfil mínimo requerido al “arquitecto” y al </w:t>
      </w:r>
      <w:r w:rsidRPr="00BE3337">
        <w:rPr>
          <w:rFonts w:ascii="Times New Roman" w:hAnsi="Times New Roman"/>
          <w:sz w:val="24"/>
          <w:szCs w:val="24"/>
        </w:rPr>
        <w:t>“ingeniero electromecánico o mecánico - eléctrico”.</w:t>
      </w:r>
    </w:p>
    <w:p w:rsidR="0018214F" w:rsidRPr="00BE3337" w:rsidRDefault="0018214F" w:rsidP="00BB4FE1">
      <w:pPr>
        <w:widowControl w:val="0"/>
        <w:spacing w:after="0" w:line="240" w:lineRule="auto"/>
        <w:jc w:val="both"/>
        <w:rPr>
          <w:rFonts w:ascii="Times New Roman" w:eastAsia="Times New Roman" w:hAnsi="Times New Roman"/>
          <w:sz w:val="24"/>
          <w:szCs w:val="24"/>
          <w:lang w:val="es-ES_tradnl" w:eastAsia="es-MX"/>
        </w:rPr>
      </w:pPr>
    </w:p>
    <w:p w:rsidR="0018214F" w:rsidRPr="00BE3337" w:rsidRDefault="00BB4FE1" w:rsidP="00BB4FE1">
      <w:pPr>
        <w:widowControl w:val="0"/>
        <w:spacing w:after="0" w:line="240" w:lineRule="auto"/>
        <w:jc w:val="both"/>
        <w:rPr>
          <w:rFonts w:ascii="Times New Roman" w:eastAsia="Times New Roman" w:hAnsi="Times New Roman"/>
          <w:sz w:val="24"/>
          <w:szCs w:val="24"/>
          <w:lang w:val="es-ES" w:eastAsia="es-ES"/>
        </w:rPr>
      </w:pPr>
      <w:r w:rsidRPr="00BE3337">
        <w:rPr>
          <w:rFonts w:ascii="Times New Roman" w:eastAsia="Times New Roman" w:hAnsi="Times New Roman"/>
          <w:sz w:val="24"/>
          <w:szCs w:val="24"/>
          <w:lang w:val="es-ES" w:eastAsia="es-MX"/>
        </w:rPr>
        <w:t xml:space="preserve">En ese sentido, siendo </w:t>
      </w:r>
      <w:r w:rsidRPr="00BE3337">
        <w:rPr>
          <w:rFonts w:ascii="Times New Roman" w:eastAsia="Times New Roman" w:hAnsi="Times New Roman"/>
          <w:sz w:val="24"/>
          <w:szCs w:val="24"/>
          <w:lang w:val="es-ES" w:eastAsia="es-ES"/>
        </w:rPr>
        <w:t>responsabilidad de la Entidad la determinación de los requerimientos técnicos mínimos,</w:t>
      </w:r>
      <w:r w:rsidR="0018214F" w:rsidRPr="00BE3337">
        <w:rPr>
          <w:rFonts w:ascii="Times New Roman" w:eastAsia="Times New Roman" w:hAnsi="Times New Roman"/>
          <w:sz w:val="24"/>
          <w:szCs w:val="24"/>
          <w:lang w:val="es-ES" w:eastAsia="es-MX"/>
        </w:rPr>
        <w:t xml:space="preserve"> </w:t>
      </w:r>
      <w:r w:rsidRPr="00BE3337">
        <w:rPr>
          <w:rFonts w:ascii="Times New Roman" w:eastAsia="Times New Roman" w:hAnsi="Times New Roman"/>
          <w:sz w:val="24"/>
          <w:szCs w:val="24"/>
          <w:lang w:val="es-ES" w:eastAsia="es-ES"/>
        </w:rPr>
        <w:t xml:space="preserve">la cual ha previsto </w:t>
      </w:r>
      <w:r w:rsidR="0018214F" w:rsidRPr="00BE3337">
        <w:rPr>
          <w:rFonts w:ascii="Times New Roman" w:eastAsia="Times New Roman" w:hAnsi="Times New Roman"/>
          <w:sz w:val="24"/>
          <w:szCs w:val="24"/>
          <w:lang w:val="es-ES" w:eastAsia="es-ES"/>
        </w:rPr>
        <w:t>la experiencia y cargos</w:t>
      </w:r>
      <w:r w:rsidRPr="00BE3337">
        <w:rPr>
          <w:rFonts w:ascii="Times New Roman" w:eastAsia="Times New Roman" w:hAnsi="Times New Roman"/>
          <w:sz w:val="24"/>
          <w:szCs w:val="24"/>
          <w:lang w:val="es-ES" w:eastAsia="es-ES"/>
        </w:rPr>
        <w:t xml:space="preserve"> que deben acreditar los profesionales a efectos de asegurar la adecuada ejecución de la obra</w:t>
      </w:r>
      <w:r w:rsidR="0018214F" w:rsidRPr="00BE3337">
        <w:rPr>
          <w:rFonts w:ascii="Times New Roman" w:eastAsia="Times New Roman" w:hAnsi="Times New Roman"/>
          <w:sz w:val="24"/>
          <w:szCs w:val="24"/>
          <w:lang w:val="es-ES" w:eastAsia="es-ES"/>
        </w:rPr>
        <w:t>,</w:t>
      </w:r>
      <w:r w:rsidRPr="00BE3337">
        <w:rPr>
          <w:rFonts w:ascii="Times New Roman" w:eastAsia="Times New Roman" w:hAnsi="Times New Roman"/>
          <w:sz w:val="24"/>
          <w:szCs w:val="24"/>
          <w:lang w:val="es-ES" w:eastAsia="es-ES"/>
        </w:rPr>
        <w:t xml:space="preserve"> </w:t>
      </w:r>
      <w:r w:rsidR="0018214F" w:rsidRPr="00BE3337">
        <w:rPr>
          <w:rFonts w:ascii="Times New Roman" w:eastAsia="Times New Roman" w:hAnsi="Times New Roman" w:cs="Times New Roman"/>
          <w:sz w:val="24"/>
          <w:szCs w:val="24"/>
          <w:lang w:val="es-ES" w:eastAsia="es-MX"/>
        </w:rPr>
        <w:t xml:space="preserve">y que ha declarado en el resumen ejecutivo que existe pluralidad de proveedores en la capacidad de cumplir con los </w:t>
      </w:r>
      <w:r w:rsidR="0018214F" w:rsidRPr="00BE3337">
        <w:rPr>
          <w:rFonts w:ascii="Times New Roman" w:eastAsia="Times New Roman" w:hAnsi="Times New Roman" w:cs="Times New Roman"/>
          <w:sz w:val="24"/>
          <w:szCs w:val="24"/>
          <w:lang w:val="es-ES" w:eastAsia="es-MX"/>
        </w:rPr>
        <w:lastRenderedPageBreak/>
        <w:t xml:space="preserve">requisitos establecidos en las Bases, </w:t>
      </w:r>
      <w:r w:rsidR="0018214F" w:rsidRPr="00BE3337">
        <w:rPr>
          <w:rFonts w:ascii="Times New Roman" w:eastAsia="Times New Roman" w:hAnsi="Times New Roman" w:cs="Times New Roman"/>
          <w:sz w:val="24"/>
          <w:szCs w:val="24"/>
          <w:lang w:val="es-ES_tradnl" w:eastAsia="es-MX"/>
        </w:rPr>
        <w:t xml:space="preserve">lo cual incluye el perfil mínimo del </w:t>
      </w:r>
      <w:r w:rsidR="0018214F" w:rsidRPr="00BE3337">
        <w:rPr>
          <w:rFonts w:ascii="Times New Roman" w:eastAsia="Times New Roman" w:hAnsi="Times New Roman"/>
          <w:sz w:val="24"/>
          <w:szCs w:val="24"/>
          <w:lang w:eastAsia="es-MX"/>
        </w:rPr>
        <w:t xml:space="preserve">“arquitecto” y del </w:t>
      </w:r>
      <w:r w:rsidR="0018214F" w:rsidRPr="00BE3337">
        <w:rPr>
          <w:rFonts w:ascii="Times New Roman" w:hAnsi="Times New Roman"/>
          <w:sz w:val="24"/>
          <w:szCs w:val="24"/>
        </w:rPr>
        <w:t>“ingeniero electromecánico o mecánico - eléctrico”</w:t>
      </w:r>
      <w:r w:rsidR="0018214F" w:rsidRPr="00BE3337">
        <w:rPr>
          <w:rFonts w:ascii="Times New Roman" w:eastAsia="Times New Roman" w:hAnsi="Times New Roman" w:cs="Times New Roman"/>
          <w:sz w:val="24"/>
          <w:szCs w:val="24"/>
          <w:lang w:val="es-ES" w:eastAsia="es-MX"/>
        </w:rPr>
        <w:t xml:space="preserve">, este Organismo Supervisor ha decidido </w:t>
      </w:r>
      <w:r w:rsidR="0018214F" w:rsidRPr="00BE3337">
        <w:rPr>
          <w:rFonts w:ascii="Times New Roman" w:eastAsia="Times New Roman" w:hAnsi="Times New Roman" w:cs="Times New Roman"/>
          <w:b/>
          <w:sz w:val="24"/>
          <w:szCs w:val="24"/>
          <w:lang w:val="es-ES" w:eastAsia="es-MX"/>
        </w:rPr>
        <w:t>NO ACOGER</w:t>
      </w:r>
      <w:r w:rsidR="0018214F" w:rsidRPr="00BE3337">
        <w:rPr>
          <w:rFonts w:ascii="Times New Roman" w:eastAsia="Times New Roman" w:hAnsi="Times New Roman" w:cs="Times New Roman"/>
          <w:sz w:val="24"/>
          <w:szCs w:val="24"/>
          <w:lang w:val="es-ES" w:eastAsia="es-MX"/>
        </w:rPr>
        <w:t xml:space="preserve"> las Observaciones N° 4 y N° 6. </w:t>
      </w:r>
    </w:p>
    <w:p w:rsidR="000D60A3" w:rsidRPr="00BE3337" w:rsidRDefault="000D60A3" w:rsidP="004F3787">
      <w:pPr>
        <w:widowControl w:val="0"/>
        <w:spacing w:after="0" w:line="240" w:lineRule="auto"/>
        <w:jc w:val="both"/>
        <w:rPr>
          <w:rFonts w:ascii="Times New Roman" w:hAnsi="Times New Roman"/>
          <w:sz w:val="24"/>
          <w:szCs w:val="24"/>
        </w:rPr>
      </w:pPr>
    </w:p>
    <w:p w:rsidR="00545BB9" w:rsidRPr="00BE3337" w:rsidRDefault="00545BB9" w:rsidP="00545BB9">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BE3337">
        <w:rPr>
          <w:rFonts w:ascii="Times New Roman" w:eastAsia="Times New Roman" w:hAnsi="Times New Roman" w:cs="Times New Roman"/>
          <w:b/>
          <w:sz w:val="24"/>
          <w:szCs w:val="24"/>
          <w:lang w:val="es-ES" w:eastAsia="es-MX"/>
        </w:rPr>
        <w:t>Observación Nº 11</w:t>
      </w:r>
      <w:r w:rsidRPr="00BE3337">
        <w:rPr>
          <w:rFonts w:ascii="Times New Roman" w:eastAsia="Times New Roman" w:hAnsi="Times New Roman" w:cs="Times New Roman"/>
          <w:b/>
          <w:sz w:val="24"/>
          <w:szCs w:val="24"/>
          <w:lang w:val="es-ES" w:eastAsia="es-MX"/>
        </w:rPr>
        <w:tab/>
        <w:t>Contra la definición de obras similares</w:t>
      </w:r>
    </w:p>
    <w:p w:rsidR="00545BB9" w:rsidRPr="00BE3337" w:rsidRDefault="00545BB9" w:rsidP="004F3787">
      <w:pPr>
        <w:widowControl w:val="0"/>
        <w:spacing w:after="0" w:line="240" w:lineRule="auto"/>
        <w:jc w:val="both"/>
        <w:rPr>
          <w:rFonts w:ascii="Times New Roman" w:hAnsi="Times New Roman"/>
          <w:sz w:val="24"/>
          <w:szCs w:val="24"/>
          <w:lang w:val="es-ES"/>
        </w:rPr>
      </w:pPr>
    </w:p>
    <w:p w:rsidR="004F3787" w:rsidRPr="00BE3337" w:rsidRDefault="00772F15" w:rsidP="004F3787">
      <w:pPr>
        <w:widowControl w:val="0"/>
        <w:spacing w:after="0" w:line="240" w:lineRule="auto"/>
        <w:jc w:val="both"/>
        <w:rPr>
          <w:rFonts w:ascii="Times New Roman" w:hAnsi="Times New Roman"/>
          <w:sz w:val="24"/>
          <w:szCs w:val="24"/>
        </w:rPr>
      </w:pPr>
      <w:r w:rsidRPr="00BE3337">
        <w:rPr>
          <w:rFonts w:ascii="Times New Roman" w:hAnsi="Times New Roman"/>
          <w:sz w:val="24"/>
          <w:szCs w:val="24"/>
        </w:rPr>
        <w:t>Mediante la Observación N°</w:t>
      </w:r>
      <w:r w:rsidR="00220B91" w:rsidRPr="00BE3337">
        <w:rPr>
          <w:rFonts w:ascii="Times New Roman" w:hAnsi="Times New Roman"/>
          <w:sz w:val="24"/>
          <w:szCs w:val="24"/>
        </w:rPr>
        <w:t xml:space="preserve"> 11</w:t>
      </w:r>
      <w:r w:rsidRPr="00BE3337">
        <w:rPr>
          <w:rFonts w:ascii="Times New Roman" w:hAnsi="Times New Roman"/>
          <w:sz w:val="24"/>
          <w:szCs w:val="24"/>
        </w:rPr>
        <w:t xml:space="preserve">, </w:t>
      </w:r>
      <w:r w:rsidR="00220B91" w:rsidRPr="00BE3337">
        <w:rPr>
          <w:rFonts w:ascii="Times New Roman" w:hAnsi="Times New Roman"/>
          <w:sz w:val="24"/>
          <w:szCs w:val="24"/>
        </w:rPr>
        <w:t xml:space="preserve">el participante señala que en la medida que se estaría considerando </w:t>
      </w:r>
      <w:r w:rsidR="00592A58" w:rsidRPr="00BE3337">
        <w:rPr>
          <w:rFonts w:ascii="Times New Roman" w:hAnsi="Times New Roman"/>
          <w:sz w:val="24"/>
          <w:szCs w:val="24"/>
        </w:rPr>
        <w:t>como</w:t>
      </w:r>
      <w:r w:rsidR="00220B91" w:rsidRPr="00BE3337">
        <w:rPr>
          <w:rFonts w:ascii="Times New Roman" w:hAnsi="Times New Roman"/>
          <w:sz w:val="24"/>
          <w:szCs w:val="24"/>
        </w:rPr>
        <w:t xml:space="preserve"> obras similares a aquellas edificaciones públicas y/o privadas que </w:t>
      </w:r>
      <w:r w:rsidR="00592A58" w:rsidRPr="00BE3337">
        <w:rPr>
          <w:rFonts w:ascii="Times New Roman" w:hAnsi="Times New Roman"/>
          <w:sz w:val="24"/>
          <w:szCs w:val="24"/>
        </w:rPr>
        <w:t>albergan</w:t>
      </w:r>
      <w:r w:rsidR="00220B91" w:rsidRPr="00BE3337">
        <w:rPr>
          <w:rFonts w:ascii="Times New Roman" w:hAnsi="Times New Roman"/>
          <w:sz w:val="24"/>
          <w:szCs w:val="24"/>
        </w:rPr>
        <w:t xml:space="preserve"> actividades humanas de manera permanente, solicita que se considere dentro de la definición de obras similares a aquellas relacionadas a laboratorios forenses o centro</w:t>
      </w:r>
      <w:r w:rsidR="00592A58" w:rsidRPr="00BE3337">
        <w:rPr>
          <w:rFonts w:ascii="Times New Roman" w:hAnsi="Times New Roman"/>
          <w:sz w:val="24"/>
          <w:szCs w:val="24"/>
        </w:rPr>
        <w:t>s</w:t>
      </w:r>
      <w:r w:rsidR="00220B91" w:rsidRPr="00BE3337">
        <w:rPr>
          <w:rFonts w:ascii="Times New Roman" w:hAnsi="Times New Roman"/>
          <w:sz w:val="24"/>
          <w:szCs w:val="24"/>
        </w:rPr>
        <w:t xml:space="preserve"> penitenciarios o centro</w:t>
      </w:r>
      <w:r w:rsidR="00592A58" w:rsidRPr="00BE3337">
        <w:rPr>
          <w:rFonts w:ascii="Times New Roman" w:hAnsi="Times New Roman"/>
          <w:sz w:val="24"/>
          <w:szCs w:val="24"/>
        </w:rPr>
        <w:t>s</w:t>
      </w:r>
      <w:r w:rsidR="00220B91" w:rsidRPr="00BE3337">
        <w:rPr>
          <w:rFonts w:ascii="Times New Roman" w:hAnsi="Times New Roman"/>
          <w:sz w:val="24"/>
          <w:szCs w:val="24"/>
        </w:rPr>
        <w:t xml:space="preserve"> de convenciones o museos o almacenes de historia clínica o asociaciones de vivien</w:t>
      </w:r>
      <w:r w:rsidR="00CE2697" w:rsidRPr="00BE3337">
        <w:rPr>
          <w:rFonts w:ascii="Times New Roman" w:hAnsi="Times New Roman"/>
          <w:sz w:val="24"/>
          <w:szCs w:val="24"/>
        </w:rPr>
        <w:t xml:space="preserve">da o edificios multifamiliares, en la medida que cumplirían con las características de una edificación. </w:t>
      </w:r>
    </w:p>
    <w:p w:rsidR="00E744B1" w:rsidRPr="00BE3337" w:rsidRDefault="00E744B1" w:rsidP="00E744B1">
      <w:pPr>
        <w:widowControl w:val="0"/>
        <w:spacing w:after="0" w:line="240" w:lineRule="auto"/>
        <w:jc w:val="both"/>
        <w:rPr>
          <w:rFonts w:ascii="Times New Roman" w:hAnsi="Times New Roman"/>
          <w:sz w:val="24"/>
          <w:szCs w:val="24"/>
        </w:rPr>
      </w:pPr>
    </w:p>
    <w:p w:rsidR="00545BB9" w:rsidRPr="00BE3337" w:rsidRDefault="00545BB9" w:rsidP="00E744B1">
      <w:pPr>
        <w:widowControl w:val="0"/>
        <w:spacing w:after="0" w:line="240" w:lineRule="auto"/>
        <w:jc w:val="both"/>
        <w:rPr>
          <w:rFonts w:ascii="Times New Roman" w:hAnsi="Times New Roman"/>
          <w:b/>
          <w:sz w:val="24"/>
          <w:szCs w:val="24"/>
        </w:rPr>
      </w:pPr>
      <w:r w:rsidRPr="00BE3337">
        <w:rPr>
          <w:rFonts w:ascii="Times New Roman" w:hAnsi="Times New Roman"/>
          <w:b/>
          <w:sz w:val="24"/>
          <w:szCs w:val="24"/>
        </w:rPr>
        <w:t>Pronunciamiento</w:t>
      </w:r>
    </w:p>
    <w:p w:rsidR="00545BB9" w:rsidRPr="00BE3337" w:rsidRDefault="00545BB9" w:rsidP="00E744B1">
      <w:pPr>
        <w:widowControl w:val="0"/>
        <w:spacing w:after="0" w:line="240" w:lineRule="auto"/>
        <w:jc w:val="both"/>
        <w:rPr>
          <w:rFonts w:ascii="Times New Roman" w:hAnsi="Times New Roman"/>
          <w:sz w:val="24"/>
          <w:szCs w:val="24"/>
        </w:rPr>
      </w:pPr>
    </w:p>
    <w:p w:rsidR="0018214F" w:rsidRPr="0018214F" w:rsidRDefault="0018214F" w:rsidP="0018214F">
      <w:pPr>
        <w:autoSpaceDE w:val="0"/>
        <w:autoSpaceDN w:val="0"/>
        <w:adjustRightInd w:val="0"/>
        <w:spacing w:after="0" w:line="240" w:lineRule="auto"/>
        <w:ind w:right="49"/>
        <w:jc w:val="both"/>
        <w:rPr>
          <w:rFonts w:ascii="Times New Roman" w:eastAsia="Times New Roman" w:hAnsi="Times New Roman" w:cs="Times New Roman"/>
          <w:sz w:val="24"/>
          <w:szCs w:val="24"/>
          <w:lang w:val="es-ES" w:eastAsia="es-MX"/>
        </w:rPr>
      </w:pPr>
      <w:r w:rsidRPr="0018214F">
        <w:rPr>
          <w:rFonts w:ascii="Times New Roman" w:eastAsia="Times New Roman" w:hAnsi="Times New Roman" w:cs="Times New Roman"/>
          <w:sz w:val="24"/>
          <w:szCs w:val="24"/>
          <w:lang w:val="es-ES" w:eastAsia="es-MX"/>
        </w:rPr>
        <w:t xml:space="preserve">De las Bases se advierte que se definió las obras similares de la siguiente manera: </w:t>
      </w:r>
    </w:p>
    <w:p w:rsidR="0018214F" w:rsidRPr="0018214F" w:rsidRDefault="0018214F" w:rsidP="0018214F">
      <w:pPr>
        <w:autoSpaceDE w:val="0"/>
        <w:autoSpaceDN w:val="0"/>
        <w:adjustRightInd w:val="0"/>
        <w:spacing w:after="0" w:line="240" w:lineRule="auto"/>
        <w:ind w:right="49"/>
        <w:jc w:val="both"/>
        <w:rPr>
          <w:rFonts w:ascii="Times New Roman" w:eastAsia="Times New Roman" w:hAnsi="Times New Roman" w:cs="Times New Roman"/>
          <w:sz w:val="24"/>
          <w:szCs w:val="24"/>
          <w:lang w:val="es-ES" w:eastAsia="es-MX"/>
        </w:rPr>
      </w:pPr>
    </w:p>
    <w:p w:rsidR="0018214F" w:rsidRPr="0018214F" w:rsidRDefault="0018214F" w:rsidP="0018214F">
      <w:pPr>
        <w:autoSpaceDE w:val="0"/>
        <w:autoSpaceDN w:val="0"/>
        <w:adjustRightInd w:val="0"/>
        <w:spacing w:after="0" w:line="240" w:lineRule="auto"/>
        <w:ind w:right="49"/>
        <w:jc w:val="both"/>
        <w:rPr>
          <w:rFonts w:ascii="Times New Roman" w:eastAsia="Times New Roman" w:hAnsi="Times New Roman" w:cs="Times New Roman"/>
          <w:i/>
          <w:sz w:val="24"/>
          <w:szCs w:val="24"/>
          <w:lang w:eastAsia="es-MX"/>
        </w:rPr>
      </w:pPr>
      <w:r w:rsidRPr="0018214F">
        <w:rPr>
          <w:rFonts w:ascii="Times New Roman" w:eastAsia="Times New Roman" w:hAnsi="Times New Roman" w:cs="Times New Roman"/>
          <w:i/>
          <w:sz w:val="24"/>
          <w:szCs w:val="24"/>
          <w:lang w:val="es-ES" w:eastAsia="es-MX"/>
        </w:rPr>
        <w:t>“</w:t>
      </w:r>
      <w:r w:rsidR="001333BF" w:rsidRPr="00BE3337">
        <w:rPr>
          <w:rFonts w:ascii="Times New Roman" w:eastAsia="Times New Roman" w:hAnsi="Times New Roman" w:cs="Times New Roman"/>
          <w:i/>
          <w:sz w:val="24"/>
          <w:szCs w:val="24"/>
          <w:lang w:eastAsia="es-MX"/>
        </w:rPr>
        <w:t>Para el postor y el personal propuesto se consideran como Obras similares a todas aquellas obras de Edificación públicas o privadas, tales como: Infraestructura de Salud (Hospitales, Clínicas, Centros de Salud y Postas médicas); Infraestructura educativa (Universidades, Institutos y Colegios);  Infraestructura de Entidades bancarias, crediticias y de seguros; Infraestructura hotelera; Infraestructura de Centros Comerciales; y Edificaciones de oficinas administrativas</w:t>
      </w:r>
      <w:r w:rsidRPr="0018214F">
        <w:rPr>
          <w:rFonts w:ascii="Times New Roman" w:eastAsia="Times New Roman" w:hAnsi="Times New Roman" w:cs="Times New Roman"/>
          <w:i/>
          <w:sz w:val="24"/>
          <w:szCs w:val="24"/>
          <w:lang w:val="es-ES" w:eastAsia="es-MX"/>
        </w:rPr>
        <w:t>”</w:t>
      </w:r>
    </w:p>
    <w:p w:rsidR="0018214F" w:rsidRPr="0018214F" w:rsidRDefault="0018214F" w:rsidP="0018214F">
      <w:pPr>
        <w:autoSpaceDE w:val="0"/>
        <w:autoSpaceDN w:val="0"/>
        <w:adjustRightInd w:val="0"/>
        <w:spacing w:after="0" w:line="240" w:lineRule="auto"/>
        <w:ind w:right="49"/>
        <w:jc w:val="both"/>
        <w:rPr>
          <w:rFonts w:ascii="Times New Roman" w:eastAsia="Times New Roman" w:hAnsi="Times New Roman" w:cs="Times New Roman"/>
          <w:i/>
          <w:sz w:val="24"/>
          <w:szCs w:val="24"/>
          <w:lang w:val="es-ES" w:eastAsia="es-MX"/>
        </w:rPr>
      </w:pPr>
    </w:p>
    <w:p w:rsidR="0018214F" w:rsidRPr="0018214F" w:rsidRDefault="0018214F" w:rsidP="0018214F">
      <w:pPr>
        <w:autoSpaceDE w:val="0"/>
        <w:autoSpaceDN w:val="0"/>
        <w:adjustRightInd w:val="0"/>
        <w:spacing w:after="0" w:line="240" w:lineRule="auto"/>
        <w:ind w:right="49"/>
        <w:jc w:val="both"/>
        <w:rPr>
          <w:rFonts w:ascii="Times New Roman" w:eastAsia="Times New Roman" w:hAnsi="Times New Roman" w:cs="Times New Roman"/>
          <w:sz w:val="24"/>
          <w:szCs w:val="24"/>
          <w:lang w:val="es-ES" w:eastAsia="es-MX"/>
        </w:rPr>
      </w:pPr>
      <w:r w:rsidRPr="0018214F">
        <w:rPr>
          <w:rFonts w:ascii="Times New Roman" w:eastAsia="Times New Roman" w:hAnsi="Times New Roman" w:cs="Times New Roman"/>
          <w:sz w:val="24"/>
          <w:szCs w:val="24"/>
          <w:lang w:val="es-ES" w:eastAsia="es-MX"/>
        </w:rPr>
        <w:t xml:space="preserve">En relación con </w:t>
      </w:r>
      <w:r w:rsidR="001333BF" w:rsidRPr="00BE3337">
        <w:rPr>
          <w:rFonts w:ascii="Times New Roman" w:eastAsia="Times New Roman" w:hAnsi="Times New Roman" w:cs="Times New Roman"/>
          <w:sz w:val="24"/>
          <w:szCs w:val="24"/>
          <w:lang w:val="es-ES" w:eastAsia="es-MX"/>
        </w:rPr>
        <w:t>la presente observación</w:t>
      </w:r>
      <w:r w:rsidRPr="0018214F">
        <w:rPr>
          <w:rFonts w:ascii="Times New Roman" w:eastAsia="Times New Roman" w:hAnsi="Times New Roman" w:cs="Times New Roman"/>
          <w:sz w:val="24"/>
          <w:szCs w:val="24"/>
          <w:lang w:val="es-ES" w:eastAsia="es-MX"/>
        </w:rPr>
        <w:t>, en el Pliego Absolutorio de Observaciones, el Comité Especial señaló lo siguiente:</w:t>
      </w:r>
    </w:p>
    <w:p w:rsidR="0018214F" w:rsidRPr="0018214F" w:rsidRDefault="0018214F" w:rsidP="0018214F">
      <w:pPr>
        <w:autoSpaceDE w:val="0"/>
        <w:autoSpaceDN w:val="0"/>
        <w:adjustRightInd w:val="0"/>
        <w:spacing w:after="0" w:line="240" w:lineRule="auto"/>
        <w:ind w:right="49"/>
        <w:jc w:val="both"/>
        <w:rPr>
          <w:rFonts w:ascii="Times New Roman" w:eastAsia="Times New Roman" w:hAnsi="Times New Roman" w:cs="Times New Roman"/>
          <w:sz w:val="24"/>
          <w:szCs w:val="24"/>
          <w:lang w:val="es-ES" w:eastAsia="es-MX"/>
        </w:rPr>
      </w:pPr>
    </w:p>
    <w:p w:rsidR="0018214F" w:rsidRPr="0018214F" w:rsidRDefault="0018214F" w:rsidP="00CE2697">
      <w:pPr>
        <w:autoSpaceDE w:val="0"/>
        <w:autoSpaceDN w:val="0"/>
        <w:adjustRightInd w:val="0"/>
        <w:spacing w:after="0" w:line="240" w:lineRule="auto"/>
        <w:ind w:right="49"/>
        <w:jc w:val="both"/>
        <w:rPr>
          <w:rFonts w:ascii="Times New Roman" w:eastAsia="Times New Roman" w:hAnsi="Times New Roman" w:cs="Times New Roman"/>
          <w:sz w:val="24"/>
          <w:szCs w:val="24"/>
          <w:lang w:eastAsia="es-MX"/>
        </w:rPr>
      </w:pPr>
      <w:r w:rsidRPr="0018214F">
        <w:rPr>
          <w:rFonts w:ascii="Times New Roman" w:eastAsia="Times New Roman" w:hAnsi="Times New Roman" w:cs="Times New Roman"/>
          <w:sz w:val="24"/>
          <w:szCs w:val="24"/>
          <w:lang w:val="es-ES" w:eastAsia="es-MX"/>
        </w:rPr>
        <w:t xml:space="preserve"> </w:t>
      </w:r>
      <w:r w:rsidR="00CE2697" w:rsidRPr="00BE3337">
        <w:rPr>
          <w:rFonts w:ascii="Times New Roman" w:eastAsia="Times New Roman" w:hAnsi="Times New Roman" w:cs="Times New Roman"/>
          <w:i/>
          <w:sz w:val="24"/>
          <w:szCs w:val="24"/>
          <w:lang w:eastAsia="es-MX"/>
        </w:rPr>
        <w:t xml:space="preserve">“(…) se señala que las edificaciones relacionadas a infraestructura de laboratorios forenses, centros penitenciarios, museos, almacenes de historia clínicas, asociaciones de vivienda y edificios multifamiliares, </w:t>
      </w:r>
      <w:r w:rsidR="00CE2697" w:rsidRPr="00BE3337">
        <w:rPr>
          <w:rFonts w:ascii="Times New Roman" w:eastAsia="Times New Roman" w:hAnsi="Times New Roman" w:cs="Times New Roman"/>
          <w:i/>
          <w:sz w:val="24"/>
          <w:szCs w:val="24"/>
          <w:u w:val="single"/>
          <w:lang w:eastAsia="es-MX"/>
        </w:rPr>
        <w:t>no resultan similares a las obras similares señaladas en las Bases, teniendo en consideración que la edificación, materia del presente proceso, es de naturaleza: edificación de oficina administrativas, del tipo financiero, con un alto componente de equipamiento electromecánico y electrónico, tales como los señalados en el ítem N° 5.3.15 de las Bases</w:t>
      </w:r>
      <w:r w:rsidRPr="0018214F">
        <w:rPr>
          <w:rFonts w:ascii="Times New Roman" w:eastAsia="Times New Roman" w:hAnsi="Times New Roman" w:cs="Times New Roman"/>
          <w:i/>
          <w:sz w:val="24"/>
          <w:szCs w:val="24"/>
          <w:lang w:eastAsia="es-MX"/>
        </w:rPr>
        <w:t xml:space="preserve">”.  </w:t>
      </w:r>
      <w:r w:rsidRPr="0018214F">
        <w:rPr>
          <w:rFonts w:ascii="Times New Roman" w:eastAsia="Times New Roman" w:hAnsi="Times New Roman" w:cs="Times New Roman"/>
          <w:sz w:val="24"/>
          <w:szCs w:val="24"/>
          <w:lang w:eastAsia="es-MX"/>
        </w:rPr>
        <w:t xml:space="preserve">(El subrayado es agregado). </w:t>
      </w:r>
    </w:p>
    <w:p w:rsidR="0018214F" w:rsidRPr="0018214F" w:rsidRDefault="0018214F" w:rsidP="0018214F">
      <w:pPr>
        <w:widowControl w:val="0"/>
        <w:tabs>
          <w:tab w:val="left" w:pos="5103"/>
        </w:tabs>
        <w:spacing w:after="0" w:line="240" w:lineRule="auto"/>
        <w:jc w:val="both"/>
        <w:rPr>
          <w:rFonts w:ascii="Times New Roman" w:eastAsia="Times New Roman" w:hAnsi="Times New Roman" w:cs="Times New Roman"/>
          <w:sz w:val="24"/>
          <w:szCs w:val="24"/>
          <w:lang w:eastAsia="es-MX"/>
        </w:rPr>
      </w:pPr>
    </w:p>
    <w:p w:rsidR="0018214F" w:rsidRPr="0018214F" w:rsidRDefault="0018214F" w:rsidP="0018214F">
      <w:pPr>
        <w:widowControl w:val="0"/>
        <w:autoSpaceDE w:val="0"/>
        <w:autoSpaceDN w:val="0"/>
        <w:adjustRightInd w:val="0"/>
        <w:spacing w:after="0" w:line="240" w:lineRule="auto"/>
        <w:jc w:val="both"/>
        <w:rPr>
          <w:rFonts w:ascii="Times New Roman" w:eastAsia="Times New Roman" w:hAnsi="Times New Roman" w:cs="Times New Roman"/>
          <w:sz w:val="24"/>
          <w:szCs w:val="24"/>
          <w:lang w:val="es-ES" w:eastAsia="es-ES"/>
        </w:rPr>
      </w:pPr>
      <w:r w:rsidRPr="0018214F">
        <w:rPr>
          <w:rFonts w:ascii="Times New Roman" w:eastAsia="Times New Roman" w:hAnsi="Times New Roman" w:cs="Times New Roman"/>
          <w:bCs/>
          <w:sz w:val="24"/>
          <w:szCs w:val="24"/>
          <w:lang w:val="es-ES" w:eastAsia="es-ES"/>
        </w:rPr>
        <w:t>Al respecto, de acuerdo con el numeral 34 del Anexo de Definiciones del Reglamento, una obra similar es toda obra de naturaleza semejante a la que se desea contratar. En otras palabras, para que una obra sea considerada similar a otra, las actividades que definen su naturaleza deben ser comunes a ambas.</w:t>
      </w:r>
    </w:p>
    <w:p w:rsidR="0018214F" w:rsidRPr="0018214F" w:rsidRDefault="0018214F" w:rsidP="0018214F">
      <w:pPr>
        <w:spacing w:after="0" w:line="240" w:lineRule="auto"/>
        <w:rPr>
          <w:rFonts w:ascii="Times New Roman" w:eastAsia="Times New Roman" w:hAnsi="Times New Roman" w:cs="Times New Roman"/>
          <w:sz w:val="24"/>
          <w:szCs w:val="24"/>
          <w:lang w:val="es-ES" w:eastAsia="es-ES"/>
        </w:rPr>
      </w:pPr>
    </w:p>
    <w:p w:rsidR="0018214F" w:rsidRPr="0018214F" w:rsidRDefault="0018214F" w:rsidP="0018214F">
      <w:pPr>
        <w:widowControl w:val="0"/>
        <w:autoSpaceDE w:val="0"/>
        <w:autoSpaceDN w:val="0"/>
        <w:adjustRightInd w:val="0"/>
        <w:spacing w:after="0" w:line="240" w:lineRule="auto"/>
        <w:jc w:val="both"/>
        <w:rPr>
          <w:rFonts w:ascii="Times New Roman" w:eastAsia="Times New Roman" w:hAnsi="Times New Roman" w:cs="Times New Roman"/>
          <w:bCs/>
          <w:sz w:val="24"/>
          <w:szCs w:val="24"/>
          <w:lang w:val="es-ES" w:eastAsia="es-ES"/>
        </w:rPr>
      </w:pPr>
      <w:r w:rsidRPr="0018214F">
        <w:rPr>
          <w:rFonts w:ascii="Times New Roman" w:eastAsia="Times New Roman" w:hAnsi="Times New Roman" w:cs="Times New Roman"/>
          <w:bCs/>
          <w:sz w:val="24"/>
          <w:szCs w:val="24"/>
          <w:lang w:val="es-ES" w:eastAsia="es-ES"/>
        </w:rPr>
        <w:t xml:space="preserve">En tal sentido, debe entenderse por obra similar a aquélla de naturaleza semejante a la que se desea contratar, entendiéndose por semejante a aquello </w:t>
      </w:r>
      <w:r w:rsidRPr="0018214F">
        <w:rPr>
          <w:rFonts w:ascii="Times New Roman" w:eastAsia="Times New Roman" w:hAnsi="Times New Roman" w:cs="Times New Roman"/>
          <w:bCs/>
          <w:sz w:val="24"/>
          <w:szCs w:val="24"/>
          <w:u w:val="single"/>
          <w:lang w:val="es-ES" w:eastAsia="es-ES"/>
        </w:rPr>
        <w:t>parecido y no igual</w:t>
      </w:r>
      <w:r w:rsidRPr="0018214F">
        <w:rPr>
          <w:rFonts w:ascii="Times New Roman" w:eastAsia="Times New Roman" w:hAnsi="Times New Roman" w:cs="Times New Roman"/>
          <w:bCs/>
          <w:sz w:val="24"/>
          <w:szCs w:val="24"/>
          <w:lang w:val="es-ES" w:eastAsia="es-ES"/>
        </w:rPr>
        <w:t>, de manera que, para su definición se deberá tener en cuenta aquellos trabajos parecidos o de naturaleza semejante a la que se convoca. Asimismo, debe tenerse presente que lo que define la semejanza entre una obra y otra son las prestaciones involucradas en su ejecución.</w:t>
      </w:r>
    </w:p>
    <w:p w:rsidR="0018214F" w:rsidRPr="0018214F" w:rsidRDefault="0018214F" w:rsidP="0018214F">
      <w:pPr>
        <w:widowControl w:val="0"/>
        <w:autoSpaceDE w:val="0"/>
        <w:autoSpaceDN w:val="0"/>
        <w:adjustRightInd w:val="0"/>
        <w:spacing w:after="0" w:line="240" w:lineRule="auto"/>
        <w:jc w:val="both"/>
        <w:rPr>
          <w:rFonts w:ascii="Times New Roman" w:eastAsia="Times New Roman" w:hAnsi="Times New Roman" w:cs="Times New Roman"/>
          <w:bCs/>
          <w:sz w:val="24"/>
          <w:szCs w:val="24"/>
          <w:lang w:val="es-ES" w:eastAsia="es-ES"/>
        </w:rPr>
      </w:pPr>
      <w:r w:rsidRPr="0018214F">
        <w:rPr>
          <w:rFonts w:ascii="Times New Roman" w:eastAsia="Times New Roman" w:hAnsi="Times New Roman" w:cs="Times New Roman"/>
          <w:bCs/>
          <w:sz w:val="24"/>
          <w:szCs w:val="24"/>
          <w:lang w:val="es-ES" w:eastAsia="es-ES"/>
        </w:rPr>
        <w:t xml:space="preserve">Ahora bien, en el presente caso, el participante solicita que se amplíe la definición de obras </w:t>
      </w:r>
      <w:r w:rsidRPr="0018214F">
        <w:rPr>
          <w:rFonts w:ascii="Times New Roman" w:eastAsia="Times New Roman" w:hAnsi="Times New Roman" w:cs="Times New Roman"/>
          <w:bCs/>
          <w:sz w:val="24"/>
          <w:szCs w:val="24"/>
          <w:lang w:val="es-ES" w:eastAsia="es-ES"/>
        </w:rPr>
        <w:lastRenderedPageBreak/>
        <w:t xml:space="preserve">similares conforme lo que él propone; no obstante considerando que es competencia de la Entidad establecer las obras que serán consideradas similares y que, de acuerdo </w:t>
      </w:r>
      <w:r w:rsidR="00DA622F" w:rsidRPr="00BE3337">
        <w:rPr>
          <w:rFonts w:ascii="Times New Roman" w:eastAsia="Times New Roman" w:hAnsi="Times New Roman" w:cs="Times New Roman"/>
          <w:bCs/>
          <w:sz w:val="24"/>
          <w:szCs w:val="24"/>
          <w:lang w:val="es-ES" w:eastAsia="es-ES"/>
        </w:rPr>
        <w:t xml:space="preserve">a </w:t>
      </w:r>
      <w:r w:rsidRPr="0018214F">
        <w:rPr>
          <w:rFonts w:ascii="Times New Roman" w:eastAsia="Times New Roman" w:hAnsi="Times New Roman" w:cs="Times New Roman"/>
          <w:bCs/>
          <w:sz w:val="24"/>
          <w:szCs w:val="24"/>
          <w:lang w:val="es-ES" w:eastAsia="es-ES"/>
        </w:rPr>
        <w:t xml:space="preserve">lo señalado por el Comité Especial, las </w:t>
      </w:r>
      <w:r w:rsidR="00CE2697" w:rsidRPr="00BE3337">
        <w:rPr>
          <w:rFonts w:ascii="Times New Roman" w:eastAsia="Times New Roman" w:hAnsi="Times New Roman" w:cs="Times New Roman"/>
          <w:bCs/>
          <w:sz w:val="24"/>
          <w:szCs w:val="24"/>
          <w:lang w:val="es-ES" w:eastAsia="es-ES"/>
        </w:rPr>
        <w:t xml:space="preserve">obras </w:t>
      </w:r>
      <w:r w:rsidR="00DA622F" w:rsidRPr="00BE3337">
        <w:rPr>
          <w:rFonts w:ascii="Times New Roman" w:eastAsia="Times New Roman" w:hAnsi="Times New Roman" w:cs="Times New Roman"/>
          <w:bCs/>
          <w:sz w:val="24"/>
          <w:szCs w:val="24"/>
          <w:lang w:val="es-ES" w:eastAsia="es-ES"/>
        </w:rPr>
        <w:t>consideradas</w:t>
      </w:r>
      <w:r w:rsidR="00CE2697" w:rsidRPr="00BE3337">
        <w:rPr>
          <w:rFonts w:ascii="Times New Roman" w:eastAsia="Times New Roman" w:hAnsi="Times New Roman" w:cs="Times New Roman"/>
          <w:bCs/>
          <w:sz w:val="24"/>
          <w:szCs w:val="24"/>
          <w:lang w:val="es-ES" w:eastAsia="es-ES"/>
        </w:rPr>
        <w:t xml:space="preserve"> por el participante </w:t>
      </w:r>
      <w:r w:rsidR="00DA622F" w:rsidRPr="00BE3337">
        <w:rPr>
          <w:rFonts w:ascii="Times New Roman" w:eastAsia="Times New Roman" w:hAnsi="Times New Roman" w:cs="Times New Roman"/>
          <w:bCs/>
          <w:sz w:val="24"/>
          <w:szCs w:val="24"/>
          <w:lang w:val="es-ES" w:eastAsia="es-ES"/>
        </w:rPr>
        <w:t xml:space="preserve">no </w:t>
      </w:r>
      <w:r w:rsidR="00CE2697" w:rsidRPr="00BE3337">
        <w:rPr>
          <w:rFonts w:ascii="Times New Roman" w:eastAsia="Times New Roman" w:hAnsi="Times New Roman" w:cs="Times New Roman"/>
          <w:bCs/>
          <w:sz w:val="24"/>
          <w:szCs w:val="24"/>
          <w:lang w:val="es-ES" w:eastAsia="es-ES"/>
        </w:rPr>
        <w:t xml:space="preserve">resultarían </w:t>
      </w:r>
      <w:r w:rsidR="00DA622F" w:rsidRPr="00BE3337">
        <w:rPr>
          <w:rFonts w:ascii="Times New Roman" w:eastAsia="Times New Roman" w:hAnsi="Times New Roman" w:cs="Times New Roman"/>
          <w:bCs/>
          <w:sz w:val="24"/>
          <w:szCs w:val="24"/>
          <w:lang w:val="es-ES" w:eastAsia="es-ES"/>
        </w:rPr>
        <w:t>de naturaleza semejante a aquella objeto de convocatoria</w:t>
      </w:r>
      <w:r w:rsidRPr="0018214F">
        <w:rPr>
          <w:rFonts w:ascii="Times New Roman" w:eastAsia="Times New Roman" w:hAnsi="Times New Roman" w:cs="Times New Roman"/>
          <w:bCs/>
          <w:sz w:val="24"/>
          <w:szCs w:val="24"/>
          <w:lang w:val="es-ES" w:eastAsia="es-ES"/>
        </w:rPr>
        <w:t xml:space="preserve">, este Organismo Supervisor ha decidido </w:t>
      </w:r>
      <w:r w:rsidRPr="0018214F">
        <w:rPr>
          <w:rFonts w:ascii="Times New Roman" w:eastAsia="Times New Roman" w:hAnsi="Times New Roman" w:cs="Times New Roman"/>
          <w:b/>
          <w:bCs/>
          <w:sz w:val="24"/>
          <w:szCs w:val="24"/>
          <w:lang w:val="es-ES" w:eastAsia="es-ES"/>
        </w:rPr>
        <w:t>NO</w:t>
      </w:r>
      <w:r w:rsidRPr="0018214F">
        <w:rPr>
          <w:rFonts w:ascii="Times New Roman" w:eastAsia="Times New Roman" w:hAnsi="Times New Roman" w:cs="Times New Roman"/>
          <w:bCs/>
          <w:sz w:val="24"/>
          <w:szCs w:val="24"/>
          <w:lang w:val="es-ES" w:eastAsia="es-ES"/>
        </w:rPr>
        <w:t xml:space="preserve"> </w:t>
      </w:r>
      <w:r w:rsidRPr="0018214F">
        <w:rPr>
          <w:rFonts w:ascii="Times New Roman" w:eastAsia="Times New Roman" w:hAnsi="Times New Roman" w:cs="Times New Roman"/>
          <w:b/>
          <w:bCs/>
          <w:sz w:val="24"/>
          <w:szCs w:val="24"/>
          <w:lang w:val="es-ES" w:eastAsia="es-ES"/>
        </w:rPr>
        <w:t>ACOGER</w:t>
      </w:r>
      <w:r w:rsidRPr="0018214F">
        <w:rPr>
          <w:rFonts w:ascii="Times New Roman" w:eastAsia="Times New Roman" w:hAnsi="Times New Roman" w:cs="Times New Roman"/>
          <w:bCs/>
          <w:sz w:val="24"/>
          <w:szCs w:val="24"/>
          <w:lang w:val="es-ES" w:eastAsia="es-ES"/>
        </w:rPr>
        <w:t xml:space="preserve"> la Observaci</w:t>
      </w:r>
      <w:r w:rsidR="00DA622F" w:rsidRPr="00BE3337">
        <w:rPr>
          <w:rFonts w:ascii="Times New Roman" w:eastAsia="Times New Roman" w:hAnsi="Times New Roman" w:cs="Times New Roman"/>
          <w:bCs/>
          <w:sz w:val="24"/>
          <w:szCs w:val="24"/>
          <w:lang w:val="es-ES" w:eastAsia="es-ES"/>
        </w:rPr>
        <w:t>ón</w:t>
      </w:r>
      <w:r w:rsidRPr="0018214F">
        <w:rPr>
          <w:rFonts w:ascii="Times New Roman" w:eastAsia="Times New Roman" w:hAnsi="Times New Roman" w:cs="Times New Roman"/>
          <w:bCs/>
          <w:sz w:val="24"/>
          <w:szCs w:val="24"/>
          <w:lang w:val="es-ES" w:eastAsia="es-ES"/>
        </w:rPr>
        <w:t xml:space="preserve"> Nº 1</w:t>
      </w:r>
      <w:r w:rsidR="00DA622F" w:rsidRPr="00BE3337">
        <w:rPr>
          <w:rFonts w:ascii="Times New Roman" w:eastAsia="Times New Roman" w:hAnsi="Times New Roman" w:cs="Times New Roman"/>
          <w:bCs/>
          <w:sz w:val="24"/>
          <w:szCs w:val="24"/>
          <w:lang w:val="es-ES" w:eastAsia="es-ES"/>
        </w:rPr>
        <w:t>1.</w:t>
      </w:r>
    </w:p>
    <w:p w:rsidR="00DA622F" w:rsidRPr="0018214F" w:rsidRDefault="00DA622F" w:rsidP="0018214F">
      <w:pPr>
        <w:widowControl w:val="0"/>
        <w:spacing w:after="0" w:line="240" w:lineRule="auto"/>
        <w:jc w:val="both"/>
        <w:rPr>
          <w:rFonts w:ascii="Times New Roman" w:eastAsia="Times New Roman" w:hAnsi="Times New Roman" w:cs="Times New Roman"/>
          <w:sz w:val="24"/>
          <w:szCs w:val="24"/>
          <w:lang w:val="es-ES" w:eastAsia="es-MX"/>
        </w:rPr>
      </w:pPr>
    </w:p>
    <w:p w:rsidR="0018214F" w:rsidRPr="0018214F" w:rsidRDefault="0018214F" w:rsidP="0018214F">
      <w:pPr>
        <w:widowControl w:val="0"/>
        <w:spacing w:after="0" w:line="240" w:lineRule="auto"/>
        <w:jc w:val="both"/>
        <w:rPr>
          <w:rFonts w:ascii="Times New Roman" w:eastAsia="Times New Roman" w:hAnsi="Times New Roman" w:cs="Times New Roman"/>
          <w:sz w:val="24"/>
          <w:szCs w:val="24"/>
          <w:lang w:val="es-ES" w:eastAsia="es-MX"/>
        </w:rPr>
      </w:pPr>
      <w:r w:rsidRPr="0018214F">
        <w:rPr>
          <w:rFonts w:ascii="Times New Roman" w:eastAsia="Times New Roman" w:hAnsi="Times New Roman" w:cs="Times New Roman"/>
          <w:sz w:val="24"/>
          <w:szCs w:val="24"/>
          <w:lang w:val="es-ES" w:eastAsia="es-MX"/>
        </w:rPr>
        <w:t>Cabe precisar que, en la medida que la definición de obras similares es responsabilidad de la Entidad, su contenido se encuentra sujeto a rendición de cuentas por parte de las dependencias competentes, en caso de corresponder, ante el Titular de la Entidad, la Contraloría General de la República, Ministerio Público, Poder Judicial y/o ante otros organismo competentes, no siendo este Organismo Supervisor perito técnico en tales aspectos.</w:t>
      </w:r>
    </w:p>
    <w:p w:rsidR="00545BB9" w:rsidRPr="00BE3337" w:rsidRDefault="00545BB9" w:rsidP="00E744B1">
      <w:pPr>
        <w:widowControl w:val="0"/>
        <w:spacing w:after="0" w:line="240" w:lineRule="auto"/>
        <w:jc w:val="both"/>
        <w:rPr>
          <w:rFonts w:ascii="Times New Roman" w:hAnsi="Times New Roman"/>
          <w:sz w:val="24"/>
          <w:szCs w:val="24"/>
        </w:rPr>
      </w:pPr>
    </w:p>
    <w:p w:rsidR="00545BB9" w:rsidRPr="00BE3337" w:rsidRDefault="00545BB9" w:rsidP="00545BB9">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BE3337">
        <w:rPr>
          <w:rFonts w:ascii="Times New Roman" w:eastAsia="Times New Roman" w:hAnsi="Times New Roman" w:cs="Times New Roman"/>
          <w:b/>
          <w:sz w:val="24"/>
          <w:szCs w:val="24"/>
          <w:lang w:val="es-ES" w:eastAsia="es-MX"/>
        </w:rPr>
        <w:t>Observación Nº 13</w:t>
      </w:r>
      <w:r w:rsidRPr="00BE3337">
        <w:rPr>
          <w:rFonts w:ascii="Times New Roman" w:eastAsia="Times New Roman" w:hAnsi="Times New Roman" w:cs="Times New Roman"/>
          <w:b/>
          <w:sz w:val="24"/>
          <w:szCs w:val="24"/>
          <w:lang w:val="es-ES" w:eastAsia="es-MX"/>
        </w:rPr>
        <w:tab/>
        <w:t>Contra el valor referencial</w:t>
      </w:r>
    </w:p>
    <w:p w:rsidR="00545BB9" w:rsidRPr="00BE3337" w:rsidRDefault="00545BB9" w:rsidP="00545BB9">
      <w:pPr>
        <w:widowControl w:val="0"/>
        <w:spacing w:after="0" w:line="240" w:lineRule="auto"/>
        <w:ind w:left="4111" w:hanging="4111"/>
        <w:jc w:val="both"/>
        <w:rPr>
          <w:rFonts w:ascii="Times New Roman" w:hAnsi="Times New Roman"/>
          <w:sz w:val="24"/>
          <w:szCs w:val="24"/>
          <w:lang w:val="es-ES"/>
        </w:rPr>
      </w:pPr>
    </w:p>
    <w:p w:rsidR="00244E22" w:rsidRPr="00BE3337" w:rsidRDefault="00220B91" w:rsidP="00DD1653">
      <w:pPr>
        <w:spacing w:after="0" w:line="240" w:lineRule="auto"/>
        <w:jc w:val="both"/>
        <w:rPr>
          <w:rFonts w:ascii="Times New Roman" w:hAnsi="Times New Roman"/>
          <w:sz w:val="24"/>
          <w:szCs w:val="24"/>
        </w:rPr>
      </w:pPr>
      <w:r w:rsidRPr="00BE3337">
        <w:rPr>
          <w:rFonts w:ascii="Times New Roman" w:eastAsia="Times New Roman" w:hAnsi="Times New Roman" w:cs="Times New Roman"/>
          <w:sz w:val="24"/>
          <w:szCs w:val="24"/>
          <w:lang w:eastAsia="es-MX"/>
        </w:rPr>
        <w:t>Mediante la Observación N</w:t>
      </w:r>
      <w:r w:rsidRPr="00BE3337">
        <w:rPr>
          <w:rFonts w:ascii="Times New Roman" w:hAnsi="Times New Roman"/>
          <w:sz w:val="24"/>
          <w:szCs w:val="24"/>
        </w:rPr>
        <w:t>° 1</w:t>
      </w:r>
      <w:r w:rsidR="00E61D4F" w:rsidRPr="00BE3337">
        <w:rPr>
          <w:rFonts w:ascii="Times New Roman" w:hAnsi="Times New Roman"/>
          <w:sz w:val="24"/>
          <w:szCs w:val="24"/>
        </w:rPr>
        <w:t>3</w:t>
      </w:r>
      <w:r w:rsidRPr="00BE3337">
        <w:rPr>
          <w:rFonts w:ascii="Times New Roman" w:hAnsi="Times New Roman"/>
          <w:sz w:val="24"/>
          <w:szCs w:val="24"/>
        </w:rPr>
        <w:t xml:space="preserve">, </w:t>
      </w:r>
      <w:r w:rsidR="00E61D4F" w:rsidRPr="00BE3337">
        <w:rPr>
          <w:rFonts w:ascii="Times New Roman" w:hAnsi="Times New Roman"/>
          <w:sz w:val="24"/>
          <w:szCs w:val="24"/>
        </w:rPr>
        <w:t xml:space="preserve">el participante </w:t>
      </w:r>
      <w:r w:rsidR="00244E22" w:rsidRPr="00BE3337">
        <w:rPr>
          <w:rFonts w:ascii="Times New Roman" w:hAnsi="Times New Roman"/>
          <w:sz w:val="24"/>
          <w:szCs w:val="24"/>
        </w:rPr>
        <w:t>señala lo siguiente:</w:t>
      </w:r>
    </w:p>
    <w:p w:rsidR="00244E22" w:rsidRPr="00BE3337" w:rsidRDefault="00244E22" w:rsidP="00DD1653">
      <w:pPr>
        <w:spacing w:after="0" w:line="240" w:lineRule="auto"/>
        <w:jc w:val="both"/>
        <w:rPr>
          <w:rFonts w:ascii="Times New Roman" w:hAnsi="Times New Roman"/>
          <w:sz w:val="24"/>
          <w:szCs w:val="24"/>
        </w:rPr>
      </w:pPr>
    </w:p>
    <w:p w:rsidR="00D13B60" w:rsidRPr="009A13AA" w:rsidRDefault="00244E22" w:rsidP="00244E22">
      <w:pPr>
        <w:pStyle w:val="Prrafodelista"/>
        <w:numPr>
          <w:ilvl w:val="0"/>
          <w:numId w:val="7"/>
        </w:numPr>
        <w:spacing w:after="0" w:line="240" w:lineRule="auto"/>
        <w:jc w:val="both"/>
        <w:rPr>
          <w:rFonts w:ascii="Times New Roman" w:eastAsia="Times New Roman" w:hAnsi="Times New Roman" w:cs="Times New Roman"/>
          <w:sz w:val="24"/>
          <w:szCs w:val="24"/>
          <w:lang w:eastAsia="es-MX"/>
        </w:rPr>
      </w:pPr>
      <w:r w:rsidRPr="00BE3337">
        <w:rPr>
          <w:rFonts w:ascii="Times New Roman" w:hAnsi="Times New Roman"/>
          <w:sz w:val="24"/>
          <w:szCs w:val="24"/>
        </w:rPr>
        <w:t xml:space="preserve">Se habría consignado dentro de las especificaciones del expediente técnico la descripción de un “expediente de sistema de media tensión”, pero no se ha incluido su presupuesto referencial, considerándose también para las obras civiles y su parte eléctrica una sub estación, sin indicar los trámites ni los costos que irrogaría </w:t>
      </w:r>
      <w:r w:rsidR="00037F91" w:rsidRPr="00BE3337">
        <w:rPr>
          <w:rFonts w:ascii="Times New Roman" w:hAnsi="Times New Roman"/>
          <w:sz w:val="24"/>
          <w:szCs w:val="24"/>
        </w:rPr>
        <w:t>que dicha subestación</w:t>
      </w:r>
      <w:r w:rsidRPr="00BE3337">
        <w:rPr>
          <w:rFonts w:ascii="Times New Roman" w:hAnsi="Times New Roman"/>
          <w:sz w:val="24"/>
          <w:szCs w:val="24"/>
        </w:rPr>
        <w:t xml:space="preserve"> </w:t>
      </w:r>
      <w:r w:rsidR="00037F91" w:rsidRPr="00BE3337">
        <w:rPr>
          <w:rFonts w:ascii="Times New Roman" w:hAnsi="Times New Roman"/>
          <w:sz w:val="24"/>
          <w:szCs w:val="24"/>
        </w:rPr>
        <w:t>converja</w:t>
      </w:r>
      <w:r w:rsidRPr="00BE3337">
        <w:rPr>
          <w:rFonts w:ascii="Times New Roman" w:hAnsi="Times New Roman"/>
          <w:sz w:val="24"/>
          <w:szCs w:val="24"/>
        </w:rPr>
        <w:t xml:space="preserve"> hasta el PMI. </w:t>
      </w:r>
    </w:p>
    <w:p w:rsidR="009A13AA" w:rsidRPr="00BE3337" w:rsidRDefault="009A13AA" w:rsidP="009A13AA">
      <w:pPr>
        <w:pStyle w:val="Prrafodelista"/>
        <w:spacing w:after="0" w:line="240" w:lineRule="auto"/>
        <w:jc w:val="both"/>
        <w:rPr>
          <w:rFonts w:ascii="Times New Roman" w:eastAsia="Times New Roman" w:hAnsi="Times New Roman" w:cs="Times New Roman"/>
          <w:sz w:val="24"/>
          <w:szCs w:val="24"/>
          <w:lang w:eastAsia="es-MX"/>
        </w:rPr>
      </w:pPr>
    </w:p>
    <w:p w:rsidR="00037F91" w:rsidRPr="00BE3337" w:rsidRDefault="00037F91" w:rsidP="00244E22">
      <w:pPr>
        <w:pStyle w:val="Prrafodelista"/>
        <w:numPr>
          <w:ilvl w:val="0"/>
          <w:numId w:val="7"/>
        </w:numPr>
        <w:spacing w:after="0" w:line="240" w:lineRule="auto"/>
        <w:jc w:val="both"/>
        <w:rPr>
          <w:rFonts w:ascii="Times New Roman" w:eastAsia="Times New Roman" w:hAnsi="Times New Roman" w:cs="Times New Roman"/>
          <w:sz w:val="24"/>
          <w:szCs w:val="24"/>
          <w:lang w:eastAsia="es-MX"/>
        </w:rPr>
      </w:pPr>
      <w:r w:rsidRPr="00BE3337">
        <w:rPr>
          <w:rFonts w:ascii="Times New Roman" w:hAnsi="Times New Roman"/>
          <w:sz w:val="24"/>
          <w:szCs w:val="24"/>
        </w:rPr>
        <w:t>Se habría previsto en el presupuesto de la parte eléctrica las partidas: i) equipo de grabación CCTV (NVR), ii) cámara de video CCTV, iii) pulsador eléctrico, iv) equipo de control de accesos biométrico, y, v) central de control de acceso; sin embargo, en el análisis de precios o en el listado de equipamiento y mobiliario no estarían considerados los equipos.</w:t>
      </w:r>
    </w:p>
    <w:p w:rsidR="00037F91" w:rsidRPr="00BE3337" w:rsidRDefault="00037F91" w:rsidP="00037F91">
      <w:pPr>
        <w:spacing w:after="0" w:line="240" w:lineRule="auto"/>
        <w:jc w:val="both"/>
        <w:rPr>
          <w:rFonts w:ascii="Times New Roman" w:eastAsia="Times New Roman" w:hAnsi="Times New Roman" w:cs="Times New Roman"/>
          <w:sz w:val="24"/>
          <w:szCs w:val="24"/>
          <w:lang w:eastAsia="es-MX"/>
        </w:rPr>
      </w:pPr>
    </w:p>
    <w:p w:rsidR="00037F91" w:rsidRPr="00BE3337" w:rsidRDefault="00037F91" w:rsidP="00037F91">
      <w:pPr>
        <w:spacing w:after="0" w:line="240" w:lineRule="auto"/>
        <w:jc w:val="both"/>
        <w:rPr>
          <w:rFonts w:ascii="Times New Roman" w:eastAsia="Times New Roman" w:hAnsi="Times New Roman" w:cs="Times New Roman"/>
          <w:sz w:val="24"/>
          <w:szCs w:val="24"/>
          <w:lang w:eastAsia="es-MX"/>
        </w:rPr>
      </w:pPr>
      <w:r w:rsidRPr="00BE3337">
        <w:rPr>
          <w:rFonts w:ascii="Times New Roman" w:eastAsia="Times New Roman" w:hAnsi="Times New Roman" w:cs="Times New Roman"/>
          <w:sz w:val="24"/>
          <w:szCs w:val="24"/>
          <w:lang w:eastAsia="es-MX"/>
        </w:rPr>
        <w:t>En ese sentido, solicita que se sustente los criterios tomados en cuenta para el diseño del sistema de media tensión, y</w:t>
      </w:r>
      <w:r w:rsidR="005B6C11" w:rsidRPr="00BE3337">
        <w:rPr>
          <w:rFonts w:ascii="Times New Roman" w:eastAsia="Times New Roman" w:hAnsi="Times New Roman" w:cs="Times New Roman"/>
          <w:sz w:val="24"/>
          <w:szCs w:val="24"/>
          <w:lang w:eastAsia="es-MX"/>
        </w:rPr>
        <w:t xml:space="preserve"> se precise</w:t>
      </w:r>
      <w:r w:rsidRPr="00BE3337">
        <w:rPr>
          <w:rFonts w:ascii="Times New Roman" w:eastAsia="Times New Roman" w:hAnsi="Times New Roman" w:cs="Times New Roman"/>
          <w:sz w:val="24"/>
          <w:szCs w:val="24"/>
          <w:lang w:eastAsia="es-MX"/>
        </w:rPr>
        <w:t xml:space="preserve"> si las partidas antes mencionadas fueron consideradas en el análisis de costo que permitieron determinar el valor referencial. </w:t>
      </w:r>
    </w:p>
    <w:p w:rsidR="00D13B60" w:rsidRPr="00BE3337" w:rsidRDefault="00D13B60" w:rsidP="00DD1653">
      <w:pPr>
        <w:spacing w:after="0" w:line="240" w:lineRule="auto"/>
        <w:jc w:val="both"/>
        <w:rPr>
          <w:rFonts w:ascii="Times New Roman" w:eastAsia="Times New Roman" w:hAnsi="Times New Roman" w:cs="Times New Roman"/>
          <w:sz w:val="24"/>
          <w:szCs w:val="24"/>
          <w:lang w:val="es-ES" w:eastAsia="es-MX"/>
        </w:rPr>
      </w:pPr>
    </w:p>
    <w:p w:rsidR="00D13B60" w:rsidRPr="00BE3337" w:rsidRDefault="00CA2120" w:rsidP="00DD1653">
      <w:pPr>
        <w:spacing w:after="0" w:line="240" w:lineRule="auto"/>
        <w:jc w:val="both"/>
        <w:rPr>
          <w:rFonts w:ascii="Times New Roman" w:eastAsia="Times New Roman" w:hAnsi="Times New Roman" w:cs="Times New Roman"/>
          <w:b/>
          <w:sz w:val="24"/>
          <w:szCs w:val="24"/>
          <w:lang w:val="es-ES" w:eastAsia="es-MX"/>
        </w:rPr>
      </w:pPr>
      <w:r w:rsidRPr="00BE3337">
        <w:rPr>
          <w:rFonts w:ascii="Times New Roman" w:eastAsia="Times New Roman" w:hAnsi="Times New Roman" w:cs="Times New Roman"/>
          <w:b/>
          <w:sz w:val="24"/>
          <w:szCs w:val="24"/>
          <w:lang w:val="es-ES" w:eastAsia="es-MX"/>
        </w:rPr>
        <w:t>Pronunciamiento</w:t>
      </w:r>
    </w:p>
    <w:p w:rsidR="00CA2120" w:rsidRPr="00BE3337" w:rsidRDefault="00CA2120" w:rsidP="00DD1653">
      <w:pPr>
        <w:spacing w:after="0" w:line="240" w:lineRule="auto"/>
        <w:jc w:val="both"/>
        <w:rPr>
          <w:rFonts w:ascii="Times New Roman" w:eastAsia="Times New Roman" w:hAnsi="Times New Roman" w:cs="Times New Roman"/>
          <w:b/>
          <w:sz w:val="24"/>
          <w:szCs w:val="24"/>
          <w:lang w:val="es-ES" w:eastAsia="es-MX"/>
        </w:rPr>
      </w:pPr>
    </w:p>
    <w:p w:rsidR="008B6194" w:rsidRPr="00BE3337" w:rsidRDefault="005B6C11" w:rsidP="00DD1653">
      <w:pPr>
        <w:spacing w:after="0" w:line="240" w:lineRule="auto"/>
        <w:jc w:val="both"/>
        <w:rPr>
          <w:rFonts w:ascii="Times New Roman" w:eastAsia="Times New Roman" w:hAnsi="Times New Roman" w:cs="Times New Roman"/>
          <w:sz w:val="24"/>
          <w:szCs w:val="24"/>
          <w:lang w:val="es-ES" w:eastAsia="es-MX"/>
        </w:rPr>
      </w:pPr>
      <w:r w:rsidRPr="00BE3337">
        <w:rPr>
          <w:rFonts w:ascii="Times New Roman" w:eastAsia="Times New Roman" w:hAnsi="Times New Roman" w:cs="Times New Roman"/>
          <w:sz w:val="24"/>
          <w:szCs w:val="24"/>
          <w:lang w:val="es-ES" w:eastAsia="es-MX"/>
        </w:rPr>
        <w:t xml:space="preserve">Sobre el particular, </w:t>
      </w:r>
      <w:r w:rsidR="008B6194" w:rsidRPr="00BE3337">
        <w:rPr>
          <w:rFonts w:ascii="Times New Roman" w:eastAsia="Times New Roman" w:hAnsi="Times New Roman" w:cs="Times New Roman"/>
          <w:sz w:val="24"/>
          <w:szCs w:val="24"/>
          <w:lang w:val="es-ES" w:eastAsia="es-MX"/>
        </w:rPr>
        <w:t>en el pliego absolutorio de observaciones, el Comité Especial señaló lo siguiente:</w:t>
      </w:r>
    </w:p>
    <w:p w:rsidR="008B6194" w:rsidRPr="00BE3337" w:rsidRDefault="008B6194" w:rsidP="00DD1653">
      <w:pPr>
        <w:spacing w:after="0" w:line="240" w:lineRule="auto"/>
        <w:jc w:val="both"/>
        <w:rPr>
          <w:rFonts w:ascii="Times New Roman" w:eastAsia="Times New Roman" w:hAnsi="Times New Roman" w:cs="Times New Roman"/>
          <w:sz w:val="24"/>
          <w:szCs w:val="24"/>
          <w:lang w:val="es-ES" w:eastAsia="es-MX"/>
        </w:rPr>
      </w:pPr>
    </w:p>
    <w:p w:rsidR="008B6194" w:rsidRPr="00BE3337" w:rsidRDefault="008B6194" w:rsidP="00DD1653">
      <w:pPr>
        <w:spacing w:after="0" w:line="240" w:lineRule="auto"/>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 xml:space="preserve">“Se precisa que el presente proceso de selección es bajo el sistema de contratación a suma alzada y teniéndose en cuenta que el sistema de media tensión y el equipo de grabación CCTV (NVR), cámara de video CCTV, pulsador eléctrico, equipo de control de acceso biométrico y central de control de acceso, sí están incluidos en los planos del expediente técnico del proyecto; por lo que en cumplimiento del artículo 40 del RLCE el postor formulará su propuesta considerando </w:t>
      </w:r>
      <w:r w:rsidR="008F4962" w:rsidRPr="00BE3337">
        <w:rPr>
          <w:rFonts w:ascii="Times New Roman" w:eastAsia="Times New Roman" w:hAnsi="Times New Roman" w:cs="Times New Roman"/>
          <w:i/>
          <w:sz w:val="24"/>
          <w:szCs w:val="24"/>
          <w:lang w:val="es-ES" w:eastAsia="es-MX"/>
        </w:rPr>
        <w:t>los trabajos</w:t>
      </w:r>
      <w:r w:rsidR="00DF7DEC" w:rsidRPr="00BE3337">
        <w:rPr>
          <w:rFonts w:ascii="Times New Roman" w:eastAsia="Times New Roman" w:hAnsi="Times New Roman" w:cs="Times New Roman"/>
          <w:i/>
          <w:sz w:val="24"/>
          <w:szCs w:val="24"/>
          <w:lang w:val="es-ES" w:eastAsia="es-MX"/>
        </w:rPr>
        <w:t xml:space="preserve"> que resulten necesarios para el cumplimiento de la prestación requerida”. </w:t>
      </w:r>
      <w:r w:rsidR="008F4962" w:rsidRPr="00BE3337">
        <w:rPr>
          <w:rFonts w:ascii="Times New Roman" w:eastAsia="Times New Roman" w:hAnsi="Times New Roman" w:cs="Times New Roman"/>
          <w:i/>
          <w:sz w:val="24"/>
          <w:szCs w:val="24"/>
          <w:lang w:val="es-ES" w:eastAsia="es-MX"/>
        </w:rPr>
        <w:t xml:space="preserve"> </w:t>
      </w:r>
    </w:p>
    <w:p w:rsidR="00110C01" w:rsidRPr="00BE3337" w:rsidRDefault="00110C01" w:rsidP="00DD1653">
      <w:pPr>
        <w:spacing w:after="0" w:line="240" w:lineRule="auto"/>
        <w:jc w:val="both"/>
        <w:rPr>
          <w:rFonts w:ascii="Times New Roman" w:eastAsia="Times New Roman" w:hAnsi="Times New Roman" w:cs="Times New Roman"/>
          <w:i/>
          <w:sz w:val="24"/>
          <w:szCs w:val="24"/>
          <w:lang w:val="es-ES" w:eastAsia="es-MX"/>
        </w:rPr>
      </w:pPr>
    </w:p>
    <w:p w:rsidR="00CE66D1" w:rsidRPr="00BE3337" w:rsidRDefault="00CE66D1" w:rsidP="00CE66D1">
      <w:pPr>
        <w:spacing w:after="0" w:line="240" w:lineRule="auto"/>
        <w:jc w:val="both"/>
        <w:rPr>
          <w:rFonts w:ascii="Times New Roman" w:eastAsia="Times New Roman" w:hAnsi="Times New Roman" w:cs="Times New Roman"/>
          <w:sz w:val="24"/>
          <w:szCs w:val="24"/>
          <w:lang w:val="es-ES" w:eastAsia="es-MX"/>
        </w:rPr>
      </w:pPr>
      <w:r w:rsidRPr="00BE3337">
        <w:rPr>
          <w:rFonts w:ascii="Times New Roman" w:eastAsia="Times New Roman" w:hAnsi="Times New Roman" w:cs="Times New Roman"/>
          <w:sz w:val="24"/>
          <w:szCs w:val="24"/>
          <w:lang w:val="es-ES" w:eastAsia="es-MX"/>
        </w:rPr>
        <w:lastRenderedPageBreak/>
        <w:t>Por su parte, en el Informe Técnico remitido por la Entidad con ocasión de la solicitud de elevación de observaciones, el Comité Especial señaló lo siguiente:</w:t>
      </w:r>
    </w:p>
    <w:p w:rsidR="00CE66D1" w:rsidRPr="00BE3337" w:rsidRDefault="00CE66D1" w:rsidP="00CE66D1">
      <w:pPr>
        <w:spacing w:after="0" w:line="240" w:lineRule="auto"/>
        <w:jc w:val="both"/>
        <w:rPr>
          <w:rFonts w:ascii="Times New Roman" w:eastAsia="Times New Roman" w:hAnsi="Times New Roman" w:cs="Times New Roman"/>
          <w:sz w:val="24"/>
          <w:szCs w:val="24"/>
          <w:lang w:val="es-ES" w:eastAsia="es-MX"/>
        </w:rPr>
      </w:pPr>
    </w:p>
    <w:p w:rsidR="00CE66D1" w:rsidRPr="00BE3337" w:rsidRDefault="00CE66D1" w:rsidP="00CE66D1">
      <w:pPr>
        <w:spacing w:after="0" w:line="240" w:lineRule="auto"/>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w:t>
      </w:r>
      <w:r w:rsidRPr="00BE3337">
        <w:rPr>
          <w:rFonts w:ascii="Times New Roman" w:eastAsia="Times New Roman" w:hAnsi="Times New Roman" w:cs="Times New Roman"/>
          <w:i/>
          <w:sz w:val="24"/>
          <w:szCs w:val="24"/>
          <w:u w:val="single"/>
          <w:lang w:val="es-ES" w:eastAsia="es-MX"/>
        </w:rPr>
        <w:t>Se realiza la precisión que el diseño del sistema de media tensión está debidamente sustentado en el expediente técnico alcanzado a los participantes, el cual incluye una carpeta especial denominada “expediente media tensión” que forma parte de la carpeta denominada “2.0 Anexos”</w:t>
      </w:r>
      <w:r w:rsidRPr="00BE3337">
        <w:rPr>
          <w:rFonts w:ascii="Times New Roman" w:eastAsia="Times New Roman" w:hAnsi="Times New Roman" w:cs="Times New Roman"/>
          <w:i/>
          <w:sz w:val="24"/>
          <w:szCs w:val="24"/>
          <w:lang w:val="es-ES" w:eastAsia="es-MX"/>
        </w:rPr>
        <w:t xml:space="preserve">. </w:t>
      </w:r>
    </w:p>
    <w:p w:rsidR="00CE66D1" w:rsidRPr="00BE3337" w:rsidRDefault="00CE66D1" w:rsidP="00CE66D1">
      <w:pPr>
        <w:spacing w:after="0" w:line="240" w:lineRule="auto"/>
        <w:jc w:val="both"/>
        <w:rPr>
          <w:rFonts w:ascii="Times New Roman" w:eastAsia="Times New Roman" w:hAnsi="Times New Roman" w:cs="Times New Roman"/>
          <w:i/>
          <w:sz w:val="24"/>
          <w:szCs w:val="24"/>
          <w:lang w:val="es-ES" w:eastAsia="es-MX"/>
        </w:rPr>
      </w:pPr>
    </w:p>
    <w:p w:rsidR="00CE66D1" w:rsidRPr="00BE3337" w:rsidRDefault="00CE66D1" w:rsidP="00CE66D1">
      <w:pPr>
        <w:spacing w:after="0" w:line="240" w:lineRule="auto"/>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Verificado el contenido de dicha carpeta se advierte que contiene el expediente del sistema de media tensión aprobado por el concesionario Electro Centro, el cual incluye la siguiente información:</w:t>
      </w:r>
    </w:p>
    <w:p w:rsidR="00CE66D1" w:rsidRPr="00BE3337" w:rsidRDefault="00CE66D1" w:rsidP="00CE66D1">
      <w:pPr>
        <w:spacing w:after="0" w:line="240" w:lineRule="auto"/>
        <w:jc w:val="both"/>
        <w:rPr>
          <w:rFonts w:ascii="Times New Roman" w:eastAsia="Times New Roman" w:hAnsi="Times New Roman" w:cs="Times New Roman"/>
          <w:i/>
          <w:sz w:val="24"/>
          <w:szCs w:val="24"/>
          <w:lang w:val="es-ES" w:eastAsia="es-MX"/>
        </w:rPr>
      </w:pPr>
    </w:p>
    <w:p w:rsidR="00CE66D1" w:rsidRPr="00BE3337" w:rsidRDefault="00CE66D1" w:rsidP="00CE66D1">
      <w:pPr>
        <w:spacing w:after="0" w:line="240" w:lineRule="auto"/>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Especificaciones técnicas y memoria descriptiva</w:t>
      </w:r>
    </w:p>
    <w:p w:rsidR="00CE66D1" w:rsidRPr="00BE3337" w:rsidRDefault="00CE66D1" w:rsidP="00CE66D1">
      <w:pPr>
        <w:spacing w:after="0" w:line="240" w:lineRule="auto"/>
        <w:jc w:val="both"/>
        <w:rPr>
          <w:rFonts w:ascii="Times New Roman" w:eastAsia="Times New Roman" w:hAnsi="Times New Roman" w:cs="Times New Roman"/>
          <w:i/>
          <w:sz w:val="24"/>
          <w:szCs w:val="24"/>
          <w:lang w:val="es-ES" w:eastAsia="es-MX"/>
        </w:rPr>
      </w:pPr>
      <w:proofErr w:type="spellStart"/>
      <w:r w:rsidRPr="00BE3337">
        <w:rPr>
          <w:rFonts w:ascii="Times New Roman" w:eastAsia="Times New Roman" w:hAnsi="Times New Roman" w:cs="Times New Roman"/>
          <w:i/>
          <w:sz w:val="24"/>
          <w:szCs w:val="24"/>
          <w:lang w:val="es-ES" w:eastAsia="es-MX"/>
        </w:rPr>
        <w:t>Metrados</w:t>
      </w:r>
      <w:proofErr w:type="spellEnd"/>
      <w:r w:rsidRPr="00BE3337">
        <w:rPr>
          <w:rFonts w:ascii="Times New Roman" w:eastAsia="Times New Roman" w:hAnsi="Times New Roman" w:cs="Times New Roman"/>
          <w:i/>
          <w:sz w:val="24"/>
          <w:szCs w:val="24"/>
          <w:lang w:val="es-ES" w:eastAsia="es-MX"/>
        </w:rPr>
        <w:t>, presupuesto y cronograma</w:t>
      </w:r>
    </w:p>
    <w:p w:rsidR="00CE66D1" w:rsidRPr="00BE3337" w:rsidRDefault="00CE66D1" w:rsidP="00CE66D1">
      <w:pPr>
        <w:spacing w:after="0" w:line="240" w:lineRule="auto"/>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Planos, exclusivamente referidos al sistema de media tensión</w:t>
      </w:r>
    </w:p>
    <w:p w:rsidR="00CE66D1" w:rsidRPr="00BE3337" w:rsidRDefault="00CE66D1" w:rsidP="00CE66D1">
      <w:pPr>
        <w:spacing w:after="0" w:line="240" w:lineRule="auto"/>
        <w:jc w:val="both"/>
        <w:rPr>
          <w:rFonts w:ascii="Times New Roman" w:eastAsia="Times New Roman" w:hAnsi="Times New Roman" w:cs="Times New Roman"/>
          <w:i/>
          <w:sz w:val="24"/>
          <w:szCs w:val="24"/>
          <w:lang w:val="es-ES" w:eastAsia="es-MX"/>
        </w:rPr>
      </w:pPr>
    </w:p>
    <w:p w:rsidR="00CE66D1" w:rsidRPr="00BE3337" w:rsidRDefault="00CE66D1" w:rsidP="00CE66D1">
      <w:pPr>
        <w:spacing w:after="0" w:line="240" w:lineRule="auto"/>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 xml:space="preserve">Asimismo, </w:t>
      </w:r>
      <w:r w:rsidRPr="00BE3337">
        <w:rPr>
          <w:rFonts w:ascii="Times New Roman" w:eastAsia="Times New Roman" w:hAnsi="Times New Roman" w:cs="Times New Roman"/>
          <w:i/>
          <w:sz w:val="24"/>
          <w:szCs w:val="24"/>
          <w:u w:val="single"/>
          <w:lang w:val="es-ES" w:eastAsia="es-MX"/>
        </w:rPr>
        <w:t>se debe precisar que el presupuesto del sistema de media tensión es concordante con el monto señalado en el presupuesto general de la obra y sí incluye una partida para los costos reclamados por el observante</w:t>
      </w:r>
      <w:r w:rsidRPr="00BE3337">
        <w:rPr>
          <w:rFonts w:ascii="Times New Roman" w:eastAsia="Times New Roman" w:hAnsi="Times New Roman" w:cs="Times New Roman"/>
          <w:i/>
          <w:sz w:val="24"/>
          <w:szCs w:val="24"/>
          <w:lang w:val="es-ES" w:eastAsia="es-MX"/>
        </w:rPr>
        <w:t xml:space="preserve">, lo cual resulta suficientemente sustentado lo cual permitirá a los postores realizar sus propuestas económicas sin dificultad. </w:t>
      </w:r>
    </w:p>
    <w:p w:rsidR="00CE66D1" w:rsidRPr="00BE3337" w:rsidRDefault="00CE66D1" w:rsidP="00DD1653">
      <w:pPr>
        <w:spacing w:after="0" w:line="240" w:lineRule="auto"/>
        <w:jc w:val="both"/>
        <w:rPr>
          <w:rFonts w:ascii="Times New Roman" w:eastAsia="Times New Roman" w:hAnsi="Times New Roman" w:cs="Times New Roman"/>
          <w:i/>
          <w:sz w:val="24"/>
          <w:szCs w:val="24"/>
          <w:lang w:val="es-ES" w:eastAsia="es-MX"/>
        </w:rPr>
      </w:pPr>
    </w:p>
    <w:tbl>
      <w:tblPr>
        <w:tblStyle w:val="Tablaconcuadrcula"/>
        <w:tblW w:w="0" w:type="auto"/>
        <w:jc w:val="center"/>
        <w:tblLook w:val="04A0" w:firstRow="1" w:lastRow="0" w:firstColumn="1" w:lastColumn="0" w:noHBand="0" w:noVBand="1"/>
      </w:tblPr>
      <w:tblGrid>
        <w:gridCol w:w="846"/>
        <w:gridCol w:w="3827"/>
        <w:gridCol w:w="567"/>
        <w:gridCol w:w="652"/>
        <w:gridCol w:w="1468"/>
        <w:gridCol w:w="1468"/>
      </w:tblGrid>
      <w:tr w:rsidR="00DF7DEC" w:rsidRPr="00BE3337" w:rsidTr="00DF7DEC">
        <w:trPr>
          <w:jc w:val="center"/>
        </w:trPr>
        <w:tc>
          <w:tcPr>
            <w:tcW w:w="846"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02</w:t>
            </w:r>
          </w:p>
        </w:tc>
        <w:tc>
          <w:tcPr>
            <w:tcW w:w="3827"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Media Tensión</w:t>
            </w:r>
          </w:p>
        </w:tc>
        <w:tc>
          <w:tcPr>
            <w:tcW w:w="567" w:type="dxa"/>
          </w:tcPr>
          <w:p w:rsidR="00DF7DEC" w:rsidRPr="00BE3337" w:rsidRDefault="00DF7DEC" w:rsidP="00DF7DEC">
            <w:pPr>
              <w:jc w:val="both"/>
              <w:rPr>
                <w:rFonts w:ascii="Times New Roman" w:eastAsia="Times New Roman" w:hAnsi="Times New Roman" w:cs="Times New Roman"/>
                <w:i/>
                <w:sz w:val="24"/>
                <w:szCs w:val="24"/>
                <w:lang w:val="es-ES" w:eastAsia="es-MX"/>
              </w:rPr>
            </w:pPr>
          </w:p>
        </w:tc>
        <w:tc>
          <w:tcPr>
            <w:tcW w:w="652" w:type="dxa"/>
          </w:tcPr>
          <w:p w:rsidR="00DF7DEC" w:rsidRPr="00BE3337" w:rsidRDefault="00DF7DEC" w:rsidP="00DF7DEC">
            <w:pPr>
              <w:jc w:val="both"/>
              <w:rPr>
                <w:rFonts w:ascii="Times New Roman" w:eastAsia="Times New Roman" w:hAnsi="Times New Roman" w:cs="Times New Roman"/>
                <w:i/>
                <w:sz w:val="24"/>
                <w:szCs w:val="24"/>
                <w:lang w:val="es-ES" w:eastAsia="es-MX"/>
              </w:rPr>
            </w:pPr>
          </w:p>
        </w:tc>
        <w:tc>
          <w:tcPr>
            <w:tcW w:w="1468" w:type="dxa"/>
          </w:tcPr>
          <w:p w:rsidR="00DF7DEC" w:rsidRPr="00BE3337" w:rsidRDefault="00DF7DEC" w:rsidP="00DF7DEC">
            <w:pPr>
              <w:jc w:val="both"/>
              <w:rPr>
                <w:rFonts w:ascii="Times New Roman" w:eastAsia="Times New Roman" w:hAnsi="Times New Roman" w:cs="Times New Roman"/>
                <w:i/>
                <w:sz w:val="24"/>
                <w:szCs w:val="24"/>
                <w:lang w:val="es-ES" w:eastAsia="es-MX"/>
              </w:rPr>
            </w:pPr>
          </w:p>
        </w:tc>
        <w:tc>
          <w:tcPr>
            <w:tcW w:w="1468"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210,310.67</w:t>
            </w:r>
          </w:p>
        </w:tc>
      </w:tr>
      <w:tr w:rsidR="00DF7DEC" w:rsidRPr="00BE3337" w:rsidTr="00DF7DEC">
        <w:trPr>
          <w:jc w:val="center"/>
        </w:trPr>
        <w:tc>
          <w:tcPr>
            <w:tcW w:w="846"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02.01</w:t>
            </w:r>
          </w:p>
        </w:tc>
        <w:tc>
          <w:tcPr>
            <w:tcW w:w="3827"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 xml:space="preserve">Sistema de utilización en media tensión en 10 </w:t>
            </w:r>
            <w:proofErr w:type="spellStart"/>
            <w:r w:rsidRPr="00BE3337">
              <w:rPr>
                <w:rFonts w:ascii="Times New Roman" w:eastAsia="Times New Roman" w:hAnsi="Times New Roman" w:cs="Times New Roman"/>
                <w:i/>
                <w:sz w:val="24"/>
                <w:szCs w:val="24"/>
                <w:lang w:val="es-ES" w:eastAsia="es-MX"/>
              </w:rPr>
              <w:t>kv</w:t>
            </w:r>
            <w:proofErr w:type="spellEnd"/>
            <w:r w:rsidRPr="00BE3337">
              <w:rPr>
                <w:rFonts w:ascii="Times New Roman" w:eastAsia="Times New Roman" w:hAnsi="Times New Roman" w:cs="Times New Roman"/>
                <w:i/>
                <w:sz w:val="24"/>
                <w:szCs w:val="24"/>
                <w:lang w:val="es-ES" w:eastAsia="es-MX"/>
              </w:rPr>
              <w:t>, 30 – Expediente N° 031H2012HT</w:t>
            </w:r>
          </w:p>
        </w:tc>
        <w:tc>
          <w:tcPr>
            <w:tcW w:w="567"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g/b</w:t>
            </w:r>
          </w:p>
        </w:tc>
        <w:tc>
          <w:tcPr>
            <w:tcW w:w="652"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1.00</w:t>
            </w:r>
          </w:p>
        </w:tc>
        <w:tc>
          <w:tcPr>
            <w:tcW w:w="1468"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184,102.67</w:t>
            </w:r>
          </w:p>
        </w:tc>
        <w:tc>
          <w:tcPr>
            <w:tcW w:w="1468"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184,102.67</w:t>
            </w:r>
          </w:p>
        </w:tc>
      </w:tr>
      <w:tr w:rsidR="00DF7DEC" w:rsidRPr="00BE3337" w:rsidTr="00DF7DEC">
        <w:trPr>
          <w:jc w:val="center"/>
        </w:trPr>
        <w:tc>
          <w:tcPr>
            <w:tcW w:w="846"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02.02</w:t>
            </w:r>
          </w:p>
        </w:tc>
        <w:tc>
          <w:tcPr>
            <w:tcW w:w="3827"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Suministro e instalación de equipos y materiales de PMI (Inc. Pagos y otros derechos)</w:t>
            </w:r>
          </w:p>
        </w:tc>
        <w:tc>
          <w:tcPr>
            <w:tcW w:w="567"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g/b</w:t>
            </w:r>
          </w:p>
        </w:tc>
        <w:tc>
          <w:tcPr>
            <w:tcW w:w="652"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1.00</w:t>
            </w:r>
          </w:p>
        </w:tc>
        <w:tc>
          <w:tcPr>
            <w:tcW w:w="1468"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26,208.00</w:t>
            </w:r>
          </w:p>
        </w:tc>
        <w:tc>
          <w:tcPr>
            <w:tcW w:w="1468" w:type="dxa"/>
          </w:tcPr>
          <w:p w:rsidR="00DF7DEC" w:rsidRPr="00BE3337" w:rsidRDefault="00DF7DEC" w:rsidP="00DF7DEC">
            <w:pPr>
              <w:jc w:val="both"/>
              <w:rPr>
                <w:rFonts w:ascii="Times New Roman" w:eastAsia="Times New Roman" w:hAnsi="Times New Roman" w:cs="Times New Roman"/>
                <w:i/>
                <w:sz w:val="24"/>
                <w:szCs w:val="24"/>
                <w:lang w:val="es-ES" w:eastAsia="es-MX"/>
              </w:rPr>
            </w:pPr>
            <w:r w:rsidRPr="00BE3337">
              <w:rPr>
                <w:rFonts w:ascii="Times New Roman" w:eastAsia="Times New Roman" w:hAnsi="Times New Roman" w:cs="Times New Roman"/>
                <w:i/>
                <w:sz w:val="24"/>
                <w:szCs w:val="24"/>
                <w:lang w:val="es-ES" w:eastAsia="es-MX"/>
              </w:rPr>
              <w:t>26,208.00</w:t>
            </w:r>
          </w:p>
        </w:tc>
      </w:tr>
    </w:tbl>
    <w:p w:rsidR="00CE66D1" w:rsidRPr="00BE3337" w:rsidRDefault="00DF7DEC" w:rsidP="00DD1653">
      <w:pPr>
        <w:spacing w:after="0" w:line="240" w:lineRule="auto"/>
        <w:jc w:val="both"/>
        <w:rPr>
          <w:rFonts w:ascii="Times New Roman" w:eastAsia="Times New Roman" w:hAnsi="Times New Roman" w:cs="Times New Roman"/>
          <w:sz w:val="24"/>
          <w:szCs w:val="24"/>
          <w:lang w:val="es-ES" w:eastAsia="es-MX"/>
        </w:rPr>
      </w:pPr>
      <w:r w:rsidRPr="00BE3337">
        <w:rPr>
          <w:rFonts w:ascii="Times New Roman" w:eastAsia="Times New Roman" w:hAnsi="Times New Roman" w:cs="Times New Roman"/>
          <w:sz w:val="24"/>
          <w:szCs w:val="24"/>
          <w:lang w:val="es-ES" w:eastAsia="es-MX"/>
        </w:rPr>
        <w:t xml:space="preserve"> </w:t>
      </w:r>
    </w:p>
    <w:p w:rsidR="00CE66D1" w:rsidRPr="00CE66D1" w:rsidRDefault="00CE66D1" w:rsidP="00CE66D1">
      <w:pPr>
        <w:autoSpaceDE w:val="0"/>
        <w:autoSpaceDN w:val="0"/>
        <w:adjustRightInd w:val="0"/>
        <w:spacing w:after="0" w:line="240" w:lineRule="auto"/>
        <w:jc w:val="both"/>
        <w:rPr>
          <w:rFonts w:ascii="Times New Roman" w:eastAsia="MS Mincho" w:hAnsi="Times New Roman" w:cs="Times New Roman"/>
          <w:sz w:val="24"/>
          <w:szCs w:val="24"/>
          <w:lang w:val="es-ES" w:eastAsia="es-PE"/>
        </w:rPr>
      </w:pPr>
      <w:r w:rsidRPr="00BE3337">
        <w:rPr>
          <w:rFonts w:ascii="Times New Roman" w:eastAsia="MS Mincho" w:hAnsi="Times New Roman" w:cs="Times New Roman"/>
          <w:sz w:val="24"/>
          <w:szCs w:val="24"/>
          <w:lang w:val="es-ES" w:eastAsia="es-PE"/>
        </w:rPr>
        <w:t>Al respecto</w:t>
      </w:r>
      <w:r w:rsidRPr="00CE66D1">
        <w:rPr>
          <w:rFonts w:ascii="Times New Roman" w:eastAsia="MS Mincho" w:hAnsi="Times New Roman" w:cs="Times New Roman"/>
          <w:sz w:val="24"/>
          <w:szCs w:val="24"/>
          <w:lang w:val="es-ES" w:eastAsia="es-PE"/>
        </w:rPr>
        <w:t>, de acuerdo con el artículo 27 de la Ley, concordados con los artículos 13 y 14 del Reglamento, la definición del valor referencial es una facultad de la Entidad, sin mayor restricción que la de contemplar la totalidad de los costos que inciden en el precio final de lo requerido, cuidando además que con ello no se dirija la contratación hacia determinado bien, marca, modelo o proveedor.</w:t>
      </w:r>
    </w:p>
    <w:p w:rsidR="00CE66D1" w:rsidRPr="00CE66D1" w:rsidRDefault="00CE66D1" w:rsidP="00CE66D1">
      <w:pPr>
        <w:autoSpaceDE w:val="0"/>
        <w:autoSpaceDN w:val="0"/>
        <w:adjustRightInd w:val="0"/>
        <w:spacing w:after="0" w:line="240" w:lineRule="auto"/>
        <w:jc w:val="both"/>
        <w:rPr>
          <w:rFonts w:ascii="Times New Roman" w:eastAsia="MS Mincho" w:hAnsi="Times New Roman" w:cs="Times New Roman"/>
          <w:sz w:val="24"/>
          <w:szCs w:val="24"/>
          <w:lang w:val="es-ES" w:eastAsia="es-PE"/>
        </w:rPr>
      </w:pPr>
    </w:p>
    <w:p w:rsidR="00CE66D1" w:rsidRPr="00CE66D1" w:rsidRDefault="00CE66D1" w:rsidP="00CE66D1">
      <w:pPr>
        <w:autoSpaceDE w:val="0"/>
        <w:autoSpaceDN w:val="0"/>
        <w:adjustRightInd w:val="0"/>
        <w:spacing w:after="0" w:line="240" w:lineRule="auto"/>
        <w:jc w:val="both"/>
        <w:rPr>
          <w:rFonts w:ascii="Times New Roman" w:eastAsia="MS Mincho" w:hAnsi="Times New Roman" w:cs="Times New Roman"/>
          <w:sz w:val="24"/>
          <w:szCs w:val="24"/>
          <w:lang w:val="es-ES" w:eastAsia="es-PE"/>
        </w:rPr>
      </w:pPr>
      <w:r w:rsidRPr="00CE66D1">
        <w:rPr>
          <w:rFonts w:ascii="Times New Roman" w:eastAsia="MS Mincho" w:hAnsi="Times New Roman" w:cs="Times New Roman"/>
          <w:sz w:val="24"/>
          <w:szCs w:val="24"/>
          <w:lang w:val="es-ES" w:eastAsia="es-PE"/>
        </w:rPr>
        <w:t>En esa línea, el artículo 27 de la Ley establece que la determinación del valor referencial de los bienes, servicios u obras requeridas por la Entidad se efectúa sobre la base de los precios de mercado, para lo cual las dependencias encargadas de las contrataciones deberán realizar estudios o indagaciones aleatorias de las posibilidades que ofrece el mercado, considerando todos los aspectos que pudieran incidir directamente sobre su costo.</w:t>
      </w:r>
    </w:p>
    <w:p w:rsidR="00CE66D1" w:rsidRPr="00CE66D1" w:rsidRDefault="00CE66D1" w:rsidP="00CE66D1">
      <w:pPr>
        <w:widowControl w:val="0"/>
        <w:spacing w:after="0" w:line="240" w:lineRule="auto"/>
        <w:jc w:val="both"/>
        <w:rPr>
          <w:rFonts w:ascii="Times New Roman" w:eastAsia="Times New Roman" w:hAnsi="Times New Roman" w:cs="Times New Roman"/>
          <w:sz w:val="24"/>
          <w:szCs w:val="24"/>
          <w:lang w:val="es-ES" w:eastAsia="es-MX"/>
        </w:rPr>
      </w:pPr>
    </w:p>
    <w:p w:rsidR="00CE66D1" w:rsidRPr="00CE66D1" w:rsidRDefault="00CE66D1" w:rsidP="00CE66D1">
      <w:pPr>
        <w:spacing w:after="0" w:line="240" w:lineRule="auto"/>
        <w:jc w:val="both"/>
        <w:rPr>
          <w:rFonts w:ascii="Times New Roman" w:eastAsia="Times New Roman" w:hAnsi="Times New Roman" w:cs="Times New Roman"/>
          <w:sz w:val="24"/>
          <w:szCs w:val="24"/>
          <w:lang w:eastAsia="es-MX"/>
        </w:rPr>
      </w:pPr>
      <w:r w:rsidRPr="00CE66D1">
        <w:rPr>
          <w:rFonts w:ascii="Times New Roman" w:eastAsia="Times New Roman" w:hAnsi="Times New Roman" w:cs="Times New Roman"/>
          <w:sz w:val="24"/>
          <w:szCs w:val="24"/>
          <w:lang w:eastAsia="es-MX"/>
        </w:rPr>
        <w:t xml:space="preserve">Por su parte, en el artículo 14 del Reglamento se señala que el valor referencial debe incluir todos los costos que incidan en la ejecución de una obra y sobre el presupuesto. Dichos costos, en el caso de obras públicas, </w:t>
      </w:r>
      <w:r w:rsidRPr="00CE66D1">
        <w:rPr>
          <w:rFonts w:ascii="Times New Roman" w:eastAsia="Times New Roman" w:hAnsi="Times New Roman" w:cs="Times New Roman"/>
          <w:sz w:val="24"/>
          <w:szCs w:val="24"/>
          <w:u w:val="single"/>
          <w:lang w:eastAsia="es-MX"/>
        </w:rPr>
        <w:t>deben encontrarse recogidos en el presupuesto de obra establecido en el expediente técnico</w:t>
      </w:r>
      <w:r w:rsidRPr="00CE66D1">
        <w:rPr>
          <w:rFonts w:ascii="Times New Roman" w:eastAsia="Times New Roman" w:hAnsi="Times New Roman" w:cs="Times New Roman"/>
          <w:sz w:val="24"/>
          <w:szCs w:val="24"/>
          <w:lang w:eastAsia="es-MX"/>
        </w:rPr>
        <w:t xml:space="preserve">. </w:t>
      </w:r>
    </w:p>
    <w:p w:rsidR="00110C01" w:rsidRPr="00BE3337" w:rsidRDefault="00110C01" w:rsidP="00DD1653">
      <w:pPr>
        <w:spacing w:after="0" w:line="240" w:lineRule="auto"/>
        <w:jc w:val="both"/>
        <w:rPr>
          <w:rFonts w:ascii="Times New Roman" w:eastAsia="Times New Roman" w:hAnsi="Times New Roman" w:cs="Times New Roman"/>
          <w:sz w:val="24"/>
          <w:szCs w:val="24"/>
          <w:lang w:val="es-ES" w:eastAsia="es-MX"/>
        </w:rPr>
      </w:pPr>
    </w:p>
    <w:p w:rsidR="00DF7DEC" w:rsidRDefault="00CE66D1" w:rsidP="00DD1653">
      <w:pPr>
        <w:spacing w:after="0" w:line="240" w:lineRule="auto"/>
        <w:jc w:val="both"/>
        <w:rPr>
          <w:rFonts w:ascii="Times New Roman" w:eastAsia="Times New Roman" w:hAnsi="Times New Roman" w:cs="Times New Roman"/>
          <w:sz w:val="24"/>
          <w:szCs w:val="24"/>
          <w:lang w:val="es-ES" w:eastAsia="es-MX"/>
        </w:rPr>
      </w:pPr>
      <w:r w:rsidRPr="00BE3337">
        <w:rPr>
          <w:rFonts w:ascii="Times New Roman" w:eastAsia="Times New Roman" w:hAnsi="Times New Roman" w:cs="Times New Roman"/>
          <w:sz w:val="24"/>
          <w:szCs w:val="24"/>
          <w:lang w:val="es-ES" w:eastAsia="es-MX"/>
        </w:rPr>
        <w:lastRenderedPageBreak/>
        <w:t>En el presente caso, advertimos que de acuerdo a lo precisado por la Entidad, el expediente técnico alcanzado a los participantes contendría la carpeta denominada “expediente de media tensión”</w:t>
      </w:r>
      <w:r w:rsidR="00DF7DEC" w:rsidRPr="00BE3337">
        <w:rPr>
          <w:rFonts w:ascii="Times New Roman" w:eastAsia="Times New Roman" w:hAnsi="Times New Roman" w:cs="Times New Roman"/>
          <w:sz w:val="24"/>
          <w:szCs w:val="24"/>
          <w:lang w:val="es-ES" w:eastAsia="es-MX"/>
        </w:rPr>
        <w:t xml:space="preserve">, la cual habría sido considerada para la determinación del valor referencial, </w:t>
      </w:r>
      <w:r w:rsidRPr="00BE3337">
        <w:rPr>
          <w:rFonts w:ascii="Times New Roman" w:eastAsia="Times New Roman" w:hAnsi="Times New Roman" w:cs="Times New Roman"/>
          <w:sz w:val="24"/>
          <w:szCs w:val="24"/>
          <w:lang w:val="es-ES" w:eastAsia="es-MX"/>
        </w:rPr>
        <w:t xml:space="preserve"> siendo que el presupuesto ahí contemplado incluiría las partidas observadas por el participante</w:t>
      </w:r>
      <w:r w:rsidR="00DF7DEC" w:rsidRPr="00BE3337">
        <w:rPr>
          <w:rFonts w:ascii="Times New Roman" w:eastAsia="Times New Roman" w:hAnsi="Times New Roman" w:cs="Times New Roman"/>
          <w:sz w:val="24"/>
          <w:szCs w:val="24"/>
          <w:lang w:val="es-ES" w:eastAsia="es-MX"/>
        </w:rPr>
        <w:t xml:space="preserve">. En ese sentido, </w:t>
      </w:r>
      <w:r w:rsidRPr="00BE3337">
        <w:rPr>
          <w:rFonts w:ascii="Times New Roman" w:eastAsia="Times New Roman" w:hAnsi="Times New Roman" w:cs="Times New Roman"/>
          <w:sz w:val="24"/>
          <w:szCs w:val="24"/>
          <w:lang w:val="es-ES" w:eastAsia="es-MX"/>
        </w:rPr>
        <w:t xml:space="preserve">este Organismo Supervisor ha decidido </w:t>
      </w:r>
      <w:r w:rsidRPr="00BE3337">
        <w:rPr>
          <w:rFonts w:ascii="Times New Roman" w:eastAsia="Times New Roman" w:hAnsi="Times New Roman" w:cs="Times New Roman"/>
          <w:b/>
          <w:sz w:val="24"/>
          <w:szCs w:val="24"/>
          <w:lang w:val="es-ES" w:eastAsia="es-MX"/>
        </w:rPr>
        <w:t xml:space="preserve">NO ACOGER </w:t>
      </w:r>
      <w:r w:rsidRPr="00BE3337">
        <w:rPr>
          <w:rFonts w:ascii="Times New Roman" w:eastAsia="Times New Roman" w:hAnsi="Times New Roman" w:cs="Times New Roman"/>
          <w:sz w:val="24"/>
          <w:szCs w:val="24"/>
          <w:lang w:val="es-ES" w:eastAsia="es-MX"/>
        </w:rPr>
        <w:t>la Observación N° 13</w:t>
      </w:r>
      <w:r w:rsidR="00DF7DEC" w:rsidRPr="00BE3337">
        <w:rPr>
          <w:rFonts w:ascii="Times New Roman" w:eastAsia="Times New Roman" w:hAnsi="Times New Roman" w:cs="Times New Roman"/>
          <w:sz w:val="24"/>
          <w:szCs w:val="24"/>
          <w:lang w:val="es-ES" w:eastAsia="es-MX"/>
        </w:rPr>
        <w:t>.</w:t>
      </w:r>
    </w:p>
    <w:p w:rsidR="009A13AA" w:rsidRDefault="009A13AA" w:rsidP="00DD1653">
      <w:pPr>
        <w:spacing w:after="0" w:line="240" w:lineRule="auto"/>
        <w:jc w:val="both"/>
        <w:rPr>
          <w:rFonts w:ascii="Times New Roman" w:eastAsia="Times New Roman" w:hAnsi="Times New Roman" w:cs="Times New Roman"/>
          <w:sz w:val="24"/>
          <w:szCs w:val="24"/>
          <w:lang w:val="es-ES" w:eastAsia="es-MX"/>
        </w:rPr>
      </w:pPr>
    </w:p>
    <w:p w:rsidR="009A13AA" w:rsidRDefault="009A13AA" w:rsidP="00DD1653">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sz w:val="24"/>
          <w:szCs w:val="24"/>
          <w:lang w:val="es-ES" w:eastAsia="es-MX"/>
        </w:rPr>
        <w:t xml:space="preserve">Adicionalmente, cabe señalar que en el Informe Técnico remitido por la Entidad con ocasión de la solicitud de elevación de observaciones, el Comité Especial en relación al valor referencial precisó que éste </w:t>
      </w:r>
      <w:r>
        <w:rPr>
          <w:rFonts w:ascii="Times New Roman" w:eastAsia="Times New Roman" w:hAnsi="Times New Roman" w:cs="Times New Roman"/>
          <w:i/>
          <w:sz w:val="24"/>
          <w:szCs w:val="24"/>
          <w:lang w:val="es-ES" w:eastAsia="es-MX"/>
        </w:rPr>
        <w:t>“asciende a S/. 6’382,444.19 tal como señalan las Bases, el cual comprende las siguientes prestaciones:</w:t>
      </w:r>
    </w:p>
    <w:p w:rsidR="009A13AA" w:rsidRDefault="009A13AA" w:rsidP="00DD1653">
      <w:pPr>
        <w:spacing w:after="0" w:line="240" w:lineRule="auto"/>
        <w:jc w:val="both"/>
        <w:rPr>
          <w:rFonts w:ascii="Times New Roman" w:eastAsia="Times New Roman" w:hAnsi="Times New Roman" w:cs="Times New Roman"/>
          <w:i/>
          <w:sz w:val="24"/>
          <w:szCs w:val="24"/>
          <w:lang w:val="es-ES" w:eastAsia="es-MX"/>
        </w:rPr>
      </w:pPr>
    </w:p>
    <w:p w:rsidR="009A13AA" w:rsidRDefault="009A13AA" w:rsidP="00DD1653">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Infraestructura que asciende a:</w:t>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t>S/. 6’124,409.39</w:t>
      </w:r>
    </w:p>
    <w:p w:rsidR="009A13AA" w:rsidRPr="009A13AA" w:rsidRDefault="009A13AA" w:rsidP="00DD1653">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Mobiliario:</w:t>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t>S/. 258,034.80</w:t>
      </w:r>
    </w:p>
    <w:p w:rsidR="009A13AA" w:rsidRDefault="009A13AA" w:rsidP="00DD1653">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ab/>
      </w:r>
      <w:r>
        <w:rPr>
          <w:rFonts w:ascii="Times New Roman" w:eastAsia="Times New Roman" w:hAnsi="Times New Roman" w:cs="Times New Roman"/>
          <w:i/>
          <w:sz w:val="24"/>
          <w:szCs w:val="24"/>
          <w:lang w:val="es-ES" w:eastAsia="es-MX"/>
        </w:rPr>
        <w:t>S/. 6’382,444.19</w:t>
      </w:r>
    </w:p>
    <w:p w:rsidR="009A13AA" w:rsidRDefault="009A13AA" w:rsidP="00DD1653">
      <w:pPr>
        <w:spacing w:after="0" w:line="240" w:lineRule="auto"/>
        <w:jc w:val="both"/>
        <w:rPr>
          <w:rFonts w:ascii="Times New Roman" w:eastAsia="Times New Roman" w:hAnsi="Times New Roman" w:cs="Times New Roman"/>
          <w:i/>
          <w:sz w:val="24"/>
          <w:szCs w:val="24"/>
          <w:lang w:val="es-ES" w:eastAsia="es-MX"/>
        </w:rPr>
      </w:pPr>
    </w:p>
    <w:p w:rsidR="009A13AA" w:rsidRDefault="009A13AA" w:rsidP="00DD1653">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Cabe indicar que el mobiliario está debidamente sustentado en el expediente técnico alcanzado a los participantes, el cual incluye una carpeta especial para el mobiliario (denominada “2.0 ANEXOS”) la que contiene: Especificaciones Técnicas, Memoria Descriptiva, Presupuesto y Planos, exclusivamente referidos al mobiliario, por lo que el presupuesto del mobiliario ascendente a S/. 258,034.80 resulta suficientemente sustentado lo cual permitirá a los postores realizar sus propuestas económicas sin dificultad. </w:t>
      </w:r>
    </w:p>
    <w:p w:rsidR="009A13AA" w:rsidRDefault="009A13AA" w:rsidP="00DD1653">
      <w:pPr>
        <w:spacing w:after="0" w:line="240" w:lineRule="auto"/>
        <w:jc w:val="both"/>
        <w:rPr>
          <w:rFonts w:ascii="Times New Roman" w:eastAsia="Times New Roman" w:hAnsi="Times New Roman" w:cs="Times New Roman"/>
          <w:i/>
          <w:sz w:val="24"/>
          <w:szCs w:val="24"/>
          <w:lang w:val="es-ES" w:eastAsia="es-MX"/>
        </w:rPr>
      </w:pPr>
    </w:p>
    <w:p w:rsidR="009A13AA" w:rsidRDefault="009A13AA" w:rsidP="00DD1653">
      <w:pPr>
        <w:spacing w:after="0" w:line="240" w:lineRule="auto"/>
        <w:jc w:val="both"/>
        <w:rPr>
          <w:rFonts w:ascii="Times New Roman" w:eastAsia="Times New Roman" w:hAnsi="Times New Roman" w:cs="Times New Roman"/>
          <w:sz w:val="24"/>
          <w:szCs w:val="24"/>
          <w:lang w:val="es-ES" w:eastAsia="es-MX"/>
        </w:rPr>
      </w:pPr>
      <w:r w:rsidRPr="009A13AA">
        <w:rPr>
          <w:rFonts w:ascii="Times New Roman" w:eastAsia="Times New Roman" w:hAnsi="Times New Roman" w:cs="Times New Roman"/>
          <w:i/>
          <w:sz w:val="24"/>
          <w:szCs w:val="24"/>
          <w:u w:val="single"/>
          <w:lang w:val="es-ES" w:eastAsia="es-MX"/>
        </w:rPr>
        <w:t>También se hace la precisión que no corresponde al presente proceso de selección, la ejecución de un listado de bienes, ubicado en el archivo PDF, denominado “Presupuesto Equipamiento SUNAT Huánuco”, que tiene un presupuesto de S/. 435,001.19, por lo que debe ser excluido de la propuesta económica que presentarán los participantes</w:t>
      </w:r>
      <w:r>
        <w:rPr>
          <w:rFonts w:ascii="Times New Roman" w:eastAsia="Times New Roman" w:hAnsi="Times New Roman" w:cs="Times New Roman"/>
          <w:i/>
          <w:sz w:val="24"/>
          <w:szCs w:val="24"/>
          <w:lang w:val="es-ES" w:eastAsia="es-MX"/>
        </w:rPr>
        <w:t xml:space="preserve">”. </w:t>
      </w:r>
      <w:r>
        <w:rPr>
          <w:rFonts w:ascii="Times New Roman" w:eastAsia="Times New Roman" w:hAnsi="Times New Roman" w:cs="Times New Roman"/>
          <w:sz w:val="24"/>
          <w:szCs w:val="24"/>
          <w:lang w:val="es-ES" w:eastAsia="es-MX"/>
        </w:rPr>
        <w:t xml:space="preserve">(El subrayado es agregado). </w:t>
      </w:r>
    </w:p>
    <w:p w:rsidR="002D18ED" w:rsidRDefault="002D18ED" w:rsidP="00DD1653">
      <w:pPr>
        <w:spacing w:after="0" w:line="240" w:lineRule="auto"/>
        <w:jc w:val="both"/>
        <w:rPr>
          <w:rFonts w:ascii="Times New Roman" w:eastAsia="Times New Roman" w:hAnsi="Times New Roman" w:cs="Times New Roman"/>
          <w:sz w:val="24"/>
          <w:szCs w:val="24"/>
          <w:lang w:val="es-ES" w:eastAsia="es-MX"/>
        </w:rPr>
      </w:pPr>
    </w:p>
    <w:p w:rsidR="002D18ED" w:rsidRPr="009A13AA" w:rsidRDefault="002D18ED" w:rsidP="00DD1653">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Por lo tanto, tales aspectos deben ser considerados por los participantes del presente proceso de selección. </w:t>
      </w:r>
    </w:p>
    <w:p w:rsidR="00DD1653" w:rsidRPr="00BE3337" w:rsidRDefault="00DD1653" w:rsidP="00DD1653">
      <w:pPr>
        <w:widowControl w:val="0"/>
        <w:tabs>
          <w:tab w:val="left" w:pos="7442"/>
        </w:tabs>
        <w:spacing w:after="0" w:line="240" w:lineRule="auto"/>
        <w:ind w:right="-1"/>
        <w:jc w:val="both"/>
        <w:rPr>
          <w:rFonts w:ascii="Times New Roman" w:eastAsia="Times New Roman" w:hAnsi="Times New Roman" w:cs="Times New Roman"/>
          <w:sz w:val="24"/>
          <w:szCs w:val="24"/>
          <w:lang w:val="es-ES_tradnl" w:eastAsia="es-MX"/>
        </w:rPr>
      </w:pPr>
      <w:r w:rsidRPr="00BE3337">
        <w:rPr>
          <w:rFonts w:ascii="Times New Roman" w:eastAsia="Times New Roman" w:hAnsi="Times New Roman" w:cs="Times New Roman"/>
          <w:b/>
          <w:sz w:val="24"/>
          <w:szCs w:val="24"/>
          <w:lang w:val="es-ES" w:eastAsia="es-MX"/>
        </w:rPr>
        <w:tab/>
      </w:r>
    </w:p>
    <w:p w:rsidR="00DD1653" w:rsidRPr="00BE3337" w:rsidRDefault="00DD1653" w:rsidP="00DD1653">
      <w:pPr>
        <w:widowControl w:val="0"/>
        <w:numPr>
          <w:ilvl w:val="0"/>
          <w:numId w:val="1"/>
        </w:numPr>
        <w:tabs>
          <w:tab w:val="clear" w:pos="360"/>
          <w:tab w:val="num" w:pos="502"/>
        </w:tabs>
        <w:spacing w:after="0" w:line="240" w:lineRule="auto"/>
        <w:ind w:left="284" w:hanging="284"/>
        <w:jc w:val="both"/>
        <w:rPr>
          <w:rFonts w:ascii="Times New Roman" w:eastAsia="Times New Roman" w:hAnsi="Times New Roman" w:cs="Times New Roman"/>
          <w:b/>
          <w:snapToGrid w:val="0"/>
          <w:sz w:val="24"/>
          <w:szCs w:val="24"/>
          <w:lang w:val="es-ES" w:eastAsia="es-MX"/>
        </w:rPr>
      </w:pPr>
      <w:r w:rsidRPr="00BE3337">
        <w:rPr>
          <w:rFonts w:ascii="Times New Roman" w:eastAsia="Times New Roman" w:hAnsi="Times New Roman" w:cs="Times New Roman"/>
          <w:b/>
          <w:sz w:val="24"/>
          <w:szCs w:val="24"/>
          <w:lang w:val="es-MX" w:eastAsia="es-MX"/>
        </w:rPr>
        <w:t xml:space="preserve">CONCLUSIONES </w:t>
      </w:r>
    </w:p>
    <w:p w:rsidR="00DD1653" w:rsidRPr="00BE3337" w:rsidRDefault="00DD1653" w:rsidP="00DD1653">
      <w:pPr>
        <w:widowControl w:val="0"/>
        <w:spacing w:after="0" w:line="240" w:lineRule="auto"/>
        <w:ind w:left="284"/>
        <w:jc w:val="both"/>
        <w:rPr>
          <w:rFonts w:ascii="Times New Roman" w:eastAsia="Times New Roman" w:hAnsi="Times New Roman" w:cs="Times New Roman"/>
          <w:b/>
          <w:snapToGrid w:val="0"/>
          <w:sz w:val="24"/>
          <w:szCs w:val="24"/>
          <w:lang w:val="es-ES" w:eastAsia="es-MX"/>
        </w:rPr>
      </w:pPr>
    </w:p>
    <w:p w:rsidR="00DD1653" w:rsidRPr="00BE3337" w:rsidRDefault="00DD1653" w:rsidP="00DD1653">
      <w:pPr>
        <w:autoSpaceDE w:val="0"/>
        <w:autoSpaceDN w:val="0"/>
        <w:adjustRightInd w:val="0"/>
        <w:spacing w:after="0" w:line="240" w:lineRule="auto"/>
        <w:jc w:val="both"/>
        <w:rPr>
          <w:rFonts w:ascii="Times New Roman" w:eastAsia="Times New Roman" w:hAnsi="Times New Roman" w:cs="Times New Roman"/>
          <w:sz w:val="24"/>
          <w:szCs w:val="24"/>
          <w:lang w:val="es-ES_tradnl" w:eastAsia="es-MX"/>
        </w:rPr>
      </w:pPr>
      <w:r w:rsidRPr="00BE3337">
        <w:rPr>
          <w:rFonts w:ascii="Times New Roman" w:eastAsia="Times New Roman" w:hAnsi="Times New Roman" w:cs="Times New Roman"/>
          <w:sz w:val="24"/>
          <w:szCs w:val="24"/>
          <w:lang w:val="es-ES_tradnl" w:eastAsia="es-MX"/>
        </w:rPr>
        <w:t>En virtud de lo expuesto, este Organismo Supervisor ha dispuesto:</w:t>
      </w:r>
    </w:p>
    <w:p w:rsidR="00BE3337" w:rsidRPr="00BE3337" w:rsidRDefault="00BE3337" w:rsidP="00BE3337">
      <w:pPr>
        <w:spacing w:after="0" w:line="240" w:lineRule="auto"/>
        <w:jc w:val="both"/>
        <w:rPr>
          <w:rFonts w:ascii="Times New Roman" w:eastAsia="Times New Roman" w:hAnsi="Times New Roman" w:cs="Times New Roman"/>
          <w:sz w:val="24"/>
          <w:szCs w:val="24"/>
          <w:lang w:eastAsia="es-PE"/>
        </w:rPr>
      </w:pPr>
    </w:p>
    <w:p w:rsidR="00BE3337" w:rsidRPr="002D18ED" w:rsidRDefault="00BE3337" w:rsidP="00E86859">
      <w:pPr>
        <w:pStyle w:val="Prrafodelista"/>
        <w:numPr>
          <w:ilvl w:val="1"/>
          <w:numId w:val="14"/>
        </w:numPr>
        <w:spacing w:after="0" w:line="240" w:lineRule="auto"/>
        <w:ind w:left="567" w:hanging="567"/>
        <w:jc w:val="both"/>
        <w:rPr>
          <w:rFonts w:ascii="Times New Roman" w:eastAsia="Times New Roman" w:hAnsi="Times New Roman" w:cs="Times New Roman"/>
          <w:sz w:val="24"/>
          <w:szCs w:val="24"/>
          <w:lang w:eastAsia="es-PE"/>
        </w:rPr>
      </w:pPr>
      <w:r w:rsidRPr="00E86859">
        <w:rPr>
          <w:rFonts w:ascii="Times New Roman" w:eastAsia="Times New Roman" w:hAnsi="Times New Roman" w:cs="Times New Roman"/>
          <w:sz w:val="24"/>
          <w:szCs w:val="24"/>
          <w:lang w:eastAsia="es-PE"/>
        </w:rPr>
        <w:t xml:space="preserve">El </w:t>
      </w:r>
      <w:r w:rsidRPr="00E86859">
        <w:rPr>
          <w:rFonts w:ascii="Times New Roman" w:eastAsia="Times New Roman" w:hAnsi="Times New Roman" w:cs="Times New Roman"/>
          <w:color w:val="000000"/>
          <w:sz w:val="24"/>
          <w:szCs w:val="24"/>
          <w:lang w:val="es-ES" w:eastAsia="es-PE"/>
        </w:rPr>
        <w:t>Comité Especial deberá cumplir con lo dispuesto por este Organismo Supervisor al absolver las observaciones indicadas en el numeral 2 del presente Pronunciamiento.</w:t>
      </w:r>
    </w:p>
    <w:p w:rsidR="002D18ED" w:rsidRPr="002D18ED" w:rsidRDefault="002D18ED" w:rsidP="002D18ED">
      <w:pPr>
        <w:pStyle w:val="Prrafodelista"/>
        <w:spacing w:after="0" w:line="240" w:lineRule="auto"/>
        <w:ind w:left="567"/>
        <w:jc w:val="both"/>
        <w:rPr>
          <w:rFonts w:ascii="Times New Roman" w:eastAsia="Times New Roman" w:hAnsi="Times New Roman" w:cs="Times New Roman"/>
          <w:sz w:val="24"/>
          <w:szCs w:val="24"/>
          <w:lang w:eastAsia="es-PE"/>
        </w:rPr>
      </w:pPr>
    </w:p>
    <w:p w:rsidR="002D18ED" w:rsidRPr="002D18ED" w:rsidRDefault="002D18ED" w:rsidP="002D18ED">
      <w:pPr>
        <w:pStyle w:val="Prrafodelista"/>
        <w:numPr>
          <w:ilvl w:val="1"/>
          <w:numId w:val="14"/>
        </w:numPr>
        <w:spacing w:after="0" w:line="240" w:lineRule="auto"/>
        <w:ind w:left="567" w:hanging="567"/>
        <w:jc w:val="both"/>
        <w:rPr>
          <w:rFonts w:ascii="Times New Roman" w:eastAsia="Times New Roman" w:hAnsi="Times New Roman" w:cs="Times New Roman"/>
          <w:color w:val="000000"/>
          <w:sz w:val="24"/>
          <w:szCs w:val="24"/>
          <w:lang w:val="es-ES" w:eastAsia="es-PE"/>
        </w:rPr>
      </w:pPr>
      <w:r w:rsidRPr="002D18ED">
        <w:rPr>
          <w:rFonts w:ascii="Times New Roman" w:eastAsia="Times New Roman" w:hAnsi="Times New Roman" w:cs="Times New Roman"/>
          <w:color w:val="000000"/>
          <w:sz w:val="24"/>
          <w:szCs w:val="24"/>
          <w:lang w:val="es-ES" w:eastAsia="es-PE"/>
        </w:rPr>
        <w:t xml:space="preserve">El Comité Especial deberá tener en cuenta lo indicado en el numeral 3 del Pronunciamiento N° </w:t>
      </w:r>
      <w:r w:rsidRPr="002D18ED">
        <w:rPr>
          <w:rFonts w:ascii="Times New Roman" w:hAnsi="Times New Roman"/>
          <w:sz w:val="24"/>
          <w:szCs w:val="24"/>
          <w:lang w:val="es-ES" w:eastAsia="es-ES"/>
        </w:rPr>
        <w:t>415-2015/DSU</w:t>
      </w:r>
      <w:r w:rsidRPr="002D18ED">
        <w:rPr>
          <w:rFonts w:ascii="Times New Roman" w:eastAsia="Times New Roman" w:hAnsi="Times New Roman" w:cs="Times New Roman"/>
          <w:color w:val="000000"/>
          <w:sz w:val="24"/>
          <w:szCs w:val="24"/>
          <w:lang w:val="es-ES" w:eastAsia="es-PE"/>
        </w:rPr>
        <w:t xml:space="preserve"> a fin de efectuar las modificaciones a las Bases que hubiere a lugar, así como registrar en el SEACE la documentación solicitada.</w:t>
      </w:r>
    </w:p>
    <w:p w:rsidR="00E86859" w:rsidRPr="00E86859" w:rsidRDefault="00E86859" w:rsidP="00E86859">
      <w:pPr>
        <w:spacing w:after="0" w:line="240" w:lineRule="auto"/>
        <w:jc w:val="both"/>
        <w:rPr>
          <w:rFonts w:ascii="Times New Roman" w:eastAsia="Times New Roman" w:hAnsi="Times New Roman" w:cs="Times New Roman"/>
          <w:sz w:val="24"/>
          <w:szCs w:val="24"/>
          <w:lang w:eastAsia="es-PE"/>
        </w:rPr>
      </w:pPr>
    </w:p>
    <w:p w:rsidR="00E86859" w:rsidRPr="00F07F9D" w:rsidRDefault="00BE3337" w:rsidP="00E86859">
      <w:pPr>
        <w:pStyle w:val="Prrafodelista"/>
        <w:numPr>
          <w:ilvl w:val="1"/>
          <w:numId w:val="14"/>
        </w:numPr>
        <w:spacing w:after="0" w:line="240" w:lineRule="auto"/>
        <w:ind w:left="567" w:hanging="567"/>
        <w:jc w:val="both"/>
        <w:rPr>
          <w:rFonts w:ascii="Times New Roman" w:eastAsia="Times New Roman" w:hAnsi="Times New Roman" w:cs="Times New Roman"/>
          <w:sz w:val="24"/>
          <w:szCs w:val="24"/>
          <w:lang w:eastAsia="es-PE"/>
        </w:rPr>
      </w:pPr>
      <w:r w:rsidRPr="00E86859">
        <w:rPr>
          <w:rFonts w:ascii="Times New Roman" w:eastAsia="Times New Roman" w:hAnsi="Times New Roman" w:cs="Times New Roman"/>
          <w:sz w:val="24"/>
          <w:szCs w:val="24"/>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BE3337" w:rsidRDefault="00BE3337" w:rsidP="00E86859">
      <w:pPr>
        <w:pStyle w:val="Prrafodelista"/>
        <w:numPr>
          <w:ilvl w:val="1"/>
          <w:numId w:val="14"/>
        </w:numPr>
        <w:spacing w:after="0" w:line="240" w:lineRule="auto"/>
        <w:ind w:left="567" w:hanging="567"/>
        <w:jc w:val="both"/>
        <w:rPr>
          <w:rFonts w:ascii="Times New Roman" w:eastAsia="Times New Roman" w:hAnsi="Times New Roman" w:cs="Times New Roman"/>
          <w:sz w:val="24"/>
          <w:szCs w:val="24"/>
          <w:lang w:eastAsia="es-PE"/>
        </w:rPr>
      </w:pPr>
      <w:r w:rsidRPr="00E86859">
        <w:rPr>
          <w:rFonts w:ascii="Times New Roman" w:eastAsia="Times New Roman" w:hAnsi="Times New Roman" w:cs="Times New Roman"/>
          <w:sz w:val="24"/>
          <w:szCs w:val="24"/>
          <w:lang w:eastAsia="es-PE"/>
        </w:rPr>
        <w:lastRenderedPageBreak/>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E86859" w:rsidRPr="00E86859" w:rsidRDefault="00E86859" w:rsidP="00E86859">
      <w:pPr>
        <w:spacing w:after="0" w:line="240" w:lineRule="auto"/>
        <w:jc w:val="both"/>
        <w:rPr>
          <w:rFonts w:ascii="Times New Roman" w:eastAsia="Times New Roman" w:hAnsi="Times New Roman" w:cs="Times New Roman"/>
          <w:sz w:val="24"/>
          <w:szCs w:val="24"/>
          <w:lang w:eastAsia="es-PE"/>
        </w:rPr>
      </w:pPr>
    </w:p>
    <w:p w:rsidR="00BE3337" w:rsidRDefault="00BE3337" w:rsidP="00E86859">
      <w:pPr>
        <w:pStyle w:val="Prrafodelista"/>
        <w:numPr>
          <w:ilvl w:val="1"/>
          <w:numId w:val="14"/>
        </w:numPr>
        <w:spacing w:after="0" w:line="240" w:lineRule="auto"/>
        <w:ind w:left="567" w:hanging="567"/>
        <w:jc w:val="both"/>
        <w:rPr>
          <w:rFonts w:ascii="Times New Roman" w:eastAsia="Times New Roman" w:hAnsi="Times New Roman" w:cs="Times New Roman"/>
          <w:sz w:val="24"/>
          <w:szCs w:val="24"/>
          <w:lang w:eastAsia="es-PE"/>
        </w:rPr>
      </w:pPr>
      <w:r w:rsidRPr="00E86859">
        <w:rPr>
          <w:rFonts w:ascii="Times New Roman" w:eastAsia="Times New Roman" w:hAnsi="Times New Roman" w:cs="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E86859" w:rsidRPr="00E86859" w:rsidRDefault="00E86859" w:rsidP="00E86859">
      <w:pPr>
        <w:spacing w:after="0" w:line="240" w:lineRule="auto"/>
        <w:jc w:val="both"/>
        <w:rPr>
          <w:rFonts w:ascii="Times New Roman" w:eastAsia="Times New Roman" w:hAnsi="Times New Roman" w:cs="Times New Roman"/>
          <w:sz w:val="24"/>
          <w:szCs w:val="24"/>
          <w:lang w:eastAsia="es-PE"/>
        </w:rPr>
      </w:pPr>
    </w:p>
    <w:p w:rsidR="00BE3337" w:rsidRDefault="00BE3337" w:rsidP="00E86859">
      <w:pPr>
        <w:pStyle w:val="Prrafodelista"/>
        <w:numPr>
          <w:ilvl w:val="1"/>
          <w:numId w:val="14"/>
        </w:numPr>
        <w:spacing w:after="0" w:line="240" w:lineRule="auto"/>
        <w:ind w:left="567" w:hanging="567"/>
        <w:jc w:val="both"/>
        <w:rPr>
          <w:rFonts w:ascii="Times New Roman" w:eastAsia="Times New Roman" w:hAnsi="Times New Roman" w:cs="Times New Roman"/>
          <w:sz w:val="24"/>
          <w:szCs w:val="24"/>
          <w:lang w:eastAsia="es-PE"/>
        </w:rPr>
      </w:pPr>
      <w:r w:rsidRPr="00E86859">
        <w:rPr>
          <w:rFonts w:ascii="Times New Roman" w:eastAsia="Times New Roman" w:hAnsi="Times New Roman" w:cs="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E86859" w:rsidRPr="00E86859" w:rsidRDefault="00E86859" w:rsidP="00E86859">
      <w:pPr>
        <w:spacing w:after="0" w:line="240" w:lineRule="auto"/>
        <w:jc w:val="both"/>
        <w:rPr>
          <w:rFonts w:ascii="Times New Roman" w:eastAsia="Times New Roman" w:hAnsi="Times New Roman" w:cs="Times New Roman"/>
          <w:sz w:val="24"/>
          <w:szCs w:val="24"/>
          <w:lang w:eastAsia="es-PE"/>
        </w:rPr>
      </w:pPr>
    </w:p>
    <w:p w:rsidR="00BE3337" w:rsidRPr="00E86859" w:rsidRDefault="00BE3337" w:rsidP="00E86859">
      <w:pPr>
        <w:pStyle w:val="Prrafodelista"/>
        <w:numPr>
          <w:ilvl w:val="1"/>
          <w:numId w:val="14"/>
        </w:numPr>
        <w:spacing w:after="0" w:line="240" w:lineRule="auto"/>
        <w:ind w:left="567" w:hanging="567"/>
        <w:jc w:val="both"/>
        <w:rPr>
          <w:rFonts w:ascii="Times New Roman" w:eastAsia="Times New Roman" w:hAnsi="Times New Roman" w:cs="Times New Roman"/>
          <w:sz w:val="24"/>
          <w:szCs w:val="24"/>
          <w:lang w:eastAsia="es-PE"/>
        </w:rPr>
      </w:pPr>
      <w:r w:rsidRPr="00E86859">
        <w:rPr>
          <w:rFonts w:ascii="Times New Roman" w:eastAsia="Times New Roman" w:hAnsi="Times New Roman" w:cs="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DD1653" w:rsidRPr="00BE3337" w:rsidRDefault="00DD1653" w:rsidP="00DD1653">
      <w:pPr>
        <w:widowControl w:val="0"/>
        <w:spacing w:after="0" w:line="240" w:lineRule="auto"/>
        <w:ind w:left="3545" w:firstLine="709"/>
        <w:jc w:val="right"/>
        <w:rPr>
          <w:rFonts w:ascii="Times New Roman" w:eastAsia="Times New Roman" w:hAnsi="Times New Roman" w:cs="Times New Roman"/>
          <w:sz w:val="24"/>
          <w:szCs w:val="24"/>
          <w:lang w:eastAsia="es-MX"/>
        </w:rPr>
      </w:pPr>
    </w:p>
    <w:p w:rsidR="00DD1653" w:rsidRPr="00BE3337" w:rsidRDefault="00DD1653" w:rsidP="00DD1653">
      <w:pPr>
        <w:widowControl w:val="0"/>
        <w:spacing w:after="0" w:line="240" w:lineRule="auto"/>
        <w:ind w:left="3545" w:firstLine="709"/>
        <w:jc w:val="right"/>
        <w:rPr>
          <w:rFonts w:ascii="Times New Roman" w:eastAsia="Times New Roman" w:hAnsi="Times New Roman" w:cs="Times New Roman"/>
          <w:sz w:val="24"/>
          <w:szCs w:val="24"/>
          <w:lang w:eastAsia="es-MX"/>
        </w:rPr>
      </w:pPr>
    </w:p>
    <w:p w:rsidR="00DD1653" w:rsidRPr="00BE3337" w:rsidRDefault="00DD1653" w:rsidP="00DD1653">
      <w:pPr>
        <w:widowControl w:val="0"/>
        <w:tabs>
          <w:tab w:val="left" w:pos="2660"/>
        </w:tabs>
        <w:spacing w:after="0" w:line="240" w:lineRule="auto"/>
        <w:ind w:left="3545" w:firstLine="709"/>
        <w:jc w:val="right"/>
        <w:rPr>
          <w:rFonts w:ascii="Times New Roman" w:eastAsia="Times New Roman" w:hAnsi="Times New Roman" w:cs="Times New Roman"/>
          <w:b/>
          <w:sz w:val="24"/>
          <w:szCs w:val="24"/>
          <w:lang w:val="es-ES" w:eastAsia="es-MX"/>
        </w:rPr>
      </w:pPr>
      <w:r w:rsidRPr="00BE3337">
        <w:rPr>
          <w:rFonts w:ascii="Times New Roman" w:eastAsia="Times New Roman" w:hAnsi="Times New Roman" w:cs="Times New Roman"/>
          <w:sz w:val="24"/>
          <w:szCs w:val="24"/>
          <w:lang w:val="es-ES" w:eastAsia="es-MX"/>
        </w:rPr>
        <w:tab/>
        <w:t xml:space="preserve">Jesús María, </w:t>
      </w:r>
      <w:r w:rsidR="00BE3337" w:rsidRPr="00BE3337">
        <w:rPr>
          <w:rFonts w:ascii="Times New Roman" w:eastAsia="Times New Roman" w:hAnsi="Times New Roman" w:cs="Times New Roman"/>
          <w:sz w:val="24"/>
          <w:szCs w:val="24"/>
          <w:lang w:val="es-ES" w:eastAsia="es-MX"/>
        </w:rPr>
        <w:t>13</w:t>
      </w:r>
      <w:r w:rsidRPr="00BE3337">
        <w:rPr>
          <w:rFonts w:ascii="Times New Roman" w:eastAsia="Times New Roman" w:hAnsi="Times New Roman" w:cs="Times New Roman"/>
          <w:sz w:val="24"/>
          <w:szCs w:val="24"/>
          <w:lang w:val="es-ES" w:eastAsia="es-MX"/>
        </w:rPr>
        <w:t xml:space="preserve"> de mayo de 2015</w:t>
      </w:r>
    </w:p>
    <w:p w:rsidR="00DD1653" w:rsidRPr="00BE3337" w:rsidRDefault="00DD1653" w:rsidP="00DD1653">
      <w:pPr>
        <w:widowControl w:val="0"/>
        <w:spacing w:after="0" w:line="240" w:lineRule="auto"/>
        <w:rPr>
          <w:rFonts w:ascii="Times New Roman" w:eastAsia="MS Mincho" w:hAnsi="Times New Roman" w:cs="Times New Roman"/>
          <w:b/>
          <w:bCs/>
          <w:sz w:val="24"/>
          <w:szCs w:val="24"/>
          <w:lang w:val="es-ES_tradnl" w:eastAsia="es-PE"/>
        </w:rPr>
      </w:pPr>
    </w:p>
    <w:p w:rsidR="00BE3337" w:rsidRPr="00BE3337" w:rsidRDefault="00BE3337" w:rsidP="00DD1653">
      <w:pPr>
        <w:widowControl w:val="0"/>
        <w:spacing w:after="0" w:line="240" w:lineRule="auto"/>
        <w:rPr>
          <w:rFonts w:ascii="Times New Roman" w:eastAsia="MS Mincho" w:hAnsi="Times New Roman" w:cs="Times New Roman"/>
          <w:b/>
          <w:bCs/>
          <w:sz w:val="24"/>
          <w:szCs w:val="24"/>
          <w:lang w:val="es-ES_tradnl" w:eastAsia="es-PE"/>
        </w:rPr>
      </w:pPr>
    </w:p>
    <w:p w:rsidR="00DD1653" w:rsidRPr="00BE3337" w:rsidRDefault="00DD1653" w:rsidP="00DD1653">
      <w:pPr>
        <w:widowControl w:val="0"/>
        <w:spacing w:after="0" w:line="240" w:lineRule="auto"/>
        <w:rPr>
          <w:rFonts w:ascii="Times New Roman" w:eastAsia="MS Mincho" w:hAnsi="Times New Roman" w:cs="Times New Roman"/>
          <w:b/>
          <w:bCs/>
          <w:sz w:val="24"/>
          <w:szCs w:val="24"/>
          <w:lang w:val="es-ES_tradnl" w:eastAsia="es-PE"/>
        </w:rPr>
      </w:pPr>
    </w:p>
    <w:p w:rsidR="00DD1653" w:rsidRPr="00BE3337" w:rsidRDefault="00DD1653" w:rsidP="00DD1653">
      <w:pPr>
        <w:widowControl w:val="0"/>
        <w:spacing w:after="0" w:line="240" w:lineRule="auto"/>
        <w:ind w:left="1080"/>
        <w:jc w:val="center"/>
        <w:rPr>
          <w:rFonts w:ascii="Times New Roman" w:eastAsia="MS Mincho" w:hAnsi="Times New Roman" w:cs="Times New Roman"/>
          <w:b/>
          <w:bCs/>
          <w:sz w:val="24"/>
          <w:szCs w:val="24"/>
          <w:lang w:val="es-ES_tradnl" w:eastAsia="es-PE"/>
        </w:rPr>
      </w:pPr>
    </w:p>
    <w:p w:rsidR="00DD1653" w:rsidRPr="00BE3337" w:rsidRDefault="00DD1653" w:rsidP="00DD1653">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BE3337">
        <w:rPr>
          <w:rFonts w:ascii="Times New Roman" w:eastAsia="Times New Roman" w:hAnsi="Times New Roman" w:cs="Times New Roman"/>
          <w:b/>
          <w:sz w:val="24"/>
          <w:szCs w:val="24"/>
          <w:lang w:val="es-ES" w:eastAsia="es-MX"/>
        </w:rPr>
        <w:t>PATRICIA ALARCÓN ALVIZURI</w:t>
      </w:r>
    </w:p>
    <w:p w:rsidR="00DD1653" w:rsidRPr="00BE3337" w:rsidRDefault="00DD1653" w:rsidP="00DD1653">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BE3337">
        <w:rPr>
          <w:rFonts w:ascii="Times New Roman" w:eastAsia="Times New Roman" w:hAnsi="Times New Roman" w:cs="Times New Roman"/>
          <w:b/>
          <w:sz w:val="24"/>
          <w:szCs w:val="24"/>
          <w:lang w:val="es-ES" w:eastAsia="es-MX"/>
        </w:rPr>
        <w:t>Directora de  Supervisión</w:t>
      </w:r>
    </w:p>
    <w:p w:rsidR="00DD1653" w:rsidRPr="00BE3337" w:rsidRDefault="00DD1653" w:rsidP="00DD1653">
      <w:pPr>
        <w:widowControl w:val="0"/>
        <w:spacing w:after="0" w:line="240" w:lineRule="auto"/>
        <w:ind w:left="540" w:hanging="540"/>
        <w:rPr>
          <w:rFonts w:ascii="Times New Roman" w:eastAsia="Times New Roman" w:hAnsi="Times New Roman" w:cs="Times New Roman"/>
          <w:sz w:val="24"/>
          <w:szCs w:val="24"/>
          <w:lang w:val="es-ES" w:eastAsia="es-MX"/>
        </w:rPr>
      </w:pPr>
    </w:p>
    <w:p w:rsidR="00DD1653" w:rsidRPr="00BE3337" w:rsidRDefault="00DD1653" w:rsidP="00DD1653">
      <w:pPr>
        <w:widowControl w:val="0"/>
        <w:spacing w:after="0" w:line="240" w:lineRule="auto"/>
        <w:ind w:left="540" w:hanging="540"/>
        <w:rPr>
          <w:rFonts w:ascii="Times New Roman" w:eastAsia="Times New Roman" w:hAnsi="Times New Roman" w:cs="Times New Roman"/>
          <w:sz w:val="24"/>
          <w:szCs w:val="24"/>
          <w:lang w:val="es-ES" w:eastAsia="es-MX"/>
        </w:rPr>
      </w:pPr>
    </w:p>
    <w:p w:rsidR="00DD1653" w:rsidRPr="00BE3337" w:rsidRDefault="00DD1653" w:rsidP="00DD1653">
      <w:pPr>
        <w:widowControl w:val="0"/>
        <w:spacing w:after="0" w:line="240" w:lineRule="auto"/>
        <w:ind w:left="540" w:hanging="540"/>
        <w:rPr>
          <w:rFonts w:ascii="Times New Roman" w:eastAsia="Times New Roman" w:hAnsi="Times New Roman" w:cs="Times New Roman"/>
          <w:sz w:val="24"/>
          <w:szCs w:val="24"/>
          <w:lang w:val="es-ES" w:eastAsia="es-MX"/>
        </w:rPr>
      </w:pPr>
      <w:r w:rsidRPr="00BE3337">
        <w:rPr>
          <w:rFonts w:ascii="Times New Roman" w:eastAsia="Times New Roman" w:hAnsi="Times New Roman" w:cs="Times New Roman"/>
          <w:sz w:val="24"/>
          <w:szCs w:val="24"/>
          <w:lang w:val="es-ES" w:eastAsia="es-MX"/>
        </w:rPr>
        <w:t>HIS/.</w:t>
      </w:r>
    </w:p>
    <w:p w:rsidR="009511FA" w:rsidRPr="00BE3337" w:rsidRDefault="009511FA">
      <w:pPr>
        <w:rPr>
          <w:sz w:val="24"/>
          <w:szCs w:val="24"/>
        </w:rPr>
      </w:pPr>
    </w:p>
    <w:sectPr w:rsidR="009511FA" w:rsidRPr="00BE333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6AD" w:rsidRDefault="008666AD" w:rsidP="00DD1653">
      <w:pPr>
        <w:spacing w:after="0" w:line="240" w:lineRule="auto"/>
      </w:pPr>
      <w:r>
        <w:separator/>
      </w:r>
    </w:p>
  </w:endnote>
  <w:endnote w:type="continuationSeparator" w:id="0">
    <w:p w:rsidR="008666AD" w:rsidRDefault="008666AD" w:rsidP="00DD1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6AD" w:rsidRDefault="008666AD" w:rsidP="00DD1653">
      <w:pPr>
        <w:spacing w:after="0" w:line="240" w:lineRule="auto"/>
      </w:pPr>
      <w:r>
        <w:separator/>
      </w:r>
    </w:p>
  </w:footnote>
  <w:footnote w:type="continuationSeparator" w:id="0">
    <w:p w:rsidR="008666AD" w:rsidRDefault="008666AD" w:rsidP="00DD1653">
      <w:pPr>
        <w:spacing w:after="0" w:line="240" w:lineRule="auto"/>
      </w:pPr>
      <w:r>
        <w:continuationSeparator/>
      </w:r>
    </w:p>
  </w:footnote>
  <w:footnote w:id="1">
    <w:p w:rsidR="00E86859" w:rsidRPr="00AF24A6" w:rsidRDefault="00E86859" w:rsidP="00E86859">
      <w:pPr>
        <w:pStyle w:val="Textonotapie"/>
        <w:rPr>
          <w:rFonts w:ascii="Times New Roman" w:hAnsi="Times New Roman" w:cs="Times New Roman"/>
        </w:rPr>
      </w:pPr>
      <w:r w:rsidRPr="00AF24A6">
        <w:rPr>
          <w:rStyle w:val="Refdenotaalpie"/>
          <w:rFonts w:ascii="Times New Roman" w:hAnsi="Times New Roman" w:cs="Times New Roman"/>
        </w:rPr>
        <w:footnoteRef/>
      </w:r>
      <w:r w:rsidRPr="00AF24A6">
        <w:rPr>
          <w:rFonts w:ascii="Times New Roman" w:hAnsi="Times New Roman" w:cs="Times New Roman"/>
        </w:rPr>
        <w:t xml:space="preserve"> Recibido el </w:t>
      </w:r>
      <w:r w:rsidR="00B81D8F" w:rsidRPr="00AF24A6">
        <w:rPr>
          <w:rFonts w:ascii="Times New Roman" w:hAnsi="Times New Roman" w:cs="Times New Roman"/>
          <w:lang w:eastAsia="es-ES"/>
        </w:rPr>
        <w:t>27.ABR.2015</w:t>
      </w:r>
      <w:r w:rsidRPr="00AF24A6">
        <w:rPr>
          <w:rFonts w:ascii="Times New Roman" w:hAnsi="Times New Roman" w:cs="Times New Roman"/>
        </w:rPr>
        <w:t xml:space="preserve">, asignándosele el número de trámite documentario </w:t>
      </w:r>
      <w:r w:rsidR="00B81D8F" w:rsidRPr="00AF24A6">
        <w:rPr>
          <w:rFonts w:ascii="Times New Roman" w:hAnsi="Times New Roman" w:cs="Times New Roman"/>
        </w:rPr>
        <w:t>2015-6900825-Lima</w:t>
      </w:r>
      <w:r w:rsidRPr="00AF24A6">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D4A3D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180813"/>
    <w:multiLevelType w:val="multilevel"/>
    <w:tmpl w:val="0674DF1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1584111A"/>
    <w:multiLevelType w:val="multilevel"/>
    <w:tmpl w:val="67B052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1FF76F1"/>
    <w:multiLevelType w:val="multilevel"/>
    <w:tmpl w:val="B9B83C3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9492050"/>
    <w:multiLevelType w:val="hybridMultilevel"/>
    <w:tmpl w:val="AC90B11A"/>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31890157"/>
    <w:multiLevelType w:val="hybridMultilevel"/>
    <w:tmpl w:val="4086E2C2"/>
    <w:lvl w:ilvl="0" w:tplc="D9BECEA8">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3D9B18B0"/>
    <w:multiLevelType w:val="hybridMultilevel"/>
    <w:tmpl w:val="AA784920"/>
    <w:lvl w:ilvl="0" w:tplc="D9BECEA8">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41DD042D"/>
    <w:multiLevelType w:val="hybridMultilevel"/>
    <w:tmpl w:val="FDDEFC78"/>
    <w:lvl w:ilvl="0" w:tplc="FB14E3DA">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11">
    <w:nsid w:val="589173D5"/>
    <w:multiLevelType w:val="hybridMultilevel"/>
    <w:tmpl w:val="2580EC9A"/>
    <w:lvl w:ilvl="0" w:tplc="03C873BE">
      <w:start w:val="20"/>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F6612AE"/>
    <w:multiLevelType w:val="hybridMultilevel"/>
    <w:tmpl w:val="DB481380"/>
    <w:lvl w:ilvl="0" w:tplc="56E63968">
      <w:start w:val="44"/>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64C23058"/>
    <w:multiLevelType w:val="hybridMultilevel"/>
    <w:tmpl w:val="B81827D6"/>
    <w:lvl w:ilvl="0" w:tplc="B5C86F42">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num w:numId="1">
    <w:abstractNumId w:val="1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6"/>
  </w:num>
  <w:num w:numId="5">
    <w:abstractNumId w:val="5"/>
  </w:num>
  <w:num w:numId="6">
    <w:abstractNumId w:val="1"/>
  </w:num>
  <w:num w:numId="7">
    <w:abstractNumId w:val="7"/>
  </w:num>
  <w:num w:numId="8">
    <w:abstractNumId w:val="12"/>
  </w:num>
  <w:num w:numId="9">
    <w:abstractNumId w:val="0"/>
  </w:num>
  <w:num w:numId="1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1"/>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653"/>
    <w:rsid w:val="0002507F"/>
    <w:rsid w:val="00037F91"/>
    <w:rsid w:val="00044828"/>
    <w:rsid w:val="000D60A3"/>
    <w:rsid w:val="00110C01"/>
    <w:rsid w:val="001333BF"/>
    <w:rsid w:val="00165D01"/>
    <w:rsid w:val="0018214F"/>
    <w:rsid w:val="00220B91"/>
    <w:rsid w:val="00244E22"/>
    <w:rsid w:val="002D18ED"/>
    <w:rsid w:val="00367DA7"/>
    <w:rsid w:val="003C55E2"/>
    <w:rsid w:val="00495215"/>
    <w:rsid w:val="004F3787"/>
    <w:rsid w:val="00502892"/>
    <w:rsid w:val="00545BB9"/>
    <w:rsid w:val="00592A58"/>
    <w:rsid w:val="005B6C11"/>
    <w:rsid w:val="005E2D57"/>
    <w:rsid w:val="006C0D32"/>
    <w:rsid w:val="00700078"/>
    <w:rsid w:val="00772F15"/>
    <w:rsid w:val="007D66B5"/>
    <w:rsid w:val="007E38F6"/>
    <w:rsid w:val="008176FB"/>
    <w:rsid w:val="008666AD"/>
    <w:rsid w:val="0089126D"/>
    <w:rsid w:val="008B6194"/>
    <w:rsid w:val="008F4962"/>
    <w:rsid w:val="009318F1"/>
    <w:rsid w:val="00934518"/>
    <w:rsid w:val="009511FA"/>
    <w:rsid w:val="009A13AA"/>
    <w:rsid w:val="009D7640"/>
    <w:rsid w:val="00A45A38"/>
    <w:rsid w:val="00AF24A6"/>
    <w:rsid w:val="00AF4BBB"/>
    <w:rsid w:val="00B0286B"/>
    <w:rsid w:val="00B81D8F"/>
    <w:rsid w:val="00BB1008"/>
    <w:rsid w:val="00BB4FE1"/>
    <w:rsid w:val="00BC5062"/>
    <w:rsid w:val="00BE3337"/>
    <w:rsid w:val="00C05586"/>
    <w:rsid w:val="00C22DE7"/>
    <w:rsid w:val="00C46F20"/>
    <w:rsid w:val="00CA2120"/>
    <w:rsid w:val="00CE2697"/>
    <w:rsid w:val="00CE66D1"/>
    <w:rsid w:val="00D13B60"/>
    <w:rsid w:val="00DA622F"/>
    <w:rsid w:val="00DD1653"/>
    <w:rsid w:val="00DF7DEC"/>
    <w:rsid w:val="00E61D4F"/>
    <w:rsid w:val="00E744B1"/>
    <w:rsid w:val="00E86859"/>
    <w:rsid w:val="00EC1724"/>
    <w:rsid w:val="00ED2AA3"/>
    <w:rsid w:val="00F07F9D"/>
    <w:rsid w:val="00F8495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618702-1906-4F02-8A5D-75A1FC9C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65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Car,Car1 Car Car,Car2 Car Car Car Car Car,Car2 Car,Car2,Car1 Car,Car1,Car1 Car Car Car Car,Car1 Car Car Car Car Car Car,Car Car Ca, Car, Car1 Car Car, Car2 Car Car Car Car Car, Car2 Car, Car2, Car1 Car, Car1, Car1 Car Car Car Car Car Car"/>
    <w:basedOn w:val="Normal"/>
    <w:link w:val="TextonotapieCar"/>
    <w:unhideWhenUsed/>
    <w:rsid w:val="00DD1653"/>
    <w:pPr>
      <w:spacing w:after="0" w:line="240" w:lineRule="auto"/>
    </w:pPr>
    <w:rPr>
      <w:sz w:val="20"/>
      <w:szCs w:val="20"/>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Car Car, Car1 Car Car Car, Car2 Car Car Car Car Car Car"/>
    <w:basedOn w:val="Fuentedeprrafopredeter"/>
    <w:link w:val="Textonotapie"/>
    <w:rsid w:val="00DD1653"/>
    <w:rPr>
      <w:sz w:val="20"/>
      <w:szCs w:val="20"/>
    </w:rPr>
  </w:style>
  <w:style w:type="character" w:styleId="Refdenotaalpie">
    <w:name w:val="footnote reference"/>
    <w:aliases w:val="16 Point,Superscript 6 Point,FC,referencia nota al pie"/>
    <w:unhideWhenUsed/>
    <w:rsid w:val="00DD1653"/>
    <w:rPr>
      <w:vertAlign w:val="superscript"/>
    </w:rPr>
  </w:style>
  <w:style w:type="paragraph" w:styleId="Prrafodelista">
    <w:name w:val="List Paragraph"/>
    <w:aliases w:val="Titulo de Fígura,TITULO A,Titulo parrafo,Punto"/>
    <w:basedOn w:val="Normal"/>
    <w:link w:val="PrrafodelistaCar"/>
    <w:uiPriority w:val="34"/>
    <w:qFormat/>
    <w:rsid w:val="00DD1653"/>
    <w:pPr>
      <w:ind w:left="720"/>
      <w:contextualSpacing/>
    </w:pPr>
  </w:style>
  <w:style w:type="character" w:customStyle="1" w:styleId="PrrafodelistaCar">
    <w:name w:val="Párrafo de lista Car"/>
    <w:aliases w:val="Titulo de Fígura Car,TITULO A Car,Titulo parrafo Car,Punto Car"/>
    <w:link w:val="Prrafodelista"/>
    <w:uiPriority w:val="34"/>
    <w:rsid w:val="00DD1653"/>
  </w:style>
  <w:style w:type="paragraph" w:customStyle="1" w:styleId="WW-Textoindependiente2">
    <w:name w:val="WW-Texto independiente 2"/>
    <w:basedOn w:val="Normal"/>
    <w:rsid w:val="00DD1653"/>
    <w:pPr>
      <w:widowControl w:val="0"/>
      <w:suppressAutoHyphens/>
      <w:spacing w:after="0" w:line="240" w:lineRule="auto"/>
      <w:jc w:val="both"/>
    </w:pPr>
    <w:rPr>
      <w:rFonts w:ascii="Arial" w:eastAsia="MS Mincho" w:hAnsi="Arial" w:cs="Times New Roman"/>
      <w:sz w:val="24"/>
      <w:szCs w:val="20"/>
      <w:lang w:val="es-ES_tradnl" w:eastAsia="es-PE"/>
    </w:rPr>
  </w:style>
  <w:style w:type="paragraph" w:customStyle="1" w:styleId="Default">
    <w:name w:val="Default"/>
    <w:rsid w:val="00DD1653"/>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DF7D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convietas">
    <w:name w:val="List Bullet"/>
    <w:basedOn w:val="Normal"/>
    <w:uiPriority w:val="99"/>
    <w:unhideWhenUsed/>
    <w:rsid w:val="00700078"/>
    <w:pPr>
      <w:numPr>
        <w:numId w:val="9"/>
      </w:numPr>
      <w:contextualSpacing/>
    </w:pPr>
  </w:style>
  <w:style w:type="paragraph" w:styleId="Textodeglobo">
    <w:name w:val="Balloon Text"/>
    <w:basedOn w:val="Normal"/>
    <w:link w:val="TextodegloboCar"/>
    <w:uiPriority w:val="99"/>
    <w:semiHidden/>
    <w:unhideWhenUsed/>
    <w:rsid w:val="00AF4BBB"/>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AF4BBB"/>
    <w:rPr>
      <w:rFonts w:ascii="Arial" w:hAnsi="Arial" w:cs="Arial"/>
      <w:sz w:val="18"/>
      <w:szCs w:val="18"/>
    </w:rPr>
  </w:style>
  <w:style w:type="paragraph" w:styleId="NormalWeb">
    <w:name w:val="Normal (Web)"/>
    <w:basedOn w:val="Normal"/>
    <w:uiPriority w:val="99"/>
    <w:rsid w:val="002D18ED"/>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E2C1C-9D87-4A36-8EBE-493A018F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8</Pages>
  <Words>3367</Words>
  <Characters>18519</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Jesus Iparraguirre Salas</dc:creator>
  <cp:lastModifiedBy>Hernan Jesus Iparraguirre Salas</cp:lastModifiedBy>
  <cp:revision>10</cp:revision>
  <cp:lastPrinted>2015-05-13T16:23:00Z</cp:lastPrinted>
  <dcterms:created xsi:type="dcterms:W3CDTF">2015-05-11T14:58:00Z</dcterms:created>
  <dcterms:modified xsi:type="dcterms:W3CDTF">2015-05-13T20:05:00Z</dcterms:modified>
</cp:coreProperties>
</file>