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1BD" w:rsidRPr="004F374B" w:rsidRDefault="009B65D0" w:rsidP="006D5BF6">
      <w:pPr>
        <w:widowControl w:val="0"/>
        <w:spacing w:after="0" w:line="240" w:lineRule="auto"/>
        <w:jc w:val="center"/>
        <w:rPr>
          <w:rFonts w:ascii="Times New Roman" w:eastAsia="Times New Roman" w:hAnsi="Times New Roman" w:cs="Times New Roman"/>
          <w:b/>
          <w:sz w:val="23"/>
          <w:szCs w:val="23"/>
          <w:u w:val="single"/>
          <w:lang w:val="es-MX" w:eastAsia="es-MX"/>
        </w:rPr>
      </w:pPr>
      <w:r w:rsidRPr="004F374B">
        <w:rPr>
          <w:rFonts w:ascii="Times New Roman" w:eastAsia="Times New Roman" w:hAnsi="Times New Roman" w:cs="Times New Roman"/>
          <w:b/>
          <w:sz w:val="23"/>
          <w:szCs w:val="23"/>
          <w:u w:val="single"/>
          <w:lang w:val="es-MX" w:eastAsia="es-MX"/>
        </w:rPr>
        <w:t xml:space="preserve">PRONUNCIAMIENTO Nº </w:t>
      </w:r>
      <w:r w:rsidR="006123CC">
        <w:rPr>
          <w:rFonts w:ascii="Times New Roman" w:eastAsia="Times New Roman" w:hAnsi="Times New Roman" w:cs="Times New Roman"/>
          <w:b/>
          <w:sz w:val="23"/>
          <w:szCs w:val="23"/>
          <w:u w:val="single"/>
          <w:lang w:val="es-MX" w:eastAsia="es-MX"/>
        </w:rPr>
        <w:t>380</w:t>
      </w:r>
      <w:r w:rsidR="00F651BD" w:rsidRPr="004F374B">
        <w:rPr>
          <w:rFonts w:ascii="Times New Roman" w:eastAsia="Times New Roman" w:hAnsi="Times New Roman" w:cs="Times New Roman"/>
          <w:b/>
          <w:sz w:val="23"/>
          <w:szCs w:val="23"/>
          <w:u w:val="single"/>
          <w:lang w:val="es-MX" w:eastAsia="es-MX"/>
        </w:rPr>
        <w:t>-2015/DSU</w:t>
      </w:r>
    </w:p>
    <w:p w:rsidR="00F651BD" w:rsidRPr="004F374B" w:rsidRDefault="00F651BD" w:rsidP="006D5BF6">
      <w:pPr>
        <w:widowControl w:val="0"/>
        <w:tabs>
          <w:tab w:val="left" w:pos="1980"/>
        </w:tabs>
        <w:spacing w:after="0" w:line="240" w:lineRule="auto"/>
        <w:ind w:left="2880" w:hanging="2880"/>
        <w:jc w:val="both"/>
        <w:rPr>
          <w:rFonts w:ascii="Times New Roman" w:eastAsia="Times New Roman" w:hAnsi="Times New Roman" w:cs="Times New Roman"/>
          <w:sz w:val="23"/>
          <w:szCs w:val="23"/>
          <w:lang w:val="es-MX" w:eastAsia="es-MX"/>
        </w:rPr>
      </w:pPr>
      <w:r w:rsidRPr="004F374B">
        <w:rPr>
          <w:rFonts w:ascii="Times New Roman" w:eastAsia="Times New Roman" w:hAnsi="Times New Roman" w:cs="Times New Roman"/>
          <w:sz w:val="23"/>
          <w:szCs w:val="23"/>
          <w:lang w:val="es-MX" w:eastAsia="es-MX"/>
        </w:rPr>
        <w:tab/>
      </w:r>
    </w:p>
    <w:p w:rsidR="00F651BD" w:rsidRPr="004F374B" w:rsidRDefault="00F651BD" w:rsidP="006D5BF6">
      <w:pPr>
        <w:widowControl w:val="0"/>
        <w:spacing w:after="0" w:line="240" w:lineRule="auto"/>
        <w:ind w:left="2835" w:hanging="2835"/>
        <w:jc w:val="both"/>
        <w:rPr>
          <w:rFonts w:ascii="Times New Roman" w:eastAsia="Calibri" w:hAnsi="Times New Roman" w:cs="Times New Roman"/>
          <w:sz w:val="23"/>
          <w:szCs w:val="23"/>
          <w:lang w:eastAsia="en-US"/>
        </w:rPr>
      </w:pPr>
      <w:r w:rsidRPr="004F374B">
        <w:rPr>
          <w:rFonts w:ascii="Times New Roman" w:eastAsia="Times New Roman" w:hAnsi="Times New Roman" w:cs="Times New Roman"/>
          <w:sz w:val="23"/>
          <w:szCs w:val="23"/>
          <w:lang w:val="es-MX" w:eastAsia="es-MX"/>
        </w:rPr>
        <w:t>Entidad:</w:t>
      </w:r>
      <w:r w:rsidRPr="004F374B">
        <w:rPr>
          <w:rFonts w:ascii="Times New Roman" w:eastAsia="Times New Roman" w:hAnsi="Times New Roman" w:cs="Times New Roman"/>
          <w:sz w:val="23"/>
          <w:szCs w:val="23"/>
          <w:lang w:val="es-MX" w:eastAsia="es-MX"/>
        </w:rPr>
        <w:tab/>
      </w:r>
      <w:r w:rsidR="009B65D0" w:rsidRPr="004F374B">
        <w:rPr>
          <w:rFonts w:ascii="Times New Roman" w:hAnsi="Times New Roman" w:cs="Times New Roman"/>
          <w:sz w:val="23"/>
          <w:szCs w:val="23"/>
          <w:lang w:val="es-MX"/>
        </w:rPr>
        <w:t>Universidad Nacional de Barranca</w:t>
      </w:r>
    </w:p>
    <w:p w:rsidR="00F651BD" w:rsidRPr="004F374B" w:rsidRDefault="00F651BD" w:rsidP="006D5BF6">
      <w:pPr>
        <w:widowControl w:val="0"/>
        <w:spacing w:after="0" w:line="240" w:lineRule="auto"/>
        <w:ind w:left="2835" w:hanging="2835"/>
        <w:jc w:val="both"/>
        <w:rPr>
          <w:rFonts w:ascii="Times New Roman" w:eastAsia="Times New Roman" w:hAnsi="Times New Roman" w:cs="Times New Roman"/>
          <w:snapToGrid w:val="0"/>
          <w:sz w:val="23"/>
          <w:szCs w:val="23"/>
          <w:lang w:val="es-MX" w:eastAsia="es-MX"/>
        </w:rPr>
      </w:pPr>
    </w:p>
    <w:p w:rsidR="00F651BD" w:rsidRPr="004F374B" w:rsidRDefault="00F651BD" w:rsidP="006D5BF6">
      <w:pPr>
        <w:widowControl w:val="0"/>
        <w:tabs>
          <w:tab w:val="left" w:pos="1980"/>
        </w:tabs>
        <w:spacing w:after="0" w:line="240" w:lineRule="auto"/>
        <w:ind w:left="2880" w:hanging="2880"/>
        <w:jc w:val="both"/>
        <w:rPr>
          <w:rFonts w:ascii="Times New Roman" w:eastAsia="Times New Roman" w:hAnsi="Times New Roman" w:cs="Times New Roman"/>
          <w:sz w:val="23"/>
          <w:szCs w:val="23"/>
          <w:lang w:val="es-ES_tradnl" w:eastAsia="es-MX"/>
        </w:rPr>
      </w:pPr>
      <w:r w:rsidRPr="004F374B">
        <w:rPr>
          <w:rFonts w:ascii="Times New Roman" w:eastAsia="Times New Roman" w:hAnsi="Times New Roman" w:cs="Times New Roman"/>
          <w:sz w:val="23"/>
          <w:szCs w:val="23"/>
          <w:lang w:val="es-MX" w:eastAsia="es-MX"/>
        </w:rPr>
        <w:t>Referencia:</w:t>
      </w:r>
      <w:r w:rsidRPr="004F374B">
        <w:rPr>
          <w:rFonts w:ascii="Times New Roman" w:eastAsia="Times New Roman" w:hAnsi="Times New Roman" w:cs="Times New Roman"/>
          <w:sz w:val="23"/>
          <w:szCs w:val="23"/>
          <w:lang w:val="es-MX" w:eastAsia="es-MX"/>
        </w:rPr>
        <w:tab/>
      </w:r>
      <w:r w:rsidRPr="004F374B">
        <w:rPr>
          <w:rFonts w:ascii="Times New Roman" w:eastAsia="Times New Roman" w:hAnsi="Times New Roman" w:cs="Times New Roman"/>
          <w:sz w:val="23"/>
          <w:szCs w:val="23"/>
          <w:lang w:val="es-MX" w:eastAsia="es-MX"/>
        </w:rPr>
        <w:tab/>
      </w:r>
      <w:r w:rsidR="00B270A8" w:rsidRPr="004F374B">
        <w:rPr>
          <w:rFonts w:ascii="Times New Roman" w:eastAsia="Times New Roman" w:hAnsi="Times New Roman" w:cs="Times New Roman"/>
          <w:sz w:val="23"/>
          <w:szCs w:val="23"/>
          <w:lang w:val="es-ES_tradnl" w:eastAsia="es-MX"/>
        </w:rPr>
        <w:t xml:space="preserve">Licitación </w:t>
      </w:r>
      <w:r w:rsidR="006D383B" w:rsidRPr="004F374B">
        <w:rPr>
          <w:rFonts w:ascii="Times New Roman" w:eastAsia="Times New Roman" w:hAnsi="Times New Roman" w:cs="Times New Roman"/>
          <w:sz w:val="23"/>
          <w:szCs w:val="23"/>
          <w:lang w:val="es-ES_tradnl" w:eastAsia="es-MX"/>
        </w:rPr>
        <w:t xml:space="preserve">Pública </w:t>
      </w:r>
      <w:r w:rsidR="009B65D0" w:rsidRPr="004F374B">
        <w:rPr>
          <w:rFonts w:ascii="Times New Roman" w:eastAsia="Times New Roman" w:hAnsi="Times New Roman" w:cs="Times New Roman"/>
          <w:sz w:val="23"/>
          <w:szCs w:val="23"/>
          <w:lang w:val="es-ES_tradnl" w:eastAsia="es-MX"/>
        </w:rPr>
        <w:t>N° 1</w:t>
      </w:r>
      <w:r w:rsidRPr="004F374B">
        <w:rPr>
          <w:rFonts w:ascii="Times New Roman" w:eastAsia="Times New Roman" w:hAnsi="Times New Roman" w:cs="Times New Roman"/>
          <w:sz w:val="23"/>
          <w:szCs w:val="23"/>
          <w:lang w:val="es-ES_tradnl" w:eastAsia="es-MX"/>
        </w:rPr>
        <w:t>-2015-</w:t>
      </w:r>
      <w:r w:rsidR="009B65D0" w:rsidRPr="004F374B">
        <w:rPr>
          <w:rFonts w:ascii="Times New Roman" w:eastAsia="Times New Roman" w:hAnsi="Times New Roman" w:cs="Times New Roman"/>
          <w:sz w:val="23"/>
          <w:szCs w:val="23"/>
          <w:lang w:val="es-ES_tradnl" w:eastAsia="es-MX"/>
        </w:rPr>
        <w:t>UNAB</w:t>
      </w:r>
      <w:r w:rsidR="00B270A8" w:rsidRPr="004F374B">
        <w:rPr>
          <w:rFonts w:ascii="Times New Roman" w:eastAsia="Times New Roman" w:hAnsi="Times New Roman" w:cs="Times New Roman"/>
          <w:sz w:val="23"/>
          <w:szCs w:val="23"/>
          <w:lang w:val="es-ES_tradnl" w:eastAsia="es-MX"/>
        </w:rPr>
        <w:t>-CE</w:t>
      </w:r>
      <w:r w:rsidRPr="004F374B">
        <w:rPr>
          <w:rFonts w:ascii="Times New Roman" w:eastAsia="Times New Roman" w:hAnsi="Times New Roman" w:cs="Times New Roman"/>
          <w:sz w:val="23"/>
          <w:szCs w:val="23"/>
          <w:lang w:val="es-ES_tradnl" w:eastAsia="es-MX"/>
        </w:rPr>
        <w:t xml:space="preserve"> convocada</w:t>
      </w:r>
      <w:r w:rsidR="00B270A8" w:rsidRPr="004F374B">
        <w:rPr>
          <w:rFonts w:ascii="Times New Roman" w:eastAsia="Times New Roman" w:hAnsi="Times New Roman" w:cs="Times New Roman"/>
          <w:sz w:val="23"/>
          <w:szCs w:val="23"/>
          <w:lang w:val="es-ES_tradnl" w:eastAsia="es-MX"/>
        </w:rPr>
        <w:t xml:space="preserve"> para</w:t>
      </w:r>
      <w:r w:rsidRPr="004F374B">
        <w:rPr>
          <w:rFonts w:ascii="Times New Roman" w:eastAsia="Times New Roman" w:hAnsi="Times New Roman" w:cs="Times New Roman"/>
          <w:sz w:val="23"/>
          <w:szCs w:val="23"/>
          <w:lang w:val="es-ES_tradnl" w:eastAsia="es-MX"/>
        </w:rPr>
        <w:t>: “</w:t>
      </w:r>
      <w:r w:rsidR="009B65D0" w:rsidRPr="004F374B">
        <w:rPr>
          <w:rFonts w:ascii="Times New Roman" w:hAnsi="Times New Roman" w:cs="Times New Roman"/>
          <w:color w:val="333333"/>
          <w:sz w:val="23"/>
          <w:szCs w:val="23"/>
        </w:rPr>
        <w:t>Adquisición de ómnibus para el mejoramiento del servicio de movilidad universitaria y transporte para practicas académicas de la Universidad Nacional de Barranca Distrito de Barranca Provincia de Barranca departamento de Lima</w:t>
      </w:r>
      <w:r w:rsidR="00807FD5" w:rsidRPr="004F374B">
        <w:rPr>
          <w:rFonts w:ascii="Times New Roman" w:eastAsia="Times New Roman" w:hAnsi="Times New Roman" w:cs="Times New Roman"/>
          <w:sz w:val="23"/>
          <w:szCs w:val="23"/>
          <w:lang w:val="es-ES_tradnl" w:eastAsia="es-MX"/>
        </w:rPr>
        <w:t xml:space="preserve">”. </w:t>
      </w:r>
      <w:r w:rsidRPr="004F374B">
        <w:rPr>
          <w:rFonts w:ascii="Times New Roman" w:eastAsia="Times New Roman" w:hAnsi="Times New Roman" w:cs="Times New Roman"/>
          <w:sz w:val="23"/>
          <w:szCs w:val="23"/>
          <w:lang w:val="es-ES_tradnl" w:eastAsia="es-MX"/>
        </w:rPr>
        <w:t xml:space="preserve">  </w:t>
      </w:r>
    </w:p>
    <w:p w:rsidR="00F651BD" w:rsidRPr="004F374B" w:rsidRDefault="00F651BD" w:rsidP="006D5BF6">
      <w:pPr>
        <w:widowControl w:val="0"/>
        <w:pBdr>
          <w:bottom w:val="single" w:sz="6" w:space="1" w:color="auto"/>
        </w:pBdr>
        <w:spacing w:after="0" w:line="240" w:lineRule="auto"/>
        <w:jc w:val="both"/>
        <w:rPr>
          <w:rFonts w:ascii="Times New Roman" w:eastAsia="Times New Roman" w:hAnsi="Times New Roman" w:cs="Times New Roman"/>
          <w:sz w:val="23"/>
          <w:szCs w:val="23"/>
          <w:lang w:val="es-ES_tradnl" w:eastAsia="es-MX"/>
        </w:rPr>
      </w:pPr>
    </w:p>
    <w:p w:rsidR="00F651BD" w:rsidRPr="004F374B" w:rsidRDefault="00F651BD" w:rsidP="006D5BF6">
      <w:pPr>
        <w:widowControl w:val="0"/>
        <w:spacing w:after="0" w:line="240" w:lineRule="auto"/>
        <w:jc w:val="both"/>
        <w:rPr>
          <w:rFonts w:ascii="Times New Roman" w:eastAsia="Times New Roman" w:hAnsi="Times New Roman" w:cs="Times New Roman"/>
          <w:sz w:val="23"/>
          <w:szCs w:val="23"/>
          <w:lang w:val="es-MX" w:eastAsia="es-MX"/>
        </w:rPr>
      </w:pPr>
    </w:p>
    <w:p w:rsidR="00F651BD" w:rsidRPr="004F374B" w:rsidRDefault="00F651BD" w:rsidP="006D5BF6">
      <w:pPr>
        <w:widowControl w:val="0"/>
        <w:numPr>
          <w:ilvl w:val="0"/>
          <w:numId w:val="1"/>
        </w:numPr>
        <w:spacing w:after="0" w:line="240" w:lineRule="auto"/>
        <w:ind w:left="567" w:hanging="567"/>
        <w:jc w:val="both"/>
        <w:rPr>
          <w:rFonts w:ascii="Times New Roman" w:eastAsia="Times New Roman" w:hAnsi="Times New Roman" w:cs="Times New Roman"/>
          <w:b/>
          <w:sz w:val="23"/>
          <w:szCs w:val="23"/>
          <w:lang w:val="es-MX" w:eastAsia="es-MX"/>
        </w:rPr>
      </w:pPr>
      <w:r w:rsidRPr="004F374B">
        <w:rPr>
          <w:rFonts w:ascii="Times New Roman" w:eastAsia="Times New Roman" w:hAnsi="Times New Roman" w:cs="Times New Roman"/>
          <w:b/>
          <w:sz w:val="23"/>
          <w:szCs w:val="23"/>
          <w:lang w:val="es-MX" w:eastAsia="es-MX"/>
        </w:rPr>
        <w:t xml:space="preserve">ANTECEDENTES </w:t>
      </w:r>
    </w:p>
    <w:p w:rsidR="00F651BD" w:rsidRPr="004F374B" w:rsidRDefault="00F651BD" w:rsidP="006D5BF6">
      <w:pPr>
        <w:widowControl w:val="0"/>
        <w:spacing w:after="0" w:line="240" w:lineRule="auto"/>
        <w:jc w:val="both"/>
        <w:rPr>
          <w:rFonts w:ascii="Times New Roman" w:eastAsia="Times New Roman" w:hAnsi="Times New Roman" w:cs="Times New Roman"/>
          <w:sz w:val="23"/>
          <w:szCs w:val="23"/>
          <w:lang w:val="es-MX" w:eastAsia="es-MX"/>
        </w:rPr>
      </w:pPr>
    </w:p>
    <w:p w:rsidR="00F651BD" w:rsidRPr="004F374B" w:rsidRDefault="00F651BD" w:rsidP="006D5BF6">
      <w:pPr>
        <w:pStyle w:val="WW-Sangra3detindependiente"/>
        <w:widowControl/>
        <w:suppressAutoHyphens w:val="0"/>
        <w:ind w:left="2"/>
        <w:rPr>
          <w:sz w:val="23"/>
          <w:szCs w:val="23"/>
        </w:rPr>
      </w:pPr>
      <w:r w:rsidRPr="004F374B">
        <w:rPr>
          <w:sz w:val="23"/>
          <w:szCs w:val="23"/>
        </w:rPr>
        <w:t xml:space="preserve">Mediante </w:t>
      </w:r>
      <w:r w:rsidR="00807FD5" w:rsidRPr="004F374B">
        <w:rPr>
          <w:sz w:val="23"/>
          <w:szCs w:val="23"/>
        </w:rPr>
        <w:t>I</w:t>
      </w:r>
      <w:r w:rsidR="009B65D0" w:rsidRPr="004F374B">
        <w:rPr>
          <w:sz w:val="23"/>
          <w:szCs w:val="23"/>
        </w:rPr>
        <w:t>nforme</w:t>
      </w:r>
      <w:r w:rsidRPr="004F374B">
        <w:rPr>
          <w:sz w:val="23"/>
          <w:szCs w:val="23"/>
        </w:rPr>
        <w:t xml:space="preserve"> N° </w:t>
      </w:r>
      <w:r w:rsidR="009B65D0" w:rsidRPr="004F374B">
        <w:rPr>
          <w:sz w:val="23"/>
          <w:szCs w:val="23"/>
        </w:rPr>
        <w:t>004-2015-CE/UNAB, recibido el 15.04</w:t>
      </w:r>
      <w:r w:rsidRPr="004F374B">
        <w:rPr>
          <w:sz w:val="23"/>
          <w:szCs w:val="23"/>
        </w:rPr>
        <w:t>.15, el Presidente del Comité Especial remitió al Organismo Supervisor de las Contrataci</w:t>
      </w:r>
      <w:r w:rsidR="009B65D0" w:rsidRPr="004F374B">
        <w:rPr>
          <w:sz w:val="23"/>
          <w:szCs w:val="23"/>
        </w:rPr>
        <w:t>ones del Estado (OSCE) las ocho (8</w:t>
      </w:r>
      <w:r w:rsidRPr="004F374B">
        <w:rPr>
          <w:sz w:val="23"/>
          <w:szCs w:val="23"/>
        </w:rPr>
        <w:t xml:space="preserve">) observaciones formuladas por el participante </w:t>
      </w:r>
      <w:r w:rsidR="00854B0E" w:rsidRPr="004F374B">
        <w:rPr>
          <w:b/>
          <w:sz w:val="23"/>
          <w:szCs w:val="23"/>
        </w:rPr>
        <w:t>MOTORES DIESEL ANDINOS S.A-MODASA</w:t>
      </w:r>
      <w:r w:rsidRPr="004F374B">
        <w:rPr>
          <w:sz w:val="23"/>
          <w:szCs w:val="23"/>
        </w:rPr>
        <w:t xml:space="preserve"> así como el informe técnico respectivo, en cumplimiento de lo dispuesto por el artículo 28 del Decreto Legislativo Nº1017, que aprueba la Ley de Contrataciones del Estado, en adelante la Ley, y el artículo 58 de su Reglamento, aprobado por Decreto Supremo Nº184-2008-EF, en adelante el Reglamento.</w:t>
      </w:r>
    </w:p>
    <w:p w:rsidR="00AF31F4" w:rsidRPr="004F374B" w:rsidRDefault="00AF31F4" w:rsidP="006D5BF6">
      <w:pPr>
        <w:pStyle w:val="WW-Sangra3detindependiente"/>
        <w:widowControl/>
        <w:suppressAutoHyphens w:val="0"/>
        <w:ind w:left="2"/>
        <w:rPr>
          <w:sz w:val="23"/>
          <w:szCs w:val="23"/>
        </w:rPr>
      </w:pPr>
    </w:p>
    <w:p w:rsidR="00AF31F4" w:rsidRPr="004F374B" w:rsidRDefault="00AF31F4" w:rsidP="006D5BF6">
      <w:pPr>
        <w:pStyle w:val="WW-Sangra3detindependiente"/>
        <w:suppressAutoHyphens w:val="0"/>
        <w:ind w:left="1"/>
        <w:rPr>
          <w:sz w:val="23"/>
          <w:szCs w:val="23"/>
        </w:rPr>
      </w:pPr>
      <w:r w:rsidRPr="004F374B">
        <w:rPr>
          <w:sz w:val="23"/>
          <w:szCs w:val="23"/>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AF31F4" w:rsidRPr="004F374B" w:rsidRDefault="00AF31F4" w:rsidP="006D5BF6">
      <w:pPr>
        <w:pStyle w:val="WW-Sangra3detindependiente"/>
        <w:widowControl/>
        <w:suppressAutoHyphens w:val="0"/>
        <w:ind w:left="2"/>
        <w:rPr>
          <w:sz w:val="23"/>
          <w:szCs w:val="23"/>
        </w:rPr>
      </w:pPr>
    </w:p>
    <w:p w:rsidR="00765DD4" w:rsidRPr="004F374B" w:rsidRDefault="00AF31F4" w:rsidP="006D5BF6">
      <w:pPr>
        <w:pStyle w:val="WW-Sangra3detindependiente"/>
        <w:widowControl/>
        <w:suppressAutoHyphens w:val="0"/>
        <w:ind w:left="2"/>
        <w:rPr>
          <w:sz w:val="23"/>
          <w:szCs w:val="23"/>
        </w:rPr>
      </w:pPr>
      <w:r w:rsidRPr="004F374B">
        <w:rPr>
          <w:sz w:val="23"/>
          <w:szCs w:val="23"/>
        </w:rPr>
        <w:t xml:space="preserve">En ese sentido, </w:t>
      </w:r>
      <w:r w:rsidR="00807FD5" w:rsidRPr="004F374B">
        <w:rPr>
          <w:sz w:val="23"/>
          <w:szCs w:val="23"/>
        </w:rPr>
        <w:t xml:space="preserve">respecto de las ocho (8) observaciones formuladas por el participante  </w:t>
      </w:r>
      <w:r w:rsidR="00807FD5" w:rsidRPr="004F374B">
        <w:rPr>
          <w:b/>
          <w:sz w:val="23"/>
          <w:szCs w:val="23"/>
        </w:rPr>
        <w:t xml:space="preserve">MOTORES DIESEL ANDINOS S.A-MODASA, </w:t>
      </w:r>
      <w:r w:rsidR="00C368B5" w:rsidRPr="004F374B">
        <w:rPr>
          <w:sz w:val="23"/>
          <w:szCs w:val="23"/>
        </w:rPr>
        <w:t>cabe señalar que</w:t>
      </w:r>
      <w:r w:rsidR="006D453A" w:rsidRPr="004F374B">
        <w:rPr>
          <w:sz w:val="23"/>
          <w:szCs w:val="23"/>
        </w:rPr>
        <w:t xml:space="preserve"> </w:t>
      </w:r>
      <w:r w:rsidR="00C368B5" w:rsidRPr="004F374B">
        <w:rPr>
          <w:sz w:val="23"/>
          <w:szCs w:val="23"/>
        </w:rPr>
        <w:t>la</w:t>
      </w:r>
      <w:r w:rsidR="00361309" w:rsidRPr="004F374B">
        <w:rPr>
          <w:sz w:val="23"/>
          <w:szCs w:val="23"/>
        </w:rPr>
        <w:t>s</w:t>
      </w:r>
      <w:r w:rsidR="00C368B5" w:rsidRPr="004F374B">
        <w:rPr>
          <w:sz w:val="23"/>
          <w:szCs w:val="23"/>
        </w:rPr>
        <w:t xml:space="preserve"> Observaci</w:t>
      </w:r>
      <w:r w:rsidR="006D453A" w:rsidRPr="004F374B">
        <w:rPr>
          <w:sz w:val="23"/>
          <w:szCs w:val="23"/>
        </w:rPr>
        <w:t>ones</w:t>
      </w:r>
      <w:r w:rsidR="00C368B5" w:rsidRPr="004F374B">
        <w:rPr>
          <w:sz w:val="23"/>
          <w:szCs w:val="23"/>
        </w:rPr>
        <w:t xml:space="preserve"> N° 1</w:t>
      </w:r>
      <w:r w:rsidR="00361309" w:rsidRPr="004F374B">
        <w:rPr>
          <w:sz w:val="23"/>
          <w:szCs w:val="23"/>
        </w:rPr>
        <w:t xml:space="preserve"> y 5</w:t>
      </w:r>
      <w:r w:rsidR="00C368B5" w:rsidRPr="004F374B">
        <w:rPr>
          <w:sz w:val="23"/>
          <w:szCs w:val="23"/>
        </w:rPr>
        <w:t xml:space="preserve"> contiene</w:t>
      </w:r>
      <w:r w:rsidR="00765DD4" w:rsidRPr="004F374B">
        <w:rPr>
          <w:sz w:val="23"/>
          <w:szCs w:val="23"/>
        </w:rPr>
        <w:t>n</w:t>
      </w:r>
      <w:r w:rsidR="00C368B5" w:rsidRPr="004F374B">
        <w:rPr>
          <w:sz w:val="23"/>
          <w:szCs w:val="23"/>
        </w:rPr>
        <w:t xml:space="preserve"> extremos que constituyen solicitudes de información, supuesto no previsto en el artículo 58° del Reglamento; por lo que, este </w:t>
      </w:r>
      <w:r w:rsidR="00807FD5" w:rsidRPr="004F374B">
        <w:rPr>
          <w:sz w:val="23"/>
          <w:szCs w:val="23"/>
        </w:rPr>
        <w:t xml:space="preserve">Organismo Supervisor </w:t>
      </w:r>
      <w:r w:rsidR="00C368B5" w:rsidRPr="004F374B">
        <w:rPr>
          <w:sz w:val="23"/>
          <w:szCs w:val="23"/>
        </w:rPr>
        <w:t>no se pronunciará</w:t>
      </w:r>
      <w:r w:rsidR="006D453A" w:rsidRPr="004F374B">
        <w:rPr>
          <w:sz w:val="23"/>
          <w:szCs w:val="23"/>
        </w:rPr>
        <w:t xml:space="preserve"> acerca de tales extremos</w:t>
      </w:r>
      <w:r w:rsidR="00C368B5" w:rsidRPr="004F374B">
        <w:rPr>
          <w:sz w:val="23"/>
          <w:szCs w:val="23"/>
        </w:rPr>
        <w:t>.</w:t>
      </w:r>
      <w:r w:rsidR="00765DD4" w:rsidRPr="004F374B">
        <w:rPr>
          <w:sz w:val="23"/>
          <w:szCs w:val="23"/>
        </w:rPr>
        <w:t xml:space="preserve">  </w:t>
      </w:r>
    </w:p>
    <w:p w:rsidR="00765DD4" w:rsidRPr="004F374B" w:rsidRDefault="00765DD4" w:rsidP="006D5BF6">
      <w:pPr>
        <w:pStyle w:val="WW-Sangra3detindependiente"/>
        <w:widowControl/>
        <w:suppressAutoHyphens w:val="0"/>
        <w:ind w:left="2"/>
        <w:rPr>
          <w:sz w:val="23"/>
          <w:szCs w:val="23"/>
        </w:rPr>
      </w:pPr>
    </w:p>
    <w:p w:rsidR="006D453A" w:rsidRPr="004F374B" w:rsidRDefault="00765DD4" w:rsidP="006D5BF6">
      <w:pPr>
        <w:pStyle w:val="WW-Sangra3detindependiente"/>
        <w:widowControl/>
        <w:suppressAutoHyphens w:val="0"/>
        <w:ind w:left="2"/>
        <w:rPr>
          <w:sz w:val="23"/>
          <w:szCs w:val="23"/>
        </w:rPr>
      </w:pPr>
      <w:r w:rsidRPr="004F374B">
        <w:rPr>
          <w:sz w:val="23"/>
          <w:szCs w:val="23"/>
        </w:rPr>
        <w:t>Aunado a ello, en el caso de la Observación N° 1</w:t>
      </w:r>
      <w:r w:rsidR="006D453A" w:rsidRPr="004F374B">
        <w:rPr>
          <w:sz w:val="23"/>
          <w:szCs w:val="23"/>
        </w:rPr>
        <w:t xml:space="preserve">, </w:t>
      </w:r>
      <w:r w:rsidRPr="004F374B">
        <w:rPr>
          <w:sz w:val="23"/>
          <w:szCs w:val="23"/>
        </w:rPr>
        <w:t xml:space="preserve">conviene subrayar que </w:t>
      </w:r>
      <w:r w:rsidR="006D453A" w:rsidRPr="004F374B">
        <w:rPr>
          <w:sz w:val="23"/>
          <w:szCs w:val="23"/>
        </w:rPr>
        <w:t xml:space="preserve">si bien el Comité Especial al absolver el extremo que constituye una observación, manifestó que </w:t>
      </w:r>
      <w:r w:rsidRPr="004F374B">
        <w:rPr>
          <w:sz w:val="23"/>
          <w:szCs w:val="23"/>
        </w:rPr>
        <w:t xml:space="preserve">acogía parcialmente lo solicitado por el participante, se advierte que, en estricto, no acogió dicho extremo; por lo que, este Organismo Supervisor se pronunciará al respecto. </w:t>
      </w:r>
    </w:p>
    <w:p w:rsidR="006D453A" w:rsidRPr="004F374B" w:rsidRDefault="006D453A" w:rsidP="006D5BF6">
      <w:pPr>
        <w:pStyle w:val="WW-Sangra3detindependiente"/>
        <w:widowControl/>
        <w:suppressAutoHyphens w:val="0"/>
        <w:ind w:left="2"/>
        <w:rPr>
          <w:sz w:val="23"/>
          <w:szCs w:val="23"/>
        </w:rPr>
      </w:pPr>
    </w:p>
    <w:p w:rsidR="003E4385" w:rsidRPr="004F374B" w:rsidRDefault="003E4385" w:rsidP="006D5BF6">
      <w:pPr>
        <w:pStyle w:val="WW-Sangra3detindependiente"/>
        <w:widowControl/>
        <w:suppressAutoHyphens w:val="0"/>
        <w:ind w:left="2"/>
        <w:rPr>
          <w:sz w:val="23"/>
          <w:szCs w:val="23"/>
        </w:rPr>
      </w:pPr>
      <w:r w:rsidRPr="004F374B">
        <w:rPr>
          <w:sz w:val="23"/>
          <w:szCs w:val="23"/>
        </w:rPr>
        <w:t xml:space="preserve">Con relación a las Observaciones N° 3 y 7 se advierte que al absolver dichas observaciones el Comité Especial manifestó que acogía parcialmente lo solicitado por el participante, sin embargo, de la lectura del pliego absolutorio se advierte que acogió todos sus extremos, y que lo indicado por dicho colegiado no fue cuestionado por el participante en su solicitud de elevación; por lo que, este Organismo Supervisor no se pronunciará al respecto. </w:t>
      </w:r>
    </w:p>
    <w:p w:rsidR="003E4385" w:rsidRPr="004F374B" w:rsidRDefault="003E4385" w:rsidP="006D5BF6">
      <w:pPr>
        <w:pStyle w:val="WW-Sangra3detindependiente"/>
        <w:widowControl/>
        <w:suppressAutoHyphens w:val="0"/>
        <w:ind w:left="2"/>
        <w:rPr>
          <w:sz w:val="23"/>
          <w:szCs w:val="23"/>
        </w:rPr>
      </w:pPr>
    </w:p>
    <w:p w:rsidR="00C368B5" w:rsidRPr="004F374B" w:rsidRDefault="00C368B5" w:rsidP="006D5BF6">
      <w:pPr>
        <w:pStyle w:val="WW-Sangra3detindependiente"/>
        <w:widowControl/>
        <w:suppressAutoHyphens w:val="0"/>
        <w:ind w:left="2"/>
        <w:rPr>
          <w:sz w:val="23"/>
          <w:szCs w:val="23"/>
        </w:rPr>
      </w:pPr>
      <w:r w:rsidRPr="004F374B">
        <w:rPr>
          <w:sz w:val="23"/>
          <w:szCs w:val="23"/>
        </w:rPr>
        <w:t>Con r</w:t>
      </w:r>
      <w:r w:rsidR="003E4385" w:rsidRPr="004F374B">
        <w:rPr>
          <w:sz w:val="23"/>
          <w:szCs w:val="23"/>
        </w:rPr>
        <w:t xml:space="preserve">elación a las Observaciones N° </w:t>
      </w:r>
      <w:r w:rsidRPr="004F374B">
        <w:rPr>
          <w:sz w:val="23"/>
          <w:szCs w:val="23"/>
        </w:rPr>
        <w:t>4</w:t>
      </w:r>
      <w:r w:rsidR="003E4385" w:rsidRPr="004F374B">
        <w:rPr>
          <w:sz w:val="23"/>
          <w:szCs w:val="23"/>
        </w:rPr>
        <w:t xml:space="preserve"> </w:t>
      </w:r>
      <w:r w:rsidRPr="004F374B">
        <w:rPr>
          <w:sz w:val="23"/>
          <w:szCs w:val="23"/>
        </w:rPr>
        <w:t xml:space="preserve">y 8, se advierte que tales observaciones fueron acogidas por el Comité Especial y no fueron cuestionadas por el recurrente en su solicitud de elevación de observaciones, por lo que este Organismo Supervisor no se pronunciará al respecto.  </w:t>
      </w:r>
    </w:p>
    <w:p w:rsidR="00C07EE6" w:rsidRPr="004F374B" w:rsidRDefault="00C07EE6" w:rsidP="006D5BF6">
      <w:pPr>
        <w:pStyle w:val="WW-Sangra3detindependiente"/>
        <w:widowControl/>
        <w:suppressAutoHyphens w:val="0"/>
        <w:ind w:left="2"/>
        <w:rPr>
          <w:sz w:val="23"/>
          <w:szCs w:val="23"/>
        </w:rPr>
      </w:pPr>
    </w:p>
    <w:p w:rsidR="00C07EE6" w:rsidRPr="004F374B" w:rsidRDefault="00C07EE6" w:rsidP="006D5BF6">
      <w:pPr>
        <w:pStyle w:val="WW-Sangra3detindependiente"/>
        <w:widowControl/>
        <w:suppressAutoHyphens w:val="0"/>
        <w:ind w:left="2"/>
        <w:rPr>
          <w:sz w:val="23"/>
          <w:szCs w:val="23"/>
        </w:rPr>
      </w:pPr>
      <w:r w:rsidRPr="004F374B">
        <w:rPr>
          <w:sz w:val="23"/>
          <w:szCs w:val="23"/>
        </w:rPr>
        <w:t>Adicionalmente, conviene subrayar que el recurrente en su sol</w:t>
      </w:r>
      <w:r w:rsidR="00502F22" w:rsidRPr="004F374B">
        <w:rPr>
          <w:sz w:val="23"/>
          <w:szCs w:val="23"/>
        </w:rPr>
        <w:t>icitud de elevación señala que, habiéndose publicado el 17.MAR.2015 el pliego absolutorio de obs</w:t>
      </w:r>
      <w:r w:rsidR="003E4385" w:rsidRPr="004F374B">
        <w:rPr>
          <w:sz w:val="23"/>
          <w:szCs w:val="23"/>
        </w:rPr>
        <w:t>ervaciones, la Entidad el 08.ABR</w:t>
      </w:r>
      <w:r w:rsidR="00502F22" w:rsidRPr="004F374B">
        <w:rPr>
          <w:sz w:val="23"/>
          <w:szCs w:val="23"/>
        </w:rPr>
        <w:t>.2015 publica irregularmente un nuevo pliego, sin que exista acto administrativo que deje sin efecto la anterior absolución</w:t>
      </w:r>
      <w:r w:rsidR="00847DF2" w:rsidRPr="004F374B">
        <w:rPr>
          <w:sz w:val="23"/>
          <w:szCs w:val="23"/>
        </w:rPr>
        <w:t>. Al respecto, cabe señalar que, en la medida que dicho aspecto no constituye un cuestionamiento al contenido de las Bases</w:t>
      </w:r>
      <w:r w:rsidR="00502F22" w:rsidRPr="004F374B">
        <w:rPr>
          <w:sz w:val="23"/>
          <w:szCs w:val="23"/>
        </w:rPr>
        <w:t xml:space="preserve"> </w:t>
      </w:r>
      <w:r w:rsidR="00847DF2" w:rsidRPr="004F374B">
        <w:rPr>
          <w:sz w:val="23"/>
          <w:szCs w:val="23"/>
        </w:rPr>
        <w:t>que se sustente en la contravención de la normativa de contratación pública o norma conexa, este Organismo Supervisor no se pronunciará al respecto, dado que dicho supuesto no se encuentra previsto en el artículo 58° del Reglamento</w:t>
      </w:r>
      <w:r w:rsidR="00847DF2" w:rsidRPr="004F374B">
        <w:rPr>
          <w:rStyle w:val="Refdenotaalpie"/>
          <w:sz w:val="23"/>
          <w:szCs w:val="23"/>
        </w:rPr>
        <w:footnoteReference w:id="1"/>
      </w:r>
      <w:r w:rsidR="00847DF2" w:rsidRPr="004F374B">
        <w:rPr>
          <w:sz w:val="23"/>
          <w:szCs w:val="23"/>
        </w:rPr>
        <w:t xml:space="preserve">.  </w:t>
      </w:r>
    </w:p>
    <w:p w:rsidR="00C368B5" w:rsidRPr="004F374B" w:rsidRDefault="00C368B5" w:rsidP="006D5BF6">
      <w:pPr>
        <w:pStyle w:val="WW-Sangra3detindependiente"/>
        <w:widowControl/>
        <w:suppressAutoHyphens w:val="0"/>
        <w:ind w:left="0" w:firstLine="0"/>
        <w:rPr>
          <w:sz w:val="23"/>
          <w:szCs w:val="23"/>
        </w:rPr>
      </w:pPr>
    </w:p>
    <w:p w:rsidR="00F651BD" w:rsidRPr="004F374B" w:rsidRDefault="00F651BD" w:rsidP="006D5BF6">
      <w:pPr>
        <w:widowControl w:val="0"/>
        <w:numPr>
          <w:ilvl w:val="0"/>
          <w:numId w:val="1"/>
        </w:numPr>
        <w:spacing w:after="0" w:line="240" w:lineRule="auto"/>
        <w:ind w:left="426" w:hanging="426"/>
        <w:jc w:val="both"/>
        <w:rPr>
          <w:rFonts w:ascii="Times New Roman" w:eastAsia="Times New Roman" w:hAnsi="Times New Roman" w:cs="Times New Roman"/>
          <w:b/>
          <w:sz w:val="23"/>
          <w:szCs w:val="23"/>
          <w:lang w:val="es-MX" w:eastAsia="es-MX"/>
        </w:rPr>
      </w:pPr>
      <w:r w:rsidRPr="004F374B">
        <w:rPr>
          <w:rFonts w:ascii="Times New Roman" w:eastAsia="Times New Roman" w:hAnsi="Times New Roman" w:cs="Times New Roman"/>
          <w:b/>
          <w:sz w:val="23"/>
          <w:szCs w:val="23"/>
          <w:lang w:val="es-MX" w:eastAsia="es-MX"/>
        </w:rPr>
        <w:t xml:space="preserve">OBSERVACIONES </w:t>
      </w:r>
    </w:p>
    <w:p w:rsidR="00F651BD" w:rsidRPr="004F374B" w:rsidRDefault="00F651BD" w:rsidP="006D5BF6">
      <w:pPr>
        <w:widowControl w:val="0"/>
        <w:spacing w:after="0" w:line="240" w:lineRule="auto"/>
        <w:ind w:left="426"/>
        <w:jc w:val="both"/>
        <w:rPr>
          <w:rFonts w:ascii="Times New Roman" w:eastAsia="Times New Roman" w:hAnsi="Times New Roman" w:cs="Times New Roman"/>
          <w:sz w:val="23"/>
          <w:szCs w:val="23"/>
          <w:vertAlign w:val="superscript"/>
          <w:lang w:val="es-MX" w:eastAsia="es-ES"/>
        </w:rPr>
      </w:pPr>
    </w:p>
    <w:p w:rsidR="00F651BD" w:rsidRPr="004F374B" w:rsidRDefault="00F651BD" w:rsidP="006D5BF6">
      <w:pPr>
        <w:widowControl w:val="0"/>
        <w:spacing w:after="0" w:line="240" w:lineRule="auto"/>
        <w:ind w:left="3969" w:hanging="3969"/>
        <w:jc w:val="both"/>
        <w:rPr>
          <w:rFonts w:ascii="Times New Roman" w:eastAsia="Calibri" w:hAnsi="Times New Roman" w:cs="Times New Roman"/>
          <w:b/>
          <w:sz w:val="23"/>
          <w:szCs w:val="23"/>
          <w:lang w:eastAsia="en-US"/>
        </w:rPr>
      </w:pPr>
      <w:r w:rsidRPr="004F374B">
        <w:rPr>
          <w:rFonts w:ascii="Times New Roman" w:eastAsia="Times New Roman" w:hAnsi="Times New Roman" w:cs="Times New Roman"/>
          <w:b/>
          <w:sz w:val="23"/>
          <w:szCs w:val="23"/>
          <w:lang w:val="es-ES" w:eastAsia="es-MX"/>
        </w:rPr>
        <w:t>Observante</w:t>
      </w:r>
      <w:r w:rsidRPr="004F374B">
        <w:rPr>
          <w:rFonts w:ascii="Times New Roman" w:eastAsia="Times New Roman" w:hAnsi="Times New Roman" w:cs="Times New Roman"/>
          <w:b/>
          <w:sz w:val="23"/>
          <w:szCs w:val="23"/>
          <w:lang w:eastAsia="es-MX"/>
        </w:rPr>
        <w:t xml:space="preserve">: </w:t>
      </w:r>
      <w:r w:rsidRPr="004F374B">
        <w:rPr>
          <w:rFonts w:ascii="Times New Roman" w:eastAsia="Times New Roman" w:hAnsi="Times New Roman" w:cs="Times New Roman"/>
          <w:b/>
          <w:sz w:val="23"/>
          <w:szCs w:val="23"/>
          <w:lang w:eastAsia="es-MX"/>
        </w:rPr>
        <w:tab/>
      </w:r>
      <w:r w:rsidR="00807FD5" w:rsidRPr="004F374B">
        <w:rPr>
          <w:rFonts w:ascii="Times New Roman" w:eastAsia="Times New Roman" w:hAnsi="Times New Roman" w:cs="Times New Roman"/>
          <w:b/>
          <w:sz w:val="23"/>
          <w:szCs w:val="23"/>
          <w:lang w:eastAsia="es-MX"/>
        </w:rPr>
        <w:t xml:space="preserve"> </w:t>
      </w:r>
      <w:r w:rsidR="00A8433D" w:rsidRPr="004F374B">
        <w:rPr>
          <w:rFonts w:ascii="Times New Roman" w:eastAsia="Times New Roman" w:hAnsi="Times New Roman" w:cs="Times New Roman"/>
          <w:b/>
          <w:sz w:val="23"/>
          <w:szCs w:val="23"/>
          <w:lang w:eastAsia="es-MX"/>
        </w:rPr>
        <w:t xml:space="preserve">      </w:t>
      </w:r>
      <w:r w:rsidR="009500B2" w:rsidRPr="004F374B">
        <w:rPr>
          <w:rFonts w:ascii="Times New Roman" w:hAnsi="Times New Roman" w:cs="Times New Roman"/>
          <w:b/>
          <w:sz w:val="23"/>
          <w:szCs w:val="23"/>
        </w:rPr>
        <w:t>MOTORES DIESEL ANDINOS</w:t>
      </w:r>
      <w:r w:rsidR="00A8433D" w:rsidRPr="004F374B">
        <w:rPr>
          <w:rFonts w:ascii="Times New Roman" w:hAnsi="Times New Roman" w:cs="Times New Roman"/>
          <w:b/>
          <w:sz w:val="23"/>
          <w:szCs w:val="23"/>
        </w:rPr>
        <w:t xml:space="preserve"> SA</w:t>
      </w:r>
    </w:p>
    <w:p w:rsidR="00F651BD" w:rsidRPr="004F374B" w:rsidRDefault="00F651BD" w:rsidP="006D5BF6">
      <w:pPr>
        <w:widowControl w:val="0"/>
        <w:spacing w:after="0" w:line="240" w:lineRule="auto"/>
        <w:ind w:left="3969" w:hanging="3969"/>
        <w:jc w:val="both"/>
        <w:rPr>
          <w:rFonts w:ascii="Times New Roman" w:hAnsi="Times New Roman" w:cs="Times New Roman"/>
          <w:b/>
          <w:sz w:val="23"/>
          <w:szCs w:val="23"/>
        </w:rPr>
      </w:pPr>
    </w:p>
    <w:p w:rsidR="00F651BD" w:rsidRPr="004F374B" w:rsidRDefault="00671E87" w:rsidP="006D5BF6">
      <w:pPr>
        <w:widowControl w:val="0"/>
        <w:spacing w:after="0" w:line="240" w:lineRule="auto"/>
        <w:ind w:left="3969" w:hanging="3969"/>
        <w:jc w:val="both"/>
        <w:rPr>
          <w:rFonts w:ascii="Times New Roman" w:hAnsi="Times New Roman" w:cs="Times New Roman"/>
          <w:b/>
          <w:sz w:val="23"/>
          <w:szCs w:val="23"/>
        </w:rPr>
      </w:pPr>
      <w:r w:rsidRPr="004F374B">
        <w:rPr>
          <w:rFonts w:ascii="Times New Roman" w:hAnsi="Times New Roman" w:cs="Times New Roman"/>
          <w:b/>
          <w:sz w:val="23"/>
          <w:szCs w:val="23"/>
        </w:rPr>
        <w:t>Observaciones</w:t>
      </w:r>
      <w:r w:rsidR="00F651BD" w:rsidRPr="004F374B">
        <w:rPr>
          <w:rFonts w:ascii="Times New Roman" w:hAnsi="Times New Roman" w:cs="Times New Roman"/>
          <w:b/>
          <w:sz w:val="23"/>
          <w:szCs w:val="23"/>
        </w:rPr>
        <w:t xml:space="preserve"> N° 1</w:t>
      </w:r>
      <w:r w:rsidR="00584AB1" w:rsidRPr="004F374B">
        <w:rPr>
          <w:rFonts w:ascii="Times New Roman" w:hAnsi="Times New Roman" w:cs="Times New Roman"/>
          <w:b/>
          <w:sz w:val="23"/>
          <w:szCs w:val="23"/>
        </w:rPr>
        <w:t xml:space="preserve">, </w:t>
      </w:r>
      <w:r w:rsidRPr="004F374B">
        <w:rPr>
          <w:rFonts w:ascii="Times New Roman" w:hAnsi="Times New Roman" w:cs="Times New Roman"/>
          <w:b/>
          <w:sz w:val="23"/>
          <w:szCs w:val="23"/>
        </w:rPr>
        <w:t>2</w:t>
      </w:r>
      <w:r w:rsidR="00EA6F84" w:rsidRPr="004F374B">
        <w:rPr>
          <w:rFonts w:ascii="Times New Roman" w:hAnsi="Times New Roman" w:cs="Times New Roman"/>
          <w:b/>
          <w:sz w:val="23"/>
          <w:szCs w:val="23"/>
        </w:rPr>
        <w:t xml:space="preserve">, </w:t>
      </w:r>
      <w:r w:rsidR="00275057" w:rsidRPr="004F374B">
        <w:rPr>
          <w:rFonts w:ascii="Times New Roman" w:hAnsi="Times New Roman" w:cs="Times New Roman"/>
          <w:b/>
          <w:sz w:val="23"/>
          <w:szCs w:val="23"/>
        </w:rPr>
        <w:t>5 y</w:t>
      </w:r>
      <w:r w:rsidR="00361309" w:rsidRPr="004F374B">
        <w:rPr>
          <w:rFonts w:ascii="Times New Roman" w:hAnsi="Times New Roman" w:cs="Times New Roman"/>
          <w:b/>
          <w:sz w:val="23"/>
          <w:szCs w:val="23"/>
        </w:rPr>
        <w:t xml:space="preserve"> 6</w:t>
      </w:r>
      <w:r w:rsidR="00F651BD" w:rsidRPr="004F374B">
        <w:rPr>
          <w:rFonts w:ascii="Times New Roman" w:hAnsi="Times New Roman" w:cs="Times New Roman"/>
          <w:b/>
          <w:sz w:val="23"/>
          <w:szCs w:val="23"/>
        </w:rPr>
        <w:tab/>
      </w:r>
      <w:r w:rsidR="00807FD5" w:rsidRPr="004F374B">
        <w:rPr>
          <w:rFonts w:ascii="Times New Roman" w:hAnsi="Times New Roman" w:cs="Times New Roman"/>
          <w:b/>
          <w:sz w:val="23"/>
          <w:szCs w:val="23"/>
        </w:rPr>
        <w:t xml:space="preserve">            </w:t>
      </w:r>
      <w:r w:rsidR="00F651BD" w:rsidRPr="004F374B">
        <w:rPr>
          <w:rFonts w:ascii="Times New Roman" w:hAnsi="Times New Roman" w:cs="Times New Roman"/>
          <w:b/>
          <w:sz w:val="23"/>
          <w:szCs w:val="23"/>
        </w:rPr>
        <w:t xml:space="preserve">Contra </w:t>
      </w:r>
      <w:r w:rsidR="009500B2" w:rsidRPr="004F374B">
        <w:rPr>
          <w:rFonts w:ascii="Times New Roman" w:hAnsi="Times New Roman" w:cs="Times New Roman"/>
          <w:b/>
          <w:sz w:val="23"/>
          <w:szCs w:val="23"/>
        </w:rPr>
        <w:t xml:space="preserve">los factores de evaluación </w:t>
      </w:r>
    </w:p>
    <w:p w:rsidR="00F651BD" w:rsidRPr="004F374B" w:rsidRDefault="00F651BD" w:rsidP="006D5BF6">
      <w:pPr>
        <w:spacing w:after="0" w:line="240" w:lineRule="auto"/>
        <w:jc w:val="both"/>
        <w:rPr>
          <w:rFonts w:ascii="Times New Roman" w:hAnsi="Times New Roman" w:cs="Times New Roman"/>
          <w:sz w:val="23"/>
          <w:szCs w:val="23"/>
        </w:rPr>
      </w:pPr>
    </w:p>
    <w:p w:rsidR="00671E87" w:rsidRPr="004F374B" w:rsidRDefault="00671E87" w:rsidP="006D5BF6">
      <w:pPr>
        <w:spacing w:after="0" w:line="240" w:lineRule="auto"/>
        <w:jc w:val="both"/>
        <w:rPr>
          <w:rFonts w:ascii="Times New Roman" w:hAnsi="Times New Roman" w:cs="Times New Roman"/>
          <w:sz w:val="23"/>
          <w:szCs w:val="23"/>
        </w:rPr>
      </w:pPr>
      <w:r w:rsidRPr="004F374B">
        <w:rPr>
          <w:rFonts w:ascii="Times New Roman" w:hAnsi="Times New Roman" w:cs="Times New Roman"/>
          <w:sz w:val="23"/>
          <w:szCs w:val="23"/>
        </w:rPr>
        <w:t xml:space="preserve">El participante a través de las referidas observaciones cuestiona </w:t>
      </w:r>
      <w:r w:rsidR="00296D8E" w:rsidRPr="004F374B">
        <w:rPr>
          <w:rFonts w:ascii="Times New Roman" w:hAnsi="Times New Roman" w:cs="Times New Roman"/>
          <w:sz w:val="23"/>
          <w:szCs w:val="23"/>
        </w:rPr>
        <w:t>los factores de evaluación</w:t>
      </w:r>
      <w:r w:rsidRPr="004F374B">
        <w:rPr>
          <w:rFonts w:ascii="Times New Roman" w:hAnsi="Times New Roman" w:cs="Times New Roman"/>
          <w:sz w:val="23"/>
          <w:szCs w:val="23"/>
        </w:rPr>
        <w:t xml:space="preserve">, bajo los siguientes argumentos:  </w:t>
      </w:r>
    </w:p>
    <w:p w:rsidR="006533FF" w:rsidRPr="004F374B" w:rsidRDefault="006533FF" w:rsidP="006D5BF6">
      <w:pPr>
        <w:spacing w:after="0" w:line="240" w:lineRule="auto"/>
        <w:jc w:val="both"/>
        <w:rPr>
          <w:rFonts w:ascii="Times New Roman" w:hAnsi="Times New Roman" w:cs="Times New Roman"/>
          <w:sz w:val="23"/>
          <w:szCs w:val="23"/>
        </w:rPr>
      </w:pPr>
    </w:p>
    <w:p w:rsidR="00160682" w:rsidRPr="004F374B" w:rsidRDefault="006533FF" w:rsidP="006D5BF6">
      <w:pPr>
        <w:pStyle w:val="Prrafodelista"/>
        <w:numPr>
          <w:ilvl w:val="0"/>
          <w:numId w:val="17"/>
        </w:numPr>
        <w:spacing w:after="0" w:line="240" w:lineRule="auto"/>
        <w:jc w:val="both"/>
        <w:rPr>
          <w:rFonts w:ascii="Times New Roman" w:hAnsi="Times New Roman" w:cs="Times New Roman"/>
          <w:sz w:val="23"/>
          <w:szCs w:val="23"/>
        </w:rPr>
      </w:pPr>
      <w:r w:rsidRPr="004F374B">
        <w:rPr>
          <w:rFonts w:ascii="Times New Roman" w:hAnsi="Times New Roman" w:cs="Times New Roman"/>
          <w:sz w:val="23"/>
          <w:szCs w:val="23"/>
        </w:rPr>
        <w:t>A través de la</w:t>
      </w:r>
      <w:r w:rsidR="00275057" w:rsidRPr="004F374B">
        <w:rPr>
          <w:rFonts w:ascii="Times New Roman" w:hAnsi="Times New Roman" w:cs="Times New Roman"/>
          <w:sz w:val="23"/>
          <w:szCs w:val="23"/>
        </w:rPr>
        <w:t>s</w:t>
      </w:r>
      <w:r w:rsidR="00C07EE6" w:rsidRPr="004F374B">
        <w:rPr>
          <w:rFonts w:ascii="Times New Roman" w:hAnsi="Times New Roman" w:cs="Times New Roman"/>
          <w:sz w:val="23"/>
          <w:szCs w:val="23"/>
        </w:rPr>
        <w:t xml:space="preserve"> Observaciones</w:t>
      </w:r>
      <w:r w:rsidRPr="004F374B">
        <w:rPr>
          <w:rFonts w:ascii="Times New Roman" w:hAnsi="Times New Roman" w:cs="Times New Roman"/>
          <w:sz w:val="23"/>
          <w:szCs w:val="23"/>
        </w:rPr>
        <w:t xml:space="preserve">  N° 1</w:t>
      </w:r>
      <w:r w:rsidR="00275057" w:rsidRPr="004F374B">
        <w:rPr>
          <w:rFonts w:ascii="Times New Roman" w:hAnsi="Times New Roman" w:cs="Times New Roman"/>
          <w:sz w:val="23"/>
          <w:szCs w:val="23"/>
        </w:rPr>
        <w:t xml:space="preserve"> y </w:t>
      </w:r>
      <w:r w:rsidR="006123CC">
        <w:rPr>
          <w:rFonts w:ascii="Times New Roman" w:hAnsi="Times New Roman" w:cs="Times New Roman"/>
          <w:sz w:val="23"/>
          <w:szCs w:val="23"/>
        </w:rPr>
        <w:t xml:space="preserve">N° </w:t>
      </w:r>
      <w:r w:rsidR="00275057" w:rsidRPr="004F374B">
        <w:rPr>
          <w:rFonts w:ascii="Times New Roman" w:hAnsi="Times New Roman" w:cs="Times New Roman"/>
          <w:sz w:val="23"/>
          <w:szCs w:val="23"/>
        </w:rPr>
        <w:t>5</w:t>
      </w:r>
      <w:r w:rsidRPr="004F374B">
        <w:rPr>
          <w:rFonts w:ascii="Times New Roman" w:hAnsi="Times New Roman" w:cs="Times New Roman"/>
          <w:sz w:val="23"/>
          <w:szCs w:val="23"/>
        </w:rPr>
        <w:t xml:space="preserve">, </w:t>
      </w:r>
      <w:r w:rsidR="00C26AA0" w:rsidRPr="004F374B">
        <w:rPr>
          <w:rFonts w:ascii="Times New Roman" w:hAnsi="Times New Roman" w:cs="Times New Roman"/>
          <w:sz w:val="23"/>
          <w:szCs w:val="23"/>
        </w:rPr>
        <w:t xml:space="preserve">cuestiona el criterio de calificación del </w:t>
      </w:r>
      <w:r w:rsidR="00160682" w:rsidRPr="004F374B">
        <w:rPr>
          <w:rFonts w:ascii="Times New Roman" w:hAnsi="Times New Roman" w:cs="Times New Roman"/>
          <w:sz w:val="23"/>
          <w:szCs w:val="23"/>
        </w:rPr>
        <w:t>sub</w:t>
      </w:r>
      <w:r w:rsidR="00C26AA0" w:rsidRPr="004F374B">
        <w:rPr>
          <w:rFonts w:ascii="Times New Roman" w:hAnsi="Times New Roman" w:cs="Times New Roman"/>
          <w:sz w:val="23"/>
          <w:szCs w:val="23"/>
        </w:rPr>
        <w:t>factor “Mejora 2”</w:t>
      </w:r>
      <w:r w:rsidR="00940753" w:rsidRPr="004F374B">
        <w:rPr>
          <w:rFonts w:ascii="Times New Roman" w:hAnsi="Times New Roman" w:cs="Times New Roman"/>
          <w:sz w:val="23"/>
          <w:szCs w:val="23"/>
        </w:rPr>
        <w:t>,</w:t>
      </w:r>
      <w:r w:rsidR="00C26AA0" w:rsidRPr="004F374B">
        <w:rPr>
          <w:rFonts w:ascii="Times New Roman" w:hAnsi="Times New Roman" w:cs="Times New Roman"/>
          <w:sz w:val="23"/>
          <w:szCs w:val="23"/>
        </w:rPr>
        <w:t xml:space="preserve"> </w:t>
      </w:r>
      <w:r w:rsidR="00275057" w:rsidRPr="004F374B">
        <w:rPr>
          <w:rFonts w:ascii="Times New Roman" w:hAnsi="Times New Roman" w:cs="Times New Roman"/>
          <w:sz w:val="23"/>
          <w:szCs w:val="23"/>
        </w:rPr>
        <w:t xml:space="preserve">tanto </w:t>
      </w:r>
      <w:r w:rsidR="00C26AA0" w:rsidRPr="004F374B">
        <w:rPr>
          <w:rFonts w:ascii="Times New Roman" w:hAnsi="Times New Roman" w:cs="Times New Roman"/>
          <w:sz w:val="23"/>
          <w:szCs w:val="23"/>
        </w:rPr>
        <w:t>del ítem 1</w:t>
      </w:r>
      <w:r w:rsidR="00275057" w:rsidRPr="004F374B">
        <w:rPr>
          <w:rFonts w:ascii="Times New Roman" w:hAnsi="Times New Roman" w:cs="Times New Roman"/>
          <w:sz w:val="23"/>
          <w:szCs w:val="23"/>
        </w:rPr>
        <w:t xml:space="preserve"> como 2</w:t>
      </w:r>
      <w:r w:rsidR="00C26AA0" w:rsidRPr="004F374B">
        <w:rPr>
          <w:rFonts w:ascii="Times New Roman" w:hAnsi="Times New Roman" w:cs="Times New Roman"/>
          <w:sz w:val="23"/>
          <w:szCs w:val="23"/>
        </w:rPr>
        <w:t xml:space="preserve">, pues sostiene que se estaría </w:t>
      </w:r>
      <w:r w:rsidR="00296D8E" w:rsidRPr="004F374B">
        <w:rPr>
          <w:rFonts w:ascii="Times New Roman" w:hAnsi="Times New Roman" w:cs="Times New Roman"/>
          <w:sz w:val="23"/>
          <w:szCs w:val="23"/>
        </w:rPr>
        <w:t xml:space="preserve">otorgando puntaje a un motor de cilindrada </w:t>
      </w:r>
      <w:r w:rsidR="00FF12A2" w:rsidRPr="004F374B">
        <w:rPr>
          <w:rFonts w:ascii="Times New Roman" w:hAnsi="Times New Roman" w:cs="Times New Roman"/>
          <w:sz w:val="23"/>
          <w:szCs w:val="23"/>
        </w:rPr>
        <w:t xml:space="preserve">4500 cc </w:t>
      </w:r>
      <w:r w:rsidR="00296D8E" w:rsidRPr="004F374B">
        <w:rPr>
          <w:rFonts w:ascii="Times New Roman" w:hAnsi="Times New Roman" w:cs="Times New Roman"/>
          <w:sz w:val="23"/>
          <w:szCs w:val="23"/>
        </w:rPr>
        <w:t xml:space="preserve">que se esforzaría mucho más que un motor de 6 cilindros y con más de 6000 cc, </w:t>
      </w:r>
      <w:r w:rsidR="00C26AA0" w:rsidRPr="004F374B">
        <w:rPr>
          <w:rFonts w:ascii="Times New Roman" w:hAnsi="Times New Roman" w:cs="Times New Roman"/>
          <w:sz w:val="23"/>
          <w:szCs w:val="23"/>
        </w:rPr>
        <w:t xml:space="preserve">lo cual resulta contradictorio y beneficiaria a un solo postor.  </w:t>
      </w:r>
    </w:p>
    <w:p w:rsidR="00160682" w:rsidRPr="004F374B" w:rsidRDefault="00160682" w:rsidP="006D5BF6">
      <w:pPr>
        <w:pStyle w:val="Prrafodelista"/>
        <w:spacing w:after="0" w:line="240" w:lineRule="auto"/>
        <w:ind w:left="720"/>
        <w:jc w:val="both"/>
        <w:rPr>
          <w:rFonts w:ascii="Times New Roman" w:hAnsi="Times New Roman" w:cs="Times New Roman"/>
          <w:sz w:val="23"/>
          <w:szCs w:val="23"/>
        </w:rPr>
      </w:pPr>
    </w:p>
    <w:p w:rsidR="00160682" w:rsidRPr="004F374B" w:rsidRDefault="00160682" w:rsidP="006D5BF6">
      <w:pPr>
        <w:pStyle w:val="Prrafodelista"/>
        <w:spacing w:after="0" w:line="240" w:lineRule="auto"/>
        <w:ind w:left="720"/>
        <w:jc w:val="both"/>
        <w:rPr>
          <w:rFonts w:ascii="Times New Roman" w:hAnsi="Times New Roman" w:cs="Times New Roman"/>
          <w:sz w:val="23"/>
          <w:szCs w:val="23"/>
        </w:rPr>
      </w:pPr>
      <w:r w:rsidRPr="004F374B">
        <w:rPr>
          <w:rFonts w:ascii="Times New Roman" w:hAnsi="Times New Roman" w:cs="Times New Roman"/>
          <w:sz w:val="23"/>
          <w:szCs w:val="23"/>
        </w:rPr>
        <w:t>Asimismo, agrega que el motor de 4 cilindradas del postor beneficiado es de 405 kg y el motor de su representada es 6 cilindrada de 570</w:t>
      </w:r>
      <w:r w:rsidR="004F374B" w:rsidRPr="004F374B">
        <w:rPr>
          <w:rFonts w:ascii="Times New Roman" w:hAnsi="Times New Roman" w:cs="Times New Roman"/>
          <w:sz w:val="23"/>
          <w:szCs w:val="23"/>
        </w:rPr>
        <w:t xml:space="preserve"> kg</w:t>
      </w:r>
      <w:r w:rsidRPr="004F374B">
        <w:rPr>
          <w:rFonts w:ascii="Times New Roman" w:hAnsi="Times New Roman" w:cs="Times New Roman"/>
          <w:sz w:val="23"/>
          <w:szCs w:val="23"/>
        </w:rPr>
        <w:t xml:space="preserve">, diferencia (175 kg) que, según indica, no es significativa ni relevante para el incremento del consumo de combustible, debido a que dicho peso es absorbido por el diseño liviano de su carrocería. Además, indica que el consumo del combustible no está en función directa de la cantidad de cilindrada </w:t>
      </w:r>
    </w:p>
    <w:p w:rsidR="00160682" w:rsidRPr="004F374B" w:rsidRDefault="00160682" w:rsidP="006D5BF6">
      <w:pPr>
        <w:pStyle w:val="Prrafodelista"/>
        <w:spacing w:after="0" w:line="240" w:lineRule="auto"/>
        <w:ind w:left="720"/>
        <w:jc w:val="both"/>
        <w:rPr>
          <w:rFonts w:ascii="Times New Roman" w:hAnsi="Times New Roman" w:cs="Times New Roman"/>
          <w:sz w:val="23"/>
          <w:szCs w:val="23"/>
        </w:rPr>
      </w:pPr>
    </w:p>
    <w:p w:rsidR="00160682" w:rsidRPr="004F374B" w:rsidRDefault="00160682" w:rsidP="006D5BF6">
      <w:pPr>
        <w:pStyle w:val="Prrafodelista"/>
        <w:spacing w:after="0" w:line="240" w:lineRule="auto"/>
        <w:ind w:left="720"/>
        <w:jc w:val="both"/>
        <w:rPr>
          <w:rFonts w:ascii="Times New Roman" w:hAnsi="Times New Roman" w:cs="Times New Roman"/>
          <w:sz w:val="23"/>
          <w:szCs w:val="23"/>
        </w:rPr>
      </w:pPr>
      <w:r w:rsidRPr="004F374B">
        <w:rPr>
          <w:rFonts w:ascii="Times New Roman" w:hAnsi="Times New Roman" w:cs="Times New Roman"/>
          <w:sz w:val="23"/>
          <w:szCs w:val="23"/>
        </w:rPr>
        <w:t xml:space="preserve">En ese sentido, señala que el criterio de calificación es incorrecto y limita la pluralidad de postores que pueden presentar una mayor cantidad de cilindros sin limitar los costos de operación que se mencionan.  </w:t>
      </w:r>
    </w:p>
    <w:p w:rsidR="00160682" w:rsidRPr="004F374B" w:rsidRDefault="00160682" w:rsidP="006D5BF6">
      <w:pPr>
        <w:pStyle w:val="Prrafodelista"/>
        <w:spacing w:after="0" w:line="240" w:lineRule="auto"/>
        <w:ind w:left="720"/>
        <w:jc w:val="both"/>
        <w:rPr>
          <w:rFonts w:ascii="Times New Roman" w:hAnsi="Times New Roman" w:cs="Times New Roman"/>
          <w:sz w:val="23"/>
          <w:szCs w:val="23"/>
        </w:rPr>
      </w:pPr>
    </w:p>
    <w:p w:rsidR="00160682" w:rsidRPr="004F374B" w:rsidRDefault="00160682" w:rsidP="006D5BF6">
      <w:pPr>
        <w:pStyle w:val="Prrafodelista"/>
        <w:spacing w:after="0" w:line="240" w:lineRule="auto"/>
        <w:ind w:left="720"/>
        <w:jc w:val="both"/>
        <w:rPr>
          <w:rFonts w:ascii="Times New Roman" w:hAnsi="Times New Roman" w:cs="Times New Roman"/>
          <w:sz w:val="23"/>
          <w:szCs w:val="23"/>
        </w:rPr>
      </w:pPr>
      <w:r w:rsidRPr="004F374B">
        <w:rPr>
          <w:rFonts w:ascii="Times New Roman" w:hAnsi="Times New Roman" w:cs="Times New Roman"/>
          <w:sz w:val="23"/>
          <w:szCs w:val="23"/>
        </w:rPr>
        <w:t>De lo expuesto, se desprende que solicitaría reformular el criterio de calificación del referido factor de evaluación</w:t>
      </w:r>
      <w:r w:rsidR="00FF12A2" w:rsidRPr="004F374B">
        <w:rPr>
          <w:rFonts w:ascii="Times New Roman" w:hAnsi="Times New Roman" w:cs="Times New Roman"/>
          <w:sz w:val="23"/>
          <w:szCs w:val="23"/>
        </w:rPr>
        <w:t xml:space="preserve">, de manera tal que la Entidad pueda acreditar la </w:t>
      </w:r>
      <w:r w:rsidR="00FF12A2" w:rsidRPr="004F374B">
        <w:rPr>
          <w:rFonts w:ascii="Times New Roman" w:hAnsi="Times New Roman" w:cs="Times New Roman"/>
          <w:sz w:val="23"/>
          <w:szCs w:val="23"/>
        </w:rPr>
        <w:lastRenderedPageBreak/>
        <w:t>pluralidad de proveedores en la capacidad de cumplir con dicho criterio de calificación</w:t>
      </w:r>
      <w:r w:rsidRPr="004F374B">
        <w:rPr>
          <w:rFonts w:ascii="Times New Roman" w:hAnsi="Times New Roman" w:cs="Times New Roman"/>
          <w:sz w:val="23"/>
          <w:szCs w:val="23"/>
        </w:rPr>
        <w:t xml:space="preserve">.  </w:t>
      </w:r>
    </w:p>
    <w:p w:rsidR="00160682" w:rsidRPr="004F374B" w:rsidRDefault="00160682" w:rsidP="006D5BF6">
      <w:pPr>
        <w:pStyle w:val="Prrafodelista"/>
        <w:spacing w:after="0" w:line="240" w:lineRule="auto"/>
        <w:ind w:left="720"/>
        <w:jc w:val="both"/>
        <w:rPr>
          <w:rFonts w:ascii="Times New Roman" w:hAnsi="Times New Roman" w:cs="Times New Roman"/>
          <w:sz w:val="23"/>
          <w:szCs w:val="23"/>
        </w:rPr>
      </w:pPr>
    </w:p>
    <w:p w:rsidR="000557BB" w:rsidRPr="004F374B" w:rsidRDefault="00275057" w:rsidP="006D5BF6">
      <w:pPr>
        <w:pStyle w:val="Prrafodelista"/>
        <w:numPr>
          <w:ilvl w:val="0"/>
          <w:numId w:val="17"/>
        </w:numPr>
        <w:spacing w:after="0" w:line="240" w:lineRule="auto"/>
        <w:jc w:val="both"/>
        <w:rPr>
          <w:rFonts w:ascii="Times New Roman" w:hAnsi="Times New Roman" w:cs="Times New Roman"/>
          <w:sz w:val="23"/>
          <w:szCs w:val="23"/>
        </w:rPr>
      </w:pPr>
      <w:r w:rsidRPr="004F374B">
        <w:rPr>
          <w:rFonts w:ascii="Times New Roman" w:hAnsi="Times New Roman" w:cs="Times New Roman"/>
          <w:sz w:val="23"/>
          <w:szCs w:val="23"/>
        </w:rPr>
        <w:t xml:space="preserve">A través de la Observación N° 2 y </w:t>
      </w:r>
      <w:r w:rsidR="006123CC">
        <w:rPr>
          <w:rFonts w:ascii="Times New Roman" w:hAnsi="Times New Roman" w:cs="Times New Roman"/>
          <w:sz w:val="23"/>
          <w:szCs w:val="23"/>
        </w:rPr>
        <w:t xml:space="preserve">N° </w:t>
      </w:r>
      <w:r w:rsidRPr="004F374B">
        <w:rPr>
          <w:rFonts w:ascii="Times New Roman" w:hAnsi="Times New Roman" w:cs="Times New Roman"/>
          <w:sz w:val="23"/>
          <w:szCs w:val="23"/>
        </w:rPr>
        <w:t>6</w:t>
      </w:r>
      <w:r w:rsidR="00514DB7" w:rsidRPr="004F374B">
        <w:rPr>
          <w:rFonts w:ascii="Times New Roman" w:hAnsi="Times New Roman" w:cs="Times New Roman"/>
          <w:sz w:val="23"/>
          <w:szCs w:val="23"/>
        </w:rPr>
        <w:t xml:space="preserve">, </w:t>
      </w:r>
      <w:r w:rsidR="00974C65" w:rsidRPr="004F374B">
        <w:rPr>
          <w:rFonts w:ascii="Times New Roman" w:hAnsi="Times New Roman" w:cs="Times New Roman"/>
          <w:sz w:val="23"/>
          <w:szCs w:val="23"/>
        </w:rPr>
        <w:t xml:space="preserve">cuestiona el criterio de calificación del </w:t>
      </w:r>
      <w:r w:rsidR="00160682" w:rsidRPr="004F374B">
        <w:rPr>
          <w:rFonts w:ascii="Times New Roman" w:hAnsi="Times New Roman" w:cs="Times New Roman"/>
          <w:sz w:val="23"/>
          <w:szCs w:val="23"/>
        </w:rPr>
        <w:t>sub</w:t>
      </w:r>
      <w:r w:rsidR="00974C65" w:rsidRPr="004F374B">
        <w:rPr>
          <w:rFonts w:ascii="Times New Roman" w:hAnsi="Times New Roman" w:cs="Times New Roman"/>
          <w:sz w:val="23"/>
          <w:szCs w:val="23"/>
        </w:rPr>
        <w:t>factor “</w:t>
      </w:r>
      <w:r w:rsidR="00C07EE6" w:rsidRPr="004F374B">
        <w:rPr>
          <w:rFonts w:ascii="Times New Roman" w:hAnsi="Times New Roman" w:cs="Times New Roman"/>
          <w:sz w:val="23"/>
          <w:szCs w:val="23"/>
        </w:rPr>
        <w:t xml:space="preserve">Mejoras 3: </w:t>
      </w:r>
      <w:r w:rsidR="00974C65" w:rsidRPr="004F374B">
        <w:rPr>
          <w:rFonts w:ascii="Times New Roman" w:hAnsi="Times New Roman" w:cs="Times New Roman"/>
          <w:sz w:val="23"/>
          <w:szCs w:val="23"/>
        </w:rPr>
        <w:t>Tren Motriz”</w:t>
      </w:r>
      <w:r w:rsidRPr="004F374B">
        <w:rPr>
          <w:rFonts w:ascii="Times New Roman" w:hAnsi="Times New Roman" w:cs="Times New Roman"/>
          <w:sz w:val="23"/>
          <w:szCs w:val="23"/>
        </w:rPr>
        <w:t xml:space="preserve">, tanto del </w:t>
      </w:r>
      <w:r w:rsidR="00940753" w:rsidRPr="004F374B">
        <w:rPr>
          <w:rFonts w:ascii="Times New Roman" w:hAnsi="Times New Roman" w:cs="Times New Roman"/>
          <w:sz w:val="23"/>
          <w:szCs w:val="23"/>
        </w:rPr>
        <w:t>ítem 1</w:t>
      </w:r>
      <w:r w:rsidRPr="004F374B">
        <w:rPr>
          <w:rFonts w:ascii="Times New Roman" w:hAnsi="Times New Roman" w:cs="Times New Roman"/>
          <w:sz w:val="23"/>
          <w:szCs w:val="23"/>
        </w:rPr>
        <w:t xml:space="preserve"> como 2</w:t>
      </w:r>
      <w:r w:rsidR="00940753" w:rsidRPr="004F374B">
        <w:rPr>
          <w:rFonts w:ascii="Times New Roman" w:hAnsi="Times New Roman" w:cs="Times New Roman"/>
          <w:sz w:val="23"/>
          <w:szCs w:val="23"/>
        </w:rPr>
        <w:t xml:space="preserve">, pues sostienen que éste contiene valores precisos que muestran un claro direccionamiento hacia una determinada marca, sin que exista estudio </w:t>
      </w:r>
      <w:r w:rsidR="000557BB" w:rsidRPr="004F374B">
        <w:rPr>
          <w:rFonts w:ascii="Times New Roman" w:hAnsi="Times New Roman" w:cs="Times New Roman"/>
          <w:sz w:val="23"/>
          <w:szCs w:val="23"/>
        </w:rPr>
        <w:t xml:space="preserve">del mercado que evidencia la pluralidad de proveedores y/o marcas  que puedan cumplir con estas características, lo cual contraviene la normativa de contratación  pública. </w:t>
      </w:r>
    </w:p>
    <w:p w:rsidR="000557BB" w:rsidRPr="004F374B" w:rsidRDefault="000557BB" w:rsidP="006D5BF6">
      <w:pPr>
        <w:pStyle w:val="Prrafodelista"/>
        <w:spacing w:after="0" w:line="240" w:lineRule="auto"/>
        <w:ind w:left="720"/>
        <w:jc w:val="both"/>
        <w:rPr>
          <w:rFonts w:ascii="Times New Roman" w:hAnsi="Times New Roman" w:cs="Times New Roman"/>
          <w:sz w:val="23"/>
          <w:szCs w:val="23"/>
        </w:rPr>
      </w:pPr>
    </w:p>
    <w:p w:rsidR="00160682" w:rsidRPr="004F374B" w:rsidRDefault="000557BB" w:rsidP="006D5BF6">
      <w:pPr>
        <w:pStyle w:val="Prrafodelista"/>
        <w:spacing w:after="0" w:line="240" w:lineRule="auto"/>
        <w:ind w:left="720"/>
        <w:jc w:val="both"/>
        <w:rPr>
          <w:rFonts w:ascii="Times New Roman" w:hAnsi="Times New Roman" w:cs="Times New Roman"/>
          <w:sz w:val="23"/>
          <w:szCs w:val="23"/>
        </w:rPr>
      </w:pPr>
      <w:r w:rsidRPr="004F374B">
        <w:rPr>
          <w:rFonts w:ascii="Times New Roman" w:hAnsi="Times New Roman" w:cs="Times New Roman"/>
          <w:sz w:val="23"/>
          <w:szCs w:val="23"/>
        </w:rPr>
        <w:t xml:space="preserve">Asimismo, señala que otorgar el máximo puntaje aquel que oferte motor, caja y corona de la misma marca del chasis tanto en calidad como utilidad o performance de los vehículos en la garantía, ya que los principales fabricantes de vehículos en el mundo usan motores, cajas de cambio, ejes de diferentes marcas de fabricantes especializados en caso uno de tales componentes, lo cual contraviene lo dispuesto en el artículo 44° del Reglamento. </w:t>
      </w:r>
    </w:p>
    <w:p w:rsidR="00160682" w:rsidRPr="004F374B" w:rsidRDefault="00160682" w:rsidP="006D5BF6">
      <w:pPr>
        <w:pStyle w:val="Prrafodelista"/>
        <w:spacing w:after="0" w:line="240" w:lineRule="auto"/>
        <w:ind w:left="720"/>
        <w:jc w:val="both"/>
        <w:rPr>
          <w:rFonts w:ascii="Times New Roman" w:hAnsi="Times New Roman" w:cs="Times New Roman"/>
          <w:sz w:val="23"/>
          <w:szCs w:val="23"/>
        </w:rPr>
      </w:pPr>
    </w:p>
    <w:p w:rsidR="00514DB7" w:rsidRPr="004F374B" w:rsidRDefault="00160682" w:rsidP="006D5BF6">
      <w:pPr>
        <w:pStyle w:val="Prrafodelista"/>
        <w:spacing w:after="0" w:line="240" w:lineRule="auto"/>
        <w:ind w:left="720"/>
        <w:jc w:val="both"/>
        <w:rPr>
          <w:rFonts w:ascii="Times New Roman" w:hAnsi="Times New Roman" w:cs="Times New Roman"/>
          <w:sz w:val="23"/>
          <w:szCs w:val="23"/>
        </w:rPr>
      </w:pPr>
      <w:r w:rsidRPr="004F374B">
        <w:rPr>
          <w:rFonts w:ascii="Times New Roman" w:hAnsi="Times New Roman" w:cs="Times New Roman"/>
          <w:sz w:val="23"/>
          <w:szCs w:val="23"/>
        </w:rPr>
        <w:t xml:space="preserve">De lo expuesto, se desprende que solicitaría eliminar el referido subfactor de evaluación.   </w:t>
      </w:r>
    </w:p>
    <w:p w:rsidR="006D5BF6" w:rsidRPr="004F374B" w:rsidRDefault="006D5BF6" w:rsidP="006D5BF6">
      <w:pPr>
        <w:pStyle w:val="Prrafodelista"/>
        <w:spacing w:after="0" w:line="240" w:lineRule="auto"/>
        <w:ind w:left="720"/>
        <w:jc w:val="both"/>
        <w:rPr>
          <w:rFonts w:ascii="Times New Roman" w:hAnsi="Times New Roman" w:cs="Times New Roman"/>
          <w:sz w:val="23"/>
          <w:szCs w:val="23"/>
        </w:rPr>
      </w:pPr>
    </w:p>
    <w:p w:rsidR="00160682" w:rsidRPr="004F374B" w:rsidRDefault="00160682" w:rsidP="006D5BF6">
      <w:pPr>
        <w:spacing w:after="0" w:line="240" w:lineRule="auto"/>
        <w:jc w:val="both"/>
        <w:rPr>
          <w:rFonts w:ascii="Times New Roman" w:hAnsi="Times New Roman" w:cs="Times New Roman"/>
          <w:b/>
          <w:sz w:val="23"/>
          <w:szCs w:val="23"/>
        </w:rPr>
      </w:pPr>
      <w:r w:rsidRPr="004F374B">
        <w:rPr>
          <w:rFonts w:ascii="Times New Roman" w:hAnsi="Times New Roman" w:cs="Times New Roman"/>
          <w:b/>
          <w:sz w:val="23"/>
          <w:szCs w:val="23"/>
        </w:rPr>
        <w:t xml:space="preserve">Pronunciamiento </w:t>
      </w:r>
    </w:p>
    <w:p w:rsidR="00160682" w:rsidRPr="004F374B" w:rsidRDefault="00160682" w:rsidP="006D5BF6">
      <w:pPr>
        <w:spacing w:after="0" w:line="240" w:lineRule="auto"/>
        <w:jc w:val="both"/>
        <w:rPr>
          <w:rFonts w:ascii="Times New Roman" w:hAnsi="Times New Roman" w:cs="Times New Roman"/>
          <w:sz w:val="23"/>
          <w:szCs w:val="23"/>
        </w:rPr>
      </w:pPr>
    </w:p>
    <w:p w:rsidR="00572488" w:rsidRPr="004F374B" w:rsidRDefault="00572488" w:rsidP="006D5BF6">
      <w:pPr>
        <w:spacing w:after="0" w:line="240" w:lineRule="auto"/>
        <w:jc w:val="both"/>
        <w:rPr>
          <w:rFonts w:ascii="Times New Roman" w:hAnsi="Times New Roman" w:cs="Times New Roman"/>
          <w:sz w:val="23"/>
          <w:szCs w:val="23"/>
        </w:rPr>
      </w:pPr>
      <w:r w:rsidRPr="004F374B">
        <w:rPr>
          <w:rFonts w:ascii="Times New Roman" w:hAnsi="Times New Roman" w:cs="Times New Roman"/>
          <w:sz w:val="23"/>
          <w:szCs w:val="23"/>
        </w:rPr>
        <w:t xml:space="preserve">De la revisión de las Bases se advierte que, como parte de las características técnicas del ítem 1 y 2, se señala que la cilindrada será mínimo 4500 cc. </w:t>
      </w:r>
    </w:p>
    <w:p w:rsidR="00572488" w:rsidRPr="004F374B" w:rsidRDefault="00572488" w:rsidP="006D5BF6">
      <w:pPr>
        <w:spacing w:after="0" w:line="240" w:lineRule="auto"/>
        <w:jc w:val="both"/>
        <w:rPr>
          <w:rFonts w:ascii="Times New Roman" w:hAnsi="Times New Roman" w:cs="Times New Roman"/>
          <w:sz w:val="23"/>
          <w:szCs w:val="23"/>
        </w:rPr>
      </w:pPr>
    </w:p>
    <w:p w:rsidR="00B40E41" w:rsidRPr="004F374B" w:rsidRDefault="006B7EAE" w:rsidP="006D5BF6">
      <w:pPr>
        <w:spacing w:after="0" w:line="240" w:lineRule="auto"/>
        <w:jc w:val="both"/>
        <w:rPr>
          <w:rFonts w:ascii="Times New Roman" w:hAnsi="Times New Roman" w:cs="Times New Roman"/>
          <w:sz w:val="23"/>
          <w:szCs w:val="23"/>
        </w:rPr>
      </w:pPr>
      <w:r w:rsidRPr="004F374B">
        <w:rPr>
          <w:rFonts w:ascii="Times New Roman" w:hAnsi="Times New Roman" w:cs="Times New Roman"/>
          <w:sz w:val="23"/>
          <w:szCs w:val="23"/>
        </w:rPr>
        <w:t>En los factores de evaluación previstos para los ítems 1  y 2 se advierte que se consideró el factor “Mejoras”, el cual se encuentra conformado por los subfactores: i) Mejora 1: Potencia del Motor, Mejora 2: Cilindrada del motor, y Mejora 3: Tren Motriz (Motor, Caja, dos Ejes)</w:t>
      </w:r>
      <w:r w:rsidR="00B40E41" w:rsidRPr="004F374B">
        <w:rPr>
          <w:rFonts w:ascii="Times New Roman" w:hAnsi="Times New Roman" w:cs="Times New Roman"/>
          <w:sz w:val="23"/>
          <w:szCs w:val="23"/>
        </w:rPr>
        <w:t>;</w:t>
      </w:r>
      <w:r w:rsidRPr="004F374B">
        <w:rPr>
          <w:rFonts w:ascii="Times New Roman" w:hAnsi="Times New Roman" w:cs="Times New Roman"/>
          <w:sz w:val="23"/>
          <w:szCs w:val="23"/>
        </w:rPr>
        <w:t xml:space="preserve"> subfactores que fueron </w:t>
      </w:r>
      <w:r w:rsidR="00B40E41" w:rsidRPr="004F374B">
        <w:rPr>
          <w:rFonts w:ascii="Times New Roman" w:hAnsi="Times New Roman" w:cs="Times New Roman"/>
          <w:sz w:val="23"/>
          <w:szCs w:val="23"/>
        </w:rPr>
        <w:t xml:space="preserve">modificados con ocasión de la absolución de la Observación N° 3, formulada por el recurrente, quedando de la siguiente manera: </w:t>
      </w:r>
    </w:p>
    <w:p w:rsidR="00B40E41" w:rsidRPr="004F374B" w:rsidRDefault="00B40E41" w:rsidP="006D5BF6">
      <w:pPr>
        <w:spacing w:after="0" w:line="240" w:lineRule="auto"/>
        <w:jc w:val="both"/>
        <w:rPr>
          <w:rFonts w:ascii="Times New Roman" w:hAnsi="Times New Roman" w:cs="Times New Roman"/>
          <w:sz w:val="23"/>
          <w:szCs w:val="23"/>
        </w:rPr>
      </w:pPr>
    </w:p>
    <w:p w:rsidR="00572488" w:rsidRPr="004F374B" w:rsidRDefault="004F374B" w:rsidP="006D5BF6">
      <w:pPr>
        <w:spacing w:after="0" w:line="240" w:lineRule="auto"/>
        <w:jc w:val="both"/>
        <w:rPr>
          <w:rFonts w:ascii="Times New Roman" w:hAnsi="Times New Roman" w:cs="Times New Roman"/>
          <w:sz w:val="23"/>
          <w:szCs w:val="23"/>
        </w:rPr>
      </w:pPr>
      <w:r w:rsidRPr="004F374B">
        <w:rPr>
          <w:rFonts w:ascii="Times New Roman" w:hAnsi="Times New Roman" w:cs="Times New Roman"/>
          <w:noProof/>
          <w:sz w:val="23"/>
          <w:szCs w:val="23"/>
        </w:rPr>
        <w:drawing>
          <wp:anchor distT="0" distB="0" distL="114300" distR="114300" simplePos="0" relativeHeight="251658240" behindDoc="1" locked="0" layoutInCell="1" allowOverlap="1" wp14:anchorId="4B4ABB0C" wp14:editId="0CF6A370">
            <wp:simplePos x="0" y="0"/>
            <wp:positionH relativeFrom="column">
              <wp:posOffset>735330</wp:posOffset>
            </wp:positionH>
            <wp:positionV relativeFrom="paragraph">
              <wp:posOffset>7620</wp:posOffset>
            </wp:positionV>
            <wp:extent cx="3466579" cy="3079750"/>
            <wp:effectExtent l="0" t="0" r="635" b="635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0406" cy="3083150"/>
                    </a:xfrm>
                    <a:prstGeom prst="rect">
                      <a:avLst/>
                    </a:prstGeom>
                    <a:noFill/>
                    <a:ln>
                      <a:noFill/>
                    </a:ln>
                  </pic:spPr>
                </pic:pic>
              </a:graphicData>
            </a:graphic>
            <wp14:sizeRelH relativeFrom="page">
              <wp14:pctWidth>0</wp14:pctWidth>
            </wp14:sizeRelH>
            <wp14:sizeRelV relativeFrom="page">
              <wp14:pctHeight>0</wp14:pctHeight>
            </wp14:sizeRelV>
          </wp:anchor>
        </w:drawing>
      </w:r>
      <w:r w:rsidR="006B7EAE" w:rsidRPr="004F374B">
        <w:rPr>
          <w:rFonts w:ascii="Times New Roman" w:hAnsi="Times New Roman" w:cs="Times New Roman"/>
          <w:sz w:val="23"/>
          <w:szCs w:val="23"/>
        </w:rPr>
        <w:t xml:space="preserve"> </w:t>
      </w:r>
    </w:p>
    <w:p w:rsidR="00572488" w:rsidRPr="004F374B" w:rsidRDefault="00572488" w:rsidP="006D5BF6">
      <w:pPr>
        <w:spacing w:after="0" w:line="240" w:lineRule="auto"/>
        <w:jc w:val="both"/>
        <w:rPr>
          <w:rFonts w:ascii="Times New Roman" w:hAnsi="Times New Roman" w:cs="Times New Roman"/>
          <w:sz w:val="23"/>
          <w:szCs w:val="23"/>
        </w:rPr>
      </w:pPr>
    </w:p>
    <w:p w:rsidR="00572488" w:rsidRPr="004F374B" w:rsidRDefault="00572488" w:rsidP="006D5BF6">
      <w:pPr>
        <w:spacing w:after="0" w:line="240" w:lineRule="auto"/>
        <w:jc w:val="both"/>
        <w:rPr>
          <w:rFonts w:ascii="Times New Roman" w:hAnsi="Times New Roman" w:cs="Times New Roman"/>
          <w:sz w:val="23"/>
          <w:szCs w:val="23"/>
        </w:rPr>
      </w:pPr>
    </w:p>
    <w:p w:rsidR="00B56AEB" w:rsidRPr="004F374B" w:rsidRDefault="00B56AEB" w:rsidP="006D5BF6">
      <w:pPr>
        <w:spacing w:after="0" w:line="240" w:lineRule="auto"/>
        <w:jc w:val="both"/>
        <w:rPr>
          <w:rFonts w:ascii="Times New Roman" w:hAnsi="Times New Roman" w:cs="Times New Roman"/>
          <w:sz w:val="23"/>
          <w:szCs w:val="23"/>
        </w:rPr>
      </w:pPr>
    </w:p>
    <w:p w:rsidR="00B56AEB" w:rsidRPr="004F374B" w:rsidRDefault="00B56AEB" w:rsidP="006D5BF6">
      <w:pPr>
        <w:spacing w:after="0" w:line="240" w:lineRule="auto"/>
        <w:jc w:val="both"/>
        <w:rPr>
          <w:rFonts w:ascii="Times New Roman" w:hAnsi="Times New Roman" w:cs="Times New Roman"/>
          <w:sz w:val="23"/>
          <w:szCs w:val="23"/>
        </w:rPr>
      </w:pPr>
    </w:p>
    <w:p w:rsidR="00B56AEB" w:rsidRPr="004F374B" w:rsidRDefault="00B56AEB" w:rsidP="006D5BF6">
      <w:pPr>
        <w:spacing w:after="0" w:line="240" w:lineRule="auto"/>
        <w:jc w:val="both"/>
        <w:rPr>
          <w:rFonts w:ascii="Times New Roman" w:hAnsi="Times New Roman" w:cs="Times New Roman"/>
          <w:sz w:val="23"/>
          <w:szCs w:val="23"/>
        </w:rPr>
      </w:pPr>
    </w:p>
    <w:p w:rsidR="00B56AEB" w:rsidRPr="004F374B" w:rsidRDefault="00B56AEB" w:rsidP="006D5BF6">
      <w:pPr>
        <w:spacing w:after="0" w:line="240" w:lineRule="auto"/>
        <w:jc w:val="both"/>
        <w:rPr>
          <w:rFonts w:ascii="Times New Roman" w:hAnsi="Times New Roman" w:cs="Times New Roman"/>
          <w:sz w:val="23"/>
          <w:szCs w:val="23"/>
        </w:rPr>
      </w:pPr>
    </w:p>
    <w:p w:rsidR="00B56AEB" w:rsidRPr="004F374B" w:rsidRDefault="00B56AEB" w:rsidP="006D5BF6">
      <w:pPr>
        <w:spacing w:after="0" w:line="240" w:lineRule="auto"/>
        <w:jc w:val="both"/>
        <w:rPr>
          <w:rFonts w:ascii="Times New Roman" w:hAnsi="Times New Roman" w:cs="Times New Roman"/>
          <w:sz w:val="23"/>
          <w:szCs w:val="23"/>
        </w:rPr>
      </w:pPr>
    </w:p>
    <w:p w:rsidR="00B56AEB" w:rsidRPr="004F374B" w:rsidRDefault="00B56AEB" w:rsidP="006D5BF6">
      <w:pPr>
        <w:spacing w:after="0" w:line="240" w:lineRule="auto"/>
        <w:jc w:val="both"/>
        <w:rPr>
          <w:rFonts w:ascii="Times New Roman" w:hAnsi="Times New Roman" w:cs="Times New Roman"/>
          <w:sz w:val="23"/>
          <w:szCs w:val="23"/>
        </w:rPr>
      </w:pPr>
    </w:p>
    <w:p w:rsidR="00B56AEB" w:rsidRPr="004F374B" w:rsidRDefault="00B56AEB" w:rsidP="006D5BF6">
      <w:pPr>
        <w:spacing w:after="0" w:line="240" w:lineRule="auto"/>
        <w:jc w:val="both"/>
        <w:rPr>
          <w:rFonts w:ascii="Times New Roman" w:hAnsi="Times New Roman" w:cs="Times New Roman"/>
          <w:sz w:val="23"/>
          <w:szCs w:val="23"/>
        </w:rPr>
      </w:pPr>
    </w:p>
    <w:p w:rsidR="00B56AEB" w:rsidRPr="004F374B" w:rsidRDefault="00B56AEB" w:rsidP="006D5BF6">
      <w:pPr>
        <w:spacing w:after="0" w:line="240" w:lineRule="auto"/>
        <w:jc w:val="both"/>
        <w:rPr>
          <w:rFonts w:ascii="Times New Roman" w:hAnsi="Times New Roman" w:cs="Times New Roman"/>
          <w:sz w:val="23"/>
          <w:szCs w:val="23"/>
        </w:rPr>
      </w:pPr>
    </w:p>
    <w:p w:rsidR="00B56AEB" w:rsidRPr="004F374B" w:rsidRDefault="00B56AEB" w:rsidP="006D5BF6">
      <w:pPr>
        <w:spacing w:after="0" w:line="240" w:lineRule="auto"/>
        <w:jc w:val="both"/>
        <w:rPr>
          <w:rFonts w:ascii="Times New Roman" w:hAnsi="Times New Roman" w:cs="Times New Roman"/>
          <w:sz w:val="23"/>
          <w:szCs w:val="23"/>
        </w:rPr>
      </w:pPr>
    </w:p>
    <w:p w:rsidR="00B56AEB" w:rsidRPr="004F374B" w:rsidRDefault="00B56AEB" w:rsidP="006D5BF6">
      <w:pPr>
        <w:spacing w:after="0" w:line="240" w:lineRule="auto"/>
        <w:jc w:val="both"/>
        <w:rPr>
          <w:rFonts w:ascii="Times New Roman" w:hAnsi="Times New Roman" w:cs="Times New Roman"/>
          <w:sz w:val="23"/>
          <w:szCs w:val="23"/>
        </w:rPr>
      </w:pPr>
    </w:p>
    <w:p w:rsidR="00B56AEB" w:rsidRPr="004F374B" w:rsidRDefault="00B56AEB" w:rsidP="006D5BF6">
      <w:pPr>
        <w:spacing w:after="0" w:line="240" w:lineRule="auto"/>
        <w:jc w:val="both"/>
        <w:rPr>
          <w:rFonts w:ascii="Times New Roman" w:hAnsi="Times New Roman" w:cs="Times New Roman"/>
          <w:sz w:val="23"/>
          <w:szCs w:val="23"/>
        </w:rPr>
      </w:pPr>
    </w:p>
    <w:p w:rsidR="00B56AEB" w:rsidRPr="004F374B" w:rsidRDefault="00B56AEB" w:rsidP="006D5BF6">
      <w:pPr>
        <w:spacing w:after="0" w:line="240" w:lineRule="auto"/>
        <w:jc w:val="both"/>
        <w:rPr>
          <w:rFonts w:ascii="Times New Roman" w:hAnsi="Times New Roman" w:cs="Times New Roman"/>
          <w:sz w:val="23"/>
          <w:szCs w:val="23"/>
        </w:rPr>
      </w:pPr>
    </w:p>
    <w:p w:rsidR="00B56AEB" w:rsidRPr="004F374B" w:rsidRDefault="00B56AEB" w:rsidP="006D5BF6">
      <w:pPr>
        <w:spacing w:after="0" w:line="240" w:lineRule="auto"/>
        <w:jc w:val="both"/>
        <w:rPr>
          <w:rFonts w:ascii="Times New Roman" w:hAnsi="Times New Roman" w:cs="Times New Roman"/>
          <w:sz w:val="23"/>
          <w:szCs w:val="23"/>
        </w:rPr>
      </w:pPr>
    </w:p>
    <w:p w:rsidR="00572488" w:rsidRPr="004F374B" w:rsidRDefault="006D453A" w:rsidP="006D5BF6">
      <w:pPr>
        <w:spacing w:after="0" w:line="240" w:lineRule="auto"/>
        <w:jc w:val="both"/>
        <w:rPr>
          <w:rFonts w:ascii="Times New Roman" w:hAnsi="Times New Roman" w:cs="Times New Roman"/>
          <w:sz w:val="23"/>
          <w:szCs w:val="23"/>
        </w:rPr>
      </w:pPr>
      <w:r w:rsidRPr="004F374B">
        <w:rPr>
          <w:rFonts w:ascii="Times New Roman" w:hAnsi="Times New Roman" w:cs="Times New Roman"/>
          <w:sz w:val="23"/>
          <w:szCs w:val="23"/>
        </w:rPr>
        <w:lastRenderedPageBreak/>
        <w:t>R</w:t>
      </w:r>
      <w:r w:rsidR="00C07EE6" w:rsidRPr="004F374B">
        <w:rPr>
          <w:rFonts w:ascii="Times New Roman" w:hAnsi="Times New Roman" w:cs="Times New Roman"/>
          <w:sz w:val="23"/>
          <w:szCs w:val="23"/>
        </w:rPr>
        <w:t>especto de la Observaciones N° 1 y 5, relacionadas con el criterio de calificación del subfactor “Mejora 2</w:t>
      </w:r>
      <w:r w:rsidR="00D140EE" w:rsidRPr="004F374B">
        <w:rPr>
          <w:rFonts w:ascii="Times New Roman" w:hAnsi="Times New Roman" w:cs="Times New Roman"/>
          <w:sz w:val="23"/>
          <w:szCs w:val="23"/>
        </w:rPr>
        <w:t>: Cilindrada del motor”</w:t>
      </w:r>
      <w:r w:rsidR="00C07EE6" w:rsidRPr="004F374B">
        <w:rPr>
          <w:rFonts w:ascii="Times New Roman" w:hAnsi="Times New Roman" w:cs="Times New Roman"/>
          <w:sz w:val="23"/>
          <w:szCs w:val="23"/>
        </w:rPr>
        <w:t xml:space="preserve">, se advierte que al absolver el Comité Especial tales observaciones </w:t>
      </w:r>
      <w:r w:rsidRPr="004F374B">
        <w:rPr>
          <w:rFonts w:ascii="Times New Roman" w:hAnsi="Times New Roman" w:cs="Times New Roman"/>
          <w:sz w:val="23"/>
          <w:szCs w:val="23"/>
        </w:rPr>
        <w:t xml:space="preserve">el Comité Especial </w:t>
      </w:r>
      <w:r w:rsidR="00C07EE6" w:rsidRPr="004F374B">
        <w:rPr>
          <w:rFonts w:ascii="Times New Roman" w:hAnsi="Times New Roman" w:cs="Times New Roman"/>
          <w:sz w:val="23"/>
          <w:szCs w:val="23"/>
        </w:rPr>
        <w:t xml:space="preserve">manifestó lo siguiente: </w:t>
      </w:r>
    </w:p>
    <w:p w:rsidR="00264DC5" w:rsidRPr="004F374B" w:rsidRDefault="00264DC5" w:rsidP="006D5BF6">
      <w:pPr>
        <w:spacing w:after="0" w:line="240" w:lineRule="auto"/>
        <w:jc w:val="both"/>
        <w:rPr>
          <w:rFonts w:ascii="Times New Roman" w:hAnsi="Times New Roman" w:cs="Times New Roman"/>
          <w:sz w:val="23"/>
          <w:szCs w:val="23"/>
        </w:rPr>
      </w:pPr>
    </w:p>
    <w:p w:rsidR="00C07EE6" w:rsidRPr="004F374B" w:rsidRDefault="00264DC5" w:rsidP="004F374B">
      <w:pPr>
        <w:spacing w:after="0" w:line="240" w:lineRule="auto"/>
        <w:ind w:left="1276" w:right="871"/>
        <w:jc w:val="both"/>
        <w:rPr>
          <w:rFonts w:ascii="Times New Roman" w:hAnsi="Times New Roman" w:cs="Times New Roman"/>
          <w:i/>
          <w:sz w:val="23"/>
          <w:szCs w:val="23"/>
        </w:rPr>
      </w:pPr>
      <w:r w:rsidRPr="004F374B">
        <w:rPr>
          <w:rFonts w:ascii="Times New Roman" w:hAnsi="Times New Roman" w:cs="Times New Roman"/>
          <w:i/>
          <w:sz w:val="23"/>
          <w:szCs w:val="23"/>
        </w:rPr>
        <w:t xml:space="preserve">“… es necesario mencionar que esta evaluación propuesta por el Comité no excluye a ninguna marca y sólo busca favorecer los intereses de la Entidad mediante una mejora tecnológica; en consecuencia las bases están enmarcadas perfectamente dentro de lo normado por los artículo 4 y 26 de la Ley. </w:t>
      </w:r>
    </w:p>
    <w:p w:rsidR="00264DC5" w:rsidRPr="004F374B" w:rsidRDefault="00264DC5" w:rsidP="004F374B">
      <w:pPr>
        <w:spacing w:after="0" w:line="240" w:lineRule="auto"/>
        <w:ind w:left="1276" w:right="871"/>
        <w:jc w:val="both"/>
        <w:rPr>
          <w:rFonts w:ascii="Times New Roman" w:hAnsi="Times New Roman" w:cs="Times New Roman"/>
          <w:i/>
          <w:sz w:val="23"/>
          <w:szCs w:val="23"/>
        </w:rPr>
      </w:pPr>
    </w:p>
    <w:p w:rsidR="00B56AEB" w:rsidRPr="004F374B" w:rsidRDefault="00264DC5" w:rsidP="004F374B">
      <w:pPr>
        <w:spacing w:after="0" w:line="240" w:lineRule="auto"/>
        <w:ind w:left="1276" w:right="871"/>
        <w:jc w:val="both"/>
        <w:rPr>
          <w:rFonts w:ascii="Times New Roman" w:hAnsi="Times New Roman" w:cs="Times New Roman"/>
          <w:i/>
          <w:sz w:val="23"/>
          <w:szCs w:val="23"/>
        </w:rPr>
      </w:pPr>
      <w:r w:rsidRPr="004F374B">
        <w:rPr>
          <w:rFonts w:ascii="Times New Roman" w:hAnsi="Times New Roman" w:cs="Times New Roman"/>
          <w:i/>
          <w:sz w:val="23"/>
          <w:szCs w:val="23"/>
        </w:rPr>
        <w:t>(…)</w:t>
      </w:r>
    </w:p>
    <w:p w:rsidR="00E561FB" w:rsidRPr="004F374B" w:rsidRDefault="00E561FB" w:rsidP="004F374B">
      <w:pPr>
        <w:spacing w:after="0" w:line="240" w:lineRule="auto"/>
        <w:ind w:left="1276" w:right="871"/>
        <w:jc w:val="both"/>
        <w:rPr>
          <w:rFonts w:ascii="Times New Roman" w:hAnsi="Times New Roman" w:cs="Times New Roman"/>
          <w:sz w:val="23"/>
          <w:szCs w:val="23"/>
        </w:rPr>
      </w:pPr>
    </w:p>
    <w:p w:rsidR="00264DC5" w:rsidRPr="004F374B" w:rsidRDefault="00264DC5" w:rsidP="004F374B">
      <w:pPr>
        <w:spacing w:after="0" w:line="240" w:lineRule="auto"/>
        <w:ind w:left="1276" w:right="871"/>
        <w:jc w:val="both"/>
        <w:rPr>
          <w:rFonts w:ascii="Times New Roman" w:hAnsi="Times New Roman" w:cs="Times New Roman"/>
          <w:i/>
          <w:sz w:val="23"/>
          <w:szCs w:val="23"/>
        </w:rPr>
      </w:pPr>
      <w:r w:rsidRPr="004F374B">
        <w:rPr>
          <w:rFonts w:ascii="Times New Roman" w:hAnsi="Times New Roman" w:cs="Times New Roman"/>
          <w:i/>
          <w:sz w:val="23"/>
          <w:szCs w:val="23"/>
        </w:rPr>
        <w:t xml:space="preserve">Respecto al consumo </w:t>
      </w:r>
      <w:r w:rsidR="00D1089B" w:rsidRPr="004F374B">
        <w:rPr>
          <w:rFonts w:ascii="Times New Roman" w:hAnsi="Times New Roman" w:cs="Times New Roman"/>
          <w:i/>
          <w:sz w:val="23"/>
          <w:szCs w:val="23"/>
        </w:rPr>
        <w:t>específico</w:t>
      </w:r>
      <w:r w:rsidRPr="004F374B">
        <w:rPr>
          <w:rFonts w:ascii="Times New Roman" w:hAnsi="Times New Roman" w:cs="Times New Roman"/>
          <w:i/>
          <w:sz w:val="23"/>
          <w:szCs w:val="23"/>
        </w:rPr>
        <w:t xml:space="preserve"> se ha requerido un límite superior razonable: 205 gr/kw hr relacionado con a la potencia solicitada para los motores, de tal forma permite una mayor pluralidad y sin marginaci</w:t>
      </w:r>
      <w:r w:rsidR="00D1089B" w:rsidRPr="004F374B">
        <w:rPr>
          <w:rFonts w:ascii="Times New Roman" w:hAnsi="Times New Roman" w:cs="Times New Roman"/>
          <w:i/>
          <w:sz w:val="23"/>
          <w:szCs w:val="23"/>
        </w:rPr>
        <w:t xml:space="preserve">ón, dado que no son significantes las variaciones entre una y otra marca. </w:t>
      </w:r>
    </w:p>
    <w:p w:rsidR="00D1089B" w:rsidRPr="004F374B" w:rsidRDefault="00D1089B" w:rsidP="004F374B">
      <w:pPr>
        <w:spacing w:after="0" w:line="240" w:lineRule="auto"/>
        <w:ind w:left="1276" w:right="871"/>
        <w:jc w:val="both"/>
        <w:rPr>
          <w:rFonts w:ascii="Times New Roman" w:hAnsi="Times New Roman" w:cs="Times New Roman"/>
          <w:i/>
          <w:sz w:val="23"/>
          <w:szCs w:val="23"/>
        </w:rPr>
      </w:pPr>
    </w:p>
    <w:p w:rsidR="00C07EE6" w:rsidRPr="004F374B" w:rsidRDefault="00D1089B" w:rsidP="004F374B">
      <w:pPr>
        <w:spacing w:after="0" w:line="240" w:lineRule="auto"/>
        <w:ind w:left="1276" w:right="871"/>
        <w:jc w:val="both"/>
        <w:rPr>
          <w:rFonts w:ascii="Times New Roman" w:hAnsi="Times New Roman" w:cs="Times New Roman"/>
          <w:i/>
          <w:sz w:val="23"/>
          <w:szCs w:val="23"/>
        </w:rPr>
      </w:pPr>
      <w:r w:rsidRPr="004F374B">
        <w:rPr>
          <w:rFonts w:ascii="Times New Roman" w:hAnsi="Times New Roman" w:cs="Times New Roman"/>
          <w:i/>
          <w:sz w:val="23"/>
          <w:szCs w:val="23"/>
        </w:rPr>
        <w:t>Finalmente, la calificación propuesta en nuestras bases, no limita la pluralidad de participación como se menciona en su observación, pudiendo participar motores de 04 0 6 cilindros, dado que lo que se califica</w:t>
      </w:r>
      <w:r w:rsidR="00FF12A2" w:rsidRPr="004F374B">
        <w:rPr>
          <w:rFonts w:ascii="Times New Roman" w:hAnsi="Times New Roman" w:cs="Times New Roman"/>
          <w:i/>
          <w:sz w:val="23"/>
          <w:szCs w:val="23"/>
        </w:rPr>
        <w:t xml:space="preserve"> es cilindrada y no cantidad de cilindros. En respuesta a lo observado solo se busca favorece los interés de nuestra Entidad, pero buscando una mayor competitividad (…)</w:t>
      </w:r>
      <w:r w:rsidR="00E561FB" w:rsidRPr="004F374B">
        <w:rPr>
          <w:rFonts w:ascii="Times New Roman" w:hAnsi="Times New Roman" w:cs="Times New Roman"/>
          <w:i/>
          <w:sz w:val="23"/>
          <w:szCs w:val="23"/>
        </w:rPr>
        <w:t>”</w:t>
      </w:r>
      <w:r w:rsidRPr="004F374B">
        <w:rPr>
          <w:rFonts w:ascii="Times New Roman" w:hAnsi="Times New Roman" w:cs="Times New Roman"/>
          <w:i/>
          <w:sz w:val="23"/>
          <w:szCs w:val="23"/>
        </w:rPr>
        <w:t xml:space="preserve">. </w:t>
      </w:r>
    </w:p>
    <w:p w:rsidR="00D140EE" w:rsidRPr="004F374B" w:rsidRDefault="00D140EE" w:rsidP="00D140EE">
      <w:pPr>
        <w:spacing w:after="0" w:line="240" w:lineRule="auto"/>
        <w:jc w:val="both"/>
        <w:rPr>
          <w:rFonts w:ascii="Times New Roman" w:hAnsi="Times New Roman" w:cs="Times New Roman"/>
          <w:i/>
          <w:sz w:val="23"/>
          <w:szCs w:val="23"/>
        </w:rPr>
      </w:pPr>
    </w:p>
    <w:p w:rsidR="00D140EE" w:rsidRPr="004F374B" w:rsidRDefault="00D140EE" w:rsidP="00D140EE">
      <w:pPr>
        <w:tabs>
          <w:tab w:val="left" w:pos="0"/>
        </w:tabs>
        <w:autoSpaceDE w:val="0"/>
        <w:autoSpaceDN w:val="0"/>
        <w:adjustRightInd w:val="0"/>
        <w:spacing w:after="0" w:line="240" w:lineRule="auto"/>
        <w:jc w:val="both"/>
        <w:rPr>
          <w:rFonts w:ascii="Times New Roman" w:hAnsi="Times New Roman" w:cs="Times New Roman"/>
          <w:sz w:val="23"/>
          <w:szCs w:val="23"/>
          <w:lang w:val="es-MX"/>
        </w:rPr>
      </w:pPr>
      <w:r w:rsidRPr="004F374B">
        <w:rPr>
          <w:rFonts w:ascii="Times New Roman" w:hAnsi="Times New Roman" w:cs="Times New Roman"/>
          <w:sz w:val="23"/>
          <w:szCs w:val="23"/>
          <w:lang w:val="es-MX"/>
        </w:rPr>
        <w:t xml:space="preserve">Sobre el particular, en el artículo 43 del Reglamento es responsabilidad del Comité Especial  la determinación de los factores de evaluación técnicos, los que deben ser </w:t>
      </w:r>
      <w:r w:rsidRPr="004F374B">
        <w:rPr>
          <w:rFonts w:ascii="Times New Roman" w:hAnsi="Times New Roman" w:cs="Times New Roman"/>
          <w:sz w:val="23"/>
          <w:szCs w:val="23"/>
          <w:u w:val="single"/>
          <w:lang w:val="es-MX"/>
        </w:rPr>
        <w:t>objetivos y congruentes con el objeto de la convocatoria</w:t>
      </w:r>
      <w:r w:rsidRPr="004F374B">
        <w:rPr>
          <w:rFonts w:ascii="Times New Roman" w:hAnsi="Times New Roman" w:cs="Times New Roman"/>
          <w:sz w:val="23"/>
          <w:szCs w:val="23"/>
          <w:lang w:val="es-MX"/>
        </w:rPr>
        <w:t>, debiendo sujetarse a criterios de razonabilidad y proporcionalidad.</w:t>
      </w:r>
    </w:p>
    <w:p w:rsidR="00D140EE" w:rsidRPr="004F374B" w:rsidRDefault="00D140EE" w:rsidP="00D140EE">
      <w:pPr>
        <w:tabs>
          <w:tab w:val="left" w:pos="0"/>
        </w:tabs>
        <w:autoSpaceDE w:val="0"/>
        <w:autoSpaceDN w:val="0"/>
        <w:adjustRightInd w:val="0"/>
        <w:spacing w:after="0" w:line="240" w:lineRule="auto"/>
        <w:jc w:val="both"/>
        <w:rPr>
          <w:rFonts w:ascii="Times New Roman" w:hAnsi="Times New Roman" w:cs="Times New Roman"/>
          <w:sz w:val="23"/>
          <w:szCs w:val="23"/>
          <w:lang w:val="es-MX"/>
        </w:rPr>
      </w:pPr>
    </w:p>
    <w:p w:rsidR="00D140EE" w:rsidRPr="004F374B" w:rsidRDefault="00D140EE" w:rsidP="00D140EE">
      <w:pPr>
        <w:autoSpaceDE w:val="0"/>
        <w:autoSpaceDN w:val="0"/>
        <w:adjustRightInd w:val="0"/>
        <w:spacing w:after="0" w:line="240" w:lineRule="auto"/>
        <w:ind w:right="-1"/>
        <w:jc w:val="both"/>
        <w:rPr>
          <w:rFonts w:ascii="Times New Roman" w:hAnsi="Times New Roman" w:cs="Times New Roman"/>
          <w:color w:val="000000"/>
          <w:sz w:val="23"/>
          <w:szCs w:val="23"/>
        </w:rPr>
      </w:pPr>
      <w:r w:rsidRPr="004F374B">
        <w:rPr>
          <w:rFonts w:ascii="Times New Roman" w:hAnsi="Times New Roman" w:cs="Times New Roman"/>
          <w:color w:val="000000"/>
          <w:sz w:val="23"/>
          <w:szCs w:val="23"/>
        </w:rPr>
        <w:t xml:space="preserve">Dicho lo anterior, cabe precisar que de acuerdo con la normativa, los factores de evaluación tienen como principal objetivo permitirle al Comité Especial comparar las propuestas presentadas y elegir la mejor; razón por la cual, a partir del conocimiento de las reales necesidades de la Entidad, dicho colegiado determina los factores de evaluación que le permitirán elegir la mejor propuesta a efectos de no sólo satisfacer oportunamente las necesidades del área usuaria sino también mejorar las condiciones de la prestación objeto de la convocatoria. </w:t>
      </w:r>
    </w:p>
    <w:p w:rsidR="00D140EE" w:rsidRPr="004F374B" w:rsidRDefault="00D140EE" w:rsidP="00D140EE">
      <w:pPr>
        <w:autoSpaceDE w:val="0"/>
        <w:autoSpaceDN w:val="0"/>
        <w:adjustRightInd w:val="0"/>
        <w:spacing w:after="0" w:line="240" w:lineRule="auto"/>
        <w:ind w:right="-1"/>
        <w:jc w:val="both"/>
        <w:rPr>
          <w:rFonts w:ascii="Times New Roman" w:hAnsi="Times New Roman" w:cs="Times New Roman"/>
          <w:color w:val="000000"/>
          <w:sz w:val="23"/>
          <w:szCs w:val="23"/>
        </w:rPr>
      </w:pPr>
      <w:r w:rsidRPr="004F374B">
        <w:rPr>
          <w:rFonts w:ascii="Times New Roman" w:hAnsi="Times New Roman" w:cs="Times New Roman"/>
          <w:color w:val="000000"/>
          <w:sz w:val="23"/>
          <w:szCs w:val="23"/>
        </w:rPr>
        <w:t xml:space="preserve"> </w:t>
      </w:r>
    </w:p>
    <w:p w:rsidR="00D140EE" w:rsidRPr="004F374B" w:rsidRDefault="00D140EE" w:rsidP="00D140EE">
      <w:pPr>
        <w:autoSpaceDE w:val="0"/>
        <w:autoSpaceDN w:val="0"/>
        <w:adjustRightInd w:val="0"/>
        <w:spacing w:after="0" w:line="240" w:lineRule="auto"/>
        <w:ind w:right="-1"/>
        <w:jc w:val="both"/>
        <w:rPr>
          <w:rFonts w:ascii="Times New Roman" w:hAnsi="Times New Roman" w:cs="Times New Roman"/>
          <w:color w:val="000000"/>
          <w:sz w:val="23"/>
          <w:szCs w:val="23"/>
        </w:rPr>
      </w:pPr>
      <w:r w:rsidRPr="004F374B">
        <w:rPr>
          <w:rFonts w:ascii="Times New Roman" w:hAnsi="Times New Roman" w:cs="Times New Roman"/>
          <w:sz w:val="23"/>
          <w:szCs w:val="23"/>
        </w:rPr>
        <w:t>En ese sentido, debe tenerse en cuenta que</w:t>
      </w:r>
      <w:r w:rsidRPr="004F374B">
        <w:rPr>
          <w:rFonts w:ascii="Times New Roman" w:hAnsi="Times New Roman" w:cs="Times New Roman"/>
          <w:color w:val="000000"/>
          <w:sz w:val="23"/>
          <w:szCs w:val="23"/>
        </w:rPr>
        <w:t xml:space="preserve">, al ser el principal objetivo de los factores de evaluación comparar y discriminar propuestas, no puede exigirse al Comité Especial elaborar factores de evaluación cuyo puntaje máximo pueda ser obtenido por la totalidad de los postores ya que ello desnaturalizaría su función principal. </w:t>
      </w:r>
    </w:p>
    <w:p w:rsidR="00FF12A2" w:rsidRPr="004F374B" w:rsidRDefault="00FF12A2" w:rsidP="00D140EE">
      <w:pPr>
        <w:autoSpaceDE w:val="0"/>
        <w:autoSpaceDN w:val="0"/>
        <w:adjustRightInd w:val="0"/>
        <w:spacing w:after="0" w:line="240" w:lineRule="auto"/>
        <w:ind w:right="-1"/>
        <w:jc w:val="both"/>
        <w:rPr>
          <w:rFonts w:ascii="Times New Roman" w:hAnsi="Times New Roman" w:cs="Times New Roman"/>
          <w:color w:val="000000"/>
          <w:sz w:val="23"/>
          <w:szCs w:val="23"/>
        </w:rPr>
      </w:pPr>
    </w:p>
    <w:p w:rsidR="00D140EE" w:rsidRPr="004F374B" w:rsidRDefault="00D140EE" w:rsidP="000F6706">
      <w:pPr>
        <w:autoSpaceDE w:val="0"/>
        <w:autoSpaceDN w:val="0"/>
        <w:adjustRightInd w:val="0"/>
        <w:spacing w:after="0" w:line="240" w:lineRule="auto"/>
        <w:ind w:right="-1"/>
        <w:jc w:val="both"/>
        <w:rPr>
          <w:rFonts w:ascii="Times New Roman" w:hAnsi="Times New Roman" w:cs="Times New Roman"/>
          <w:color w:val="000000"/>
          <w:sz w:val="23"/>
          <w:szCs w:val="23"/>
        </w:rPr>
      </w:pPr>
      <w:r w:rsidRPr="004F374B">
        <w:rPr>
          <w:rFonts w:ascii="Times New Roman" w:hAnsi="Times New Roman" w:cs="Times New Roman"/>
          <w:color w:val="000000"/>
          <w:sz w:val="23"/>
          <w:szCs w:val="23"/>
        </w:rPr>
        <w:t xml:space="preserve">Por lo tanto, considerando que de lo expuesto por el Comité Especial se desprende que el subfactor </w:t>
      </w:r>
      <w:r w:rsidRPr="004F374B">
        <w:rPr>
          <w:rFonts w:ascii="Times New Roman" w:hAnsi="Times New Roman" w:cs="Times New Roman"/>
          <w:sz w:val="23"/>
          <w:szCs w:val="23"/>
        </w:rPr>
        <w:t>“Mejora 2: Cilindrada del motor”</w:t>
      </w:r>
      <w:r w:rsidRPr="004F374B">
        <w:rPr>
          <w:rFonts w:ascii="Times New Roman" w:hAnsi="Times New Roman" w:cs="Times New Roman"/>
          <w:color w:val="000000"/>
          <w:sz w:val="23"/>
          <w:szCs w:val="23"/>
        </w:rPr>
        <w:t xml:space="preserve"> habría sido determinado sobre la base de las necesidades del área usuaria, y que </w:t>
      </w:r>
      <w:r w:rsidR="000F6706" w:rsidRPr="004F374B">
        <w:rPr>
          <w:rFonts w:ascii="Times New Roman" w:hAnsi="Times New Roman" w:cs="Times New Roman"/>
          <w:color w:val="000000"/>
          <w:sz w:val="23"/>
          <w:szCs w:val="23"/>
        </w:rPr>
        <w:t xml:space="preserve">el participante pretende que dicho subfactor sea modificado de tal manera que el puntaje máximo del mismo pueda ser obtenido por la </w:t>
      </w:r>
      <w:r w:rsidR="000F6706" w:rsidRPr="004F374B">
        <w:rPr>
          <w:rFonts w:ascii="Times New Roman" w:hAnsi="Times New Roman" w:cs="Times New Roman"/>
          <w:color w:val="000000"/>
          <w:sz w:val="23"/>
          <w:szCs w:val="23"/>
        </w:rPr>
        <w:lastRenderedPageBreak/>
        <w:t xml:space="preserve">totalidad de postores, lo cual desnaturaliza la función principal de todo factor de evaluación, este Organismo Supervisor ha decidido </w:t>
      </w:r>
      <w:r w:rsidR="000F6706" w:rsidRPr="004F374B">
        <w:rPr>
          <w:rFonts w:ascii="Times New Roman" w:hAnsi="Times New Roman" w:cs="Times New Roman"/>
          <w:b/>
          <w:color w:val="000000"/>
          <w:sz w:val="23"/>
          <w:szCs w:val="23"/>
        </w:rPr>
        <w:t xml:space="preserve">NO ACOGER </w:t>
      </w:r>
      <w:r w:rsidR="000F6706" w:rsidRPr="004F374B">
        <w:rPr>
          <w:rFonts w:ascii="Times New Roman" w:hAnsi="Times New Roman" w:cs="Times New Roman"/>
          <w:color w:val="000000"/>
          <w:sz w:val="23"/>
          <w:szCs w:val="23"/>
        </w:rPr>
        <w:t xml:space="preserve">la Observaciones N° 1 y 5. </w:t>
      </w:r>
    </w:p>
    <w:p w:rsidR="00FF12A2" w:rsidRPr="004F374B" w:rsidRDefault="00FF12A2" w:rsidP="000F6706">
      <w:pPr>
        <w:autoSpaceDE w:val="0"/>
        <w:autoSpaceDN w:val="0"/>
        <w:adjustRightInd w:val="0"/>
        <w:spacing w:after="0" w:line="240" w:lineRule="auto"/>
        <w:ind w:right="-1"/>
        <w:jc w:val="both"/>
        <w:rPr>
          <w:rFonts w:ascii="Times New Roman" w:hAnsi="Times New Roman" w:cs="Times New Roman"/>
          <w:color w:val="000000"/>
          <w:sz w:val="23"/>
          <w:szCs w:val="23"/>
        </w:rPr>
      </w:pPr>
    </w:p>
    <w:p w:rsidR="00FF12A2" w:rsidRPr="004F374B" w:rsidRDefault="00FF12A2" w:rsidP="000F6706">
      <w:pPr>
        <w:autoSpaceDE w:val="0"/>
        <w:autoSpaceDN w:val="0"/>
        <w:adjustRightInd w:val="0"/>
        <w:spacing w:after="0" w:line="240" w:lineRule="auto"/>
        <w:ind w:right="-1"/>
        <w:jc w:val="both"/>
        <w:rPr>
          <w:rFonts w:ascii="Times New Roman" w:hAnsi="Times New Roman" w:cs="Times New Roman"/>
          <w:i/>
          <w:sz w:val="23"/>
          <w:szCs w:val="23"/>
        </w:rPr>
      </w:pPr>
      <w:r w:rsidRPr="004F374B">
        <w:rPr>
          <w:rFonts w:ascii="Times New Roman" w:hAnsi="Times New Roman" w:cs="Times New Roman"/>
          <w:color w:val="000000"/>
          <w:sz w:val="23"/>
          <w:szCs w:val="23"/>
        </w:rPr>
        <w:t xml:space="preserve">Sin perjuicio de lo señalado, con ocasión de la integración de las Bases, en el subfactor “Mejora 2: Cilindrada” </w:t>
      </w:r>
      <w:r w:rsidRPr="004F374B">
        <w:rPr>
          <w:rFonts w:ascii="Times New Roman" w:hAnsi="Times New Roman" w:cs="Times New Roman"/>
          <w:b/>
          <w:color w:val="000000"/>
          <w:sz w:val="23"/>
          <w:szCs w:val="23"/>
          <w:u w:val="single"/>
        </w:rPr>
        <w:t>deberá corregirse</w:t>
      </w:r>
      <w:r w:rsidRPr="004F374B">
        <w:rPr>
          <w:rFonts w:ascii="Times New Roman" w:hAnsi="Times New Roman" w:cs="Times New Roman"/>
          <w:color w:val="000000"/>
          <w:sz w:val="23"/>
          <w:szCs w:val="23"/>
        </w:rPr>
        <w:t xml:space="preserve"> el rango de evaluación “&gt;</w:t>
      </w:r>
      <w:r w:rsidRPr="004F374B">
        <w:rPr>
          <w:rFonts w:ascii="Times New Roman" w:hAnsi="Times New Roman" w:cs="Times New Roman"/>
          <w:b/>
          <w:color w:val="000000"/>
          <w:sz w:val="23"/>
          <w:szCs w:val="23"/>
        </w:rPr>
        <w:t>=</w:t>
      </w:r>
      <w:r w:rsidRPr="004F374B">
        <w:rPr>
          <w:rFonts w:ascii="Times New Roman" w:hAnsi="Times New Roman" w:cs="Times New Roman"/>
          <w:color w:val="000000"/>
          <w:sz w:val="23"/>
          <w:szCs w:val="23"/>
        </w:rPr>
        <w:t xml:space="preserve"> 4500 hasta 5500 cc”, dado que se estaría otorgando puntaje al cumplimiento de un requerimiento técnico mínimo, lo cual no se ajusta con lo señalado en el artículo  43° del Reglamento, </w:t>
      </w:r>
    </w:p>
    <w:p w:rsidR="00D1089B" w:rsidRPr="004F374B" w:rsidRDefault="00D1089B" w:rsidP="006D5BF6">
      <w:pPr>
        <w:spacing w:after="0" w:line="240" w:lineRule="auto"/>
        <w:jc w:val="both"/>
        <w:rPr>
          <w:rFonts w:ascii="Times New Roman" w:hAnsi="Times New Roman" w:cs="Times New Roman"/>
          <w:sz w:val="23"/>
          <w:szCs w:val="23"/>
        </w:rPr>
      </w:pPr>
    </w:p>
    <w:p w:rsidR="00C07EE6" w:rsidRPr="004F374B" w:rsidRDefault="00C07EE6" w:rsidP="006D5BF6">
      <w:pPr>
        <w:spacing w:after="0" w:line="240" w:lineRule="auto"/>
        <w:jc w:val="both"/>
        <w:rPr>
          <w:rFonts w:ascii="Times New Roman" w:hAnsi="Times New Roman" w:cs="Times New Roman"/>
          <w:sz w:val="23"/>
          <w:szCs w:val="23"/>
        </w:rPr>
      </w:pPr>
      <w:r w:rsidRPr="004F374B">
        <w:rPr>
          <w:rFonts w:ascii="Times New Roman" w:hAnsi="Times New Roman" w:cs="Times New Roman"/>
          <w:sz w:val="23"/>
          <w:szCs w:val="23"/>
        </w:rPr>
        <w:t xml:space="preserve">Por su parte, respecto de las Observaciones N° 2 y 6, relacionadas con el subfactor “Mejoras 3: Tren Motriz”, el Comité Especial al absolver tales observaciones manifestó:  </w:t>
      </w:r>
    </w:p>
    <w:p w:rsidR="00C07EE6" w:rsidRPr="004F374B" w:rsidRDefault="00C07EE6" w:rsidP="006D5BF6">
      <w:pPr>
        <w:spacing w:after="0" w:line="240" w:lineRule="auto"/>
        <w:jc w:val="both"/>
        <w:rPr>
          <w:rFonts w:ascii="Times New Roman" w:hAnsi="Times New Roman" w:cs="Times New Roman"/>
          <w:sz w:val="23"/>
          <w:szCs w:val="23"/>
        </w:rPr>
      </w:pPr>
    </w:p>
    <w:p w:rsidR="00E561FB" w:rsidRPr="004F374B" w:rsidRDefault="00E561FB" w:rsidP="00E561FB">
      <w:pPr>
        <w:spacing w:after="0" w:line="240" w:lineRule="auto"/>
        <w:ind w:left="1276" w:right="871"/>
        <w:jc w:val="both"/>
        <w:rPr>
          <w:rFonts w:ascii="Times New Roman" w:hAnsi="Times New Roman" w:cs="Times New Roman"/>
          <w:i/>
          <w:sz w:val="23"/>
          <w:szCs w:val="23"/>
        </w:rPr>
      </w:pPr>
      <w:r w:rsidRPr="004F374B">
        <w:rPr>
          <w:rFonts w:ascii="Times New Roman" w:hAnsi="Times New Roman" w:cs="Times New Roman"/>
          <w:i/>
          <w:sz w:val="23"/>
          <w:szCs w:val="23"/>
        </w:rPr>
        <w:t xml:space="preserve">“(…) </w:t>
      </w:r>
    </w:p>
    <w:p w:rsidR="00E561FB" w:rsidRPr="004F374B" w:rsidRDefault="00E561FB" w:rsidP="00E561FB">
      <w:pPr>
        <w:spacing w:after="0" w:line="240" w:lineRule="auto"/>
        <w:ind w:left="1276" w:right="871"/>
        <w:jc w:val="both"/>
        <w:rPr>
          <w:rFonts w:ascii="Times New Roman" w:hAnsi="Times New Roman" w:cs="Times New Roman"/>
          <w:i/>
          <w:sz w:val="23"/>
          <w:szCs w:val="23"/>
        </w:rPr>
      </w:pPr>
      <w:r w:rsidRPr="004F374B">
        <w:rPr>
          <w:rFonts w:ascii="Times New Roman" w:hAnsi="Times New Roman" w:cs="Times New Roman"/>
          <w:i/>
          <w:sz w:val="23"/>
          <w:szCs w:val="23"/>
        </w:rPr>
        <w:t>Desde el punto de visto técnico, en el mercado existen marcas de chasis para vehículos que fabrican sus propias partes, entre ellas todo el tren motriz, es decir, motor, ejes y transmisión, ya que son los elementos principales en la máquina. La Entidad solicita estos componentes de la misma marca, previendo el mantenimiento que se tiene que hacer a estas unidades y asegurando una provisión de repuestos que el mantenimiento que se tiene que hacer a estas unidades y asegurando una provisión de repuestos que resulten compatibles, puesto que la experiencia indica que cuando el motor, ejes y transmisión son de marcas diferentes, la provisión de repuestos resulta complicada e incluso a veces casi imposible. Así mismo contar con todo el tren motriz de la misma marca facilita la ejecución de la garantía comercial y permite una mejor administración del contrato, garantizando un mejor servicio de post venta a la Entidad. La Entidad no busca favorecer a nadie, sólo sus propios intereses”</w:t>
      </w:r>
    </w:p>
    <w:p w:rsidR="00B56AEB" w:rsidRPr="004F374B" w:rsidRDefault="00B56AEB" w:rsidP="006D5BF6">
      <w:pPr>
        <w:spacing w:after="0" w:line="240" w:lineRule="auto"/>
        <w:jc w:val="both"/>
        <w:rPr>
          <w:rFonts w:ascii="Times New Roman" w:hAnsi="Times New Roman" w:cs="Times New Roman"/>
          <w:sz w:val="23"/>
          <w:szCs w:val="23"/>
        </w:rPr>
      </w:pPr>
    </w:p>
    <w:p w:rsidR="00B56AEB" w:rsidRPr="004F374B" w:rsidRDefault="000F6706" w:rsidP="006D5BF6">
      <w:pPr>
        <w:tabs>
          <w:tab w:val="left" w:pos="0"/>
        </w:tabs>
        <w:autoSpaceDE w:val="0"/>
        <w:autoSpaceDN w:val="0"/>
        <w:adjustRightInd w:val="0"/>
        <w:spacing w:after="0" w:line="240" w:lineRule="auto"/>
        <w:jc w:val="both"/>
        <w:rPr>
          <w:rFonts w:ascii="Times New Roman" w:hAnsi="Times New Roman" w:cs="Times New Roman"/>
          <w:sz w:val="23"/>
          <w:szCs w:val="23"/>
          <w:lang w:val="es-MX"/>
        </w:rPr>
      </w:pPr>
      <w:r w:rsidRPr="004F374B">
        <w:rPr>
          <w:rFonts w:ascii="Times New Roman" w:hAnsi="Times New Roman" w:cs="Times New Roman"/>
          <w:sz w:val="23"/>
          <w:szCs w:val="23"/>
          <w:lang w:val="es-MX"/>
        </w:rPr>
        <w:t xml:space="preserve">Tal como se señaló anteriormente, </w:t>
      </w:r>
      <w:r w:rsidR="00B56AEB" w:rsidRPr="004F374B">
        <w:rPr>
          <w:rFonts w:ascii="Times New Roman" w:hAnsi="Times New Roman" w:cs="Times New Roman"/>
          <w:sz w:val="23"/>
          <w:szCs w:val="23"/>
          <w:lang w:val="es-MX"/>
        </w:rPr>
        <w:t xml:space="preserve">es responsabilidad del Comité Especial  la determinación de los factores de evaluación técnicos, los que deben ser </w:t>
      </w:r>
      <w:r w:rsidR="00B56AEB" w:rsidRPr="004F374B">
        <w:rPr>
          <w:rFonts w:ascii="Times New Roman" w:hAnsi="Times New Roman" w:cs="Times New Roman"/>
          <w:sz w:val="23"/>
          <w:szCs w:val="23"/>
          <w:u w:val="single"/>
          <w:lang w:val="es-MX"/>
        </w:rPr>
        <w:t>objetivos y congruentes con el objeto de la convocatoria</w:t>
      </w:r>
      <w:r w:rsidR="00B56AEB" w:rsidRPr="004F374B">
        <w:rPr>
          <w:rFonts w:ascii="Times New Roman" w:hAnsi="Times New Roman" w:cs="Times New Roman"/>
          <w:sz w:val="23"/>
          <w:szCs w:val="23"/>
          <w:lang w:val="es-MX"/>
        </w:rPr>
        <w:t>, debiendo sujetarse a criterios de razonabilidad y proporcionalidad.</w:t>
      </w:r>
    </w:p>
    <w:p w:rsidR="006D5BF6" w:rsidRPr="004F374B" w:rsidRDefault="006D5BF6" w:rsidP="006D5BF6">
      <w:pPr>
        <w:autoSpaceDE w:val="0"/>
        <w:autoSpaceDN w:val="0"/>
        <w:adjustRightInd w:val="0"/>
        <w:spacing w:after="0" w:line="240" w:lineRule="auto"/>
        <w:ind w:right="-1"/>
        <w:jc w:val="both"/>
        <w:rPr>
          <w:rFonts w:ascii="Times New Roman" w:hAnsi="Times New Roman" w:cs="Times New Roman"/>
          <w:color w:val="000000"/>
          <w:sz w:val="23"/>
          <w:szCs w:val="23"/>
        </w:rPr>
      </w:pPr>
    </w:p>
    <w:p w:rsidR="00D140EE" w:rsidRPr="004F374B" w:rsidRDefault="00D140EE" w:rsidP="006D5BF6">
      <w:pPr>
        <w:autoSpaceDE w:val="0"/>
        <w:autoSpaceDN w:val="0"/>
        <w:adjustRightInd w:val="0"/>
        <w:spacing w:after="0" w:line="240" w:lineRule="auto"/>
        <w:ind w:right="-1"/>
        <w:jc w:val="both"/>
        <w:rPr>
          <w:rFonts w:ascii="Times New Roman" w:hAnsi="Times New Roman" w:cs="Times New Roman"/>
          <w:sz w:val="23"/>
          <w:szCs w:val="23"/>
        </w:rPr>
      </w:pPr>
      <w:r w:rsidRPr="004F374B">
        <w:rPr>
          <w:rFonts w:ascii="Times New Roman" w:hAnsi="Times New Roman" w:cs="Times New Roman"/>
          <w:sz w:val="23"/>
          <w:szCs w:val="23"/>
        </w:rPr>
        <w:t xml:space="preserve">En ese sentido, </w:t>
      </w:r>
      <w:r w:rsidR="00A40F67" w:rsidRPr="004F374B">
        <w:rPr>
          <w:rFonts w:ascii="Times New Roman" w:hAnsi="Times New Roman" w:cs="Times New Roman"/>
          <w:sz w:val="23"/>
          <w:szCs w:val="23"/>
        </w:rPr>
        <w:t xml:space="preserve">debe tenerse en cuenta que la mejora, conforme ha sido regulada en la normativa de contratación pública, </w:t>
      </w:r>
      <w:r w:rsidR="00A40F67" w:rsidRPr="004F374B">
        <w:rPr>
          <w:rFonts w:ascii="Times New Roman" w:hAnsi="Times New Roman" w:cs="Times New Roman"/>
          <w:sz w:val="23"/>
          <w:szCs w:val="23"/>
          <w:u w:val="single"/>
        </w:rPr>
        <w:t>debe incidir en la performance o utilidad de lo que se contrata</w:t>
      </w:r>
      <w:r w:rsidR="00A40F67" w:rsidRPr="004F374B">
        <w:rPr>
          <w:rFonts w:ascii="Times New Roman" w:hAnsi="Times New Roman" w:cs="Times New Roman"/>
          <w:sz w:val="23"/>
          <w:szCs w:val="23"/>
        </w:rPr>
        <w:t xml:space="preserve">, lo que no implica que dicha potestad de la Entidad pueda ser empleada para obtener beneficios, adicionales y/o prestaciones que debieron formar parte de los requerimientos técnicos mínimos del proceso de selección convocado.    </w:t>
      </w:r>
    </w:p>
    <w:p w:rsidR="00A40F67" w:rsidRPr="004F374B" w:rsidRDefault="00A40F67" w:rsidP="006D5BF6">
      <w:pPr>
        <w:autoSpaceDE w:val="0"/>
        <w:autoSpaceDN w:val="0"/>
        <w:adjustRightInd w:val="0"/>
        <w:spacing w:after="0" w:line="240" w:lineRule="auto"/>
        <w:ind w:right="-1"/>
        <w:jc w:val="both"/>
        <w:rPr>
          <w:rFonts w:ascii="Times New Roman" w:hAnsi="Times New Roman" w:cs="Times New Roman"/>
          <w:sz w:val="23"/>
          <w:szCs w:val="23"/>
        </w:rPr>
      </w:pPr>
    </w:p>
    <w:p w:rsidR="004F3A80" w:rsidRPr="004F374B" w:rsidRDefault="00A40F67" w:rsidP="00A40F67">
      <w:pPr>
        <w:autoSpaceDE w:val="0"/>
        <w:autoSpaceDN w:val="0"/>
        <w:adjustRightInd w:val="0"/>
        <w:spacing w:after="0" w:line="240" w:lineRule="auto"/>
        <w:ind w:right="-1"/>
        <w:jc w:val="both"/>
        <w:rPr>
          <w:rFonts w:ascii="Times New Roman" w:hAnsi="Times New Roman" w:cs="Times New Roman"/>
          <w:sz w:val="23"/>
          <w:szCs w:val="23"/>
        </w:rPr>
      </w:pPr>
      <w:r w:rsidRPr="004F374B">
        <w:rPr>
          <w:rFonts w:ascii="Times New Roman" w:hAnsi="Times New Roman" w:cs="Times New Roman"/>
          <w:sz w:val="23"/>
          <w:szCs w:val="23"/>
        </w:rPr>
        <w:t xml:space="preserve">De lo expuesto por el Comité Especial se desprende que el criterio de calificación establecido en el subfactor “Mejoras 3: Tren Motriz” habría sido establecido a efectos </w:t>
      </w:r>
      <w:r w:rsidRPr="004F374B">
        <w:rPr>
          <w:rFonts w:ascii="Times New Roman" w:hAnsi="Times New Roman" w:cs="Times New Roman"/>
          <w:color w:val="000000"/>
          <w:sz w:val="23"/>
          <w:szCs w:val="23"/>
        </w:rPr>
        <w:t xml:space="preserve">de no sólo satisfacer oportunamente las necesidades del área usuaria sino también mejorar las condiciones de la prestación objeto de la convocatoria, </w:t>
      </w:r>
      <w:r w:rsidR="004F3A80" w:rsidRPr="004F374B">
        <w:rPr>
          <w:rFonts w:ascii="Times New Roman" w:hAnsi="Times New Roman" w:cs="Times New Roman"/>
          <w:color w:val="000000"/>
          <w:sz w:val="23"/>
          <w:szCs w:val="23"/>
        </w:rPr>
        <w:t xml:space="preserve">dado que </w:t>
      </w:r>
      <w:r w:rsidR="004F3A80" w:rsidRPr="004F374B">
        <w:rPr>
          <w:rFonts w:ascii="Times New Roman" w:hAnsi="Times New Roman" w:cs="Times New Roman"/>
          <w:sz w:val="23"/>
          <w:szCs w:val="23"/>
        </w:rPr>
        <w:t xml:space="preserve">contar con todo el tren motriz de la misma marca facilitaría la ejecución de la garantía comercial y permitiría una mejor administración del contrato. Por lo tanto, dado que es responsabilidad de la Entidad la determinación de los factores de evaluación y que el participante solicita eliminar el </w:t>
      </w:r>
      <w:r w:rsidR="004F3A80" w:rsidRPr="004F374B">
        <w:rPr>
          <w:rFonts w:ascii="Times New Roman" w:hAnsi="Times New Roman" w:cs="Times New Roman"/>
          <w:sz w:val="23"/>
          <w:szCs w:val="23"/>
        </w:rPr>
        <w:lastRenderedPageBreak/>
        <w:t xml:space="preserve">subfactor “Mejoras 3: Tren Motriz”, este Organismo Supervisor ha decidido </w:t>
      </w:r>
      <w:r w:rsidR="004F3A80" w:rsidRPr="004F374B">
        <w:rPr>
          <w:rFonts w:ascii="Times New Roman" w:hAnsi="Times New Roman" w:cs="Times New Roman"/>
          <w:b/>
          <w:sz w:val="23"/>
          <w:szCs w:val="23"/>
        </w:rPr>
        <w:t>NO ACOGER</w:t>
      </w:r>
      <w:r w:rsidR="004F3A80" w:rsidRPr="004F374B">
        <w:rPr>
          <w:rFonts w:ascii="Times New Roman" w:hAnsi="Times New Roman" w:cs="Times New Roman"/>
          <w:sz w:val="23"/>
          <w:szCs w:val="23"/>
        </w:rPr>
        <w:t xml:space="preserve"> las Observaciones N° 2  y 6.  </w:t>
      </w:r>
    </w:p>
    <w:p w:rsidR="006D453A" w:rsidRPr="004F374B" w:rsidRDefault="006D453A" w:rsidP="00A40F67">
      <w:pPr>
        <w:autoSpaceDE w:val="0"/>
        <w:autoSpaceDN w:val="0"/>
        <w:adjustRightInd w:val="0"/>
        <w:spacing w:after="0" w:line="240" w:lineRule="auto"/>
        <w:ind w:right="-1"/>
        <w:jc w:val="both"/>
        <w:rPr>
          <w:rFonts w:ascii="Times New Roman" w:hAnsi="Times New Roman" w:cs="Times New Roman"/>
          <w:sz w:val="23"/>
          <w:szCs w:val="23"/>
        </w:rPr>
      </w:pPr>
    </w:p>
    <w:p w:rsidR="004F374B" w:rsidRPr="00EE2751" w:rsidRDefault="004F374B" w:rsidP="004F374B">
      <w:pPr>
        <w:pStyle w:val="WW-Sangra3detindependiente"/>
        <w:suppressAutoHyphens w:val="0"/>
        <w:ind w:left="0" w:firstLine="0"/>
        <w:rPr>
          <w:szCs w:val="24"/>
          <w:lang w:val="es-MX"/>
        </w:rPr>
      </w:pPr>
      <w:r w:rsidRPr="00EE2751">
        <w:rPr>
          <w:color w:val="000000"/>
          <w:szCs w:val="24"/>
          <w:lang w:val="es-PE" w:eastAsia="es-PE"/>
        </w:rPr>
        <w:t>Cabe señalar que</w:t>
      </w:r>
      <w:r w:rsidRPr="00EE2751">
        <w:rPr>
          <w:color w:val="000000"/>
          <w:szCs w:val="24"/>
          <w:lang w:eastAsia="es-PE"/>
        </w:rPr>
        <w:t xml:space="preserve">, en la medida que la determinación de los factores de evaluación y los informes que los sustentan es responsabilidad de la Entidad,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 no siendo este Organismo Supervisor perito técnico en tales aspectos. </w:t>
      </w:r>
    </w:p>
    <w:p w:rsidR="00A40F67" w:rsidRPr="004F374B" w:rsidRDefault="00A40F67" w:rsidP="006D5BF6">
      <w:pPr>
        <w:autoSpaceDE w:val="0"/>
        <w:autoSpaceDN w:val="0"/>
        <w:adjustRightInd w:val="0"/>
        <w:spacing w:after="0" w:line="240" w:lineRule="auto"/>
        <w:ind w:right="-1"/>
        <w:jc w:val="both"/>
        <w:rPr>
          <w:rFonts w:ascii="Times New Roman" w:hAnsi="Times New Roman" w:cs="Times New Roman"/>
          <w:color w:val="000000"/>
          <w:sz w:val="23"/>
          <w:szCs w:val="23"/>
        </w:rPr>
      </w:pPr>
    </w:p>
    <w:p w:rsidR="00160682" w:rsidRPr="004F374B" w:rsidRDefault="00160682" w:rsidP="006D5BF6">
      <w:pPr>
        <w:widowControl w:val="0"/>
        <w:numPr>
          <w:ilvl w:val="0"/>
          <w:numId w:val="18"/>
        </w:numPr>
        <w:tabs>
          <w:tab w:val="clear" w:pos="360"/>
        </w:tabs>
        <w:spacing w:after="0" w:line="240" w:lineRule="auto"/>
        <w:ind w:left="567" w:hanging="567"/>
        <w:jc w:val="both"/>
        <w:rPr>
          <w:rFonts w:ascii="Times New Roman" w:hAnsi="Times New Roman" w:cs="Times New Roman"/>
          <w:b/>
          <w:sz w:val="23"/>
          <w:szCs w:val="23"/>
          <w:lang w:val="es-MX"/>
        </w:rPr>
      </w:pPr>
      <w:r w:rsidRPr="004F374B">
        <w:rPr>
          <w:rFonts w:ascii="Times New Roman" w:hAnsi="Times New Roman" w:cs="Times New Roman"/>
          <w:b/>
          <w:sz w:val="23"/>
          <w:szCs w:val="23"/>
        </w:rPr>
        <w:t xml:space="preserve">CONTENIDO DE LAS BASES CONTRARIO A LA NORMATIVA SOBRE  CONTRATACIONES DEL ESTADO </w:t>
      </w:r>
    </w:p>
    <w:p w:rsidR="00160682" w:rsidRPr="004F374B" w:rsidRDefault="00160682" w:rsidP="006D5BF6">
      <w:pPr>
        <w:widowControl w:val="0"/>
        <w:tabs>
          <w:tab w:val="left" w:pos="540"/>
        </w:tabs>
        <w:spacing w:after="0" w:line="240" w:lineRule="auto"/>
        <w:jc w:val="both"/>
        <w:rPr>
          <w:rFonts w:ascii="Times New Roman" w:eastAsia="Times New Roman" w:hAnsi="Times New Roman" w:cs="Times New Roman"/>
          <w:sz w:val="23"/>
          <w:szCs w:val="23"/>
          <w:lang w:val="es-MX" w:eastAsia="es-MX"/>
        </w:rPr>
      </w:pPr>
      <w:r w:rsidRPr="004F374B">
        <w:rPr>
          <w:rFonts w:ascii="Times New Roman" w:eastAsia="Times New Roman" w:hAnsi="Times New Roman" w:cs="Times New Roman"/>
          <w:sz w:val="23"/>
          <w:szCs w:val="23"/>
          <w:lang w:val="es-MX" w:eastAsia="es-MX"/>
        </w:rPr>
        <w:t xml:space="preserve"> </w:t>
      </w:r>
    </w:p>
    <w:p w:rsidR="00160682" w:rsidRPr="004F374B" w:rsidRDefault="00160682" w:rsidP="006D5BF6">
      <w:pPr>
        <w:widowControl w:val="0"/>
        <w:tabs>
          <w:tab w:val="left" w:pos="540"/>
        </w:tabs>
        <w:spacing w:after="0" w:line="240" w:lineRule="auto"/>
        <w:jc w:val="both"/>
        <w:rPr>
          <w:rFonts w:ascii="Times New Roman" w:hAnsi="Times New Roman" w:cs="Times New Roman"/>
          <w:sz w:val="23"/>
          <w:szCs w:val="23"/>
          <w:lang w:val="es-MX" w:eastAsia="es-MX"/>
        </w:rPr>
      </w:pPr>
      <w:r w:rsidRPr="004F374B">
        <w:rPr>
          <w:rFonts w:ascii="Times New Roman" w:hAnsi="Times New Roman" w:cs="Times New Roman"/>
          <w:sz w:val="23"/>
          <w:szCs w:val="23"/>
          <w:lang w:val="es-MX" w:eastAsia="es-MX"/>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160682" w:rsidRPr="004F374B" w:rsidRDefault="00160682" w:rsidP="006D5BF6">
      <w:pPr>
        <w:pStyle w:val="Textoindependiente2"/>
        <w:widowControl w:val="0"/>
        <w:tabs>
          <w:tab w:val="num" w:pos="1250"/>
        </w:tabs>
        <w:spacing w:after="0" w:line="240" w:lineRule="auto"/>
        <w:jc w:val="both"/>
        <w:rPr>
          <w:rFonts w:ascii="Times New Roman" w:hAnsi="Times New Roman" w:cs="Times New Roman"/>
          <w:b/>
          <w:snapToGrid w:val="0"/>
          <w:sz w:val="23"/>
          <w:szCs w:val="23"/>
        </w:rPr>
      </w:pPr>
    </w:p>
    <w:p w:rsidR="00160682" w:rsidRPr="004F374B" w:rsidRDefault="00160682" w:rsidP="006D5BF6">
      <w:pPr>
        <w:pStyle w:val="Textoindependiente2"/>
        <w:widowControl w:val="0"/>
        <w:numPr>
          <w:ilvl w:val="1"/>
          <w:numId w:val="20"/>
        </w:numPr>
        <w:tabs>
          <w:tab w:val="num" w:pos="1250"/>
        </w:tabs>
        <w:spacing w:after="0" w:line="240" w:lineRule="auto"/>
        <w:jc w:val="both"/>
        <w:rPr>
          <w:rFonts w:ascii="Times New Roman" w:hAnsi="Times New Roman" w:cs="Times New Roman"/>
          <w:b/>
          <w:snapToGrid w:val="0"/>
          <w:sz w:val="23"/>
          <w:szCs w:val="23"/>
        </w:rPr>
      </w:pPr>
      <w:r w:rsidRPr="004F374B">
        <w:rPr>
          <w:rFonts w:ascii="Times New Roman" w:hAnsi="Times New Roman" w:cs="Times New Roman"/>
          <w:b/>
          <w:snapToGrid w:val="0"/>
          <w:sz w:val="23"/>
          <w:szCs w:val="23"/>
        </w:rPr>
        <w:t xml:space="preserve">Resumen Ejecutivo </w:t>
      </w:r>
    </w:p>
    <w:p w:rsidR="00160682" w:rsidRPr="004F374B" w:rsidRDefault="00160682" w:rsidP="006D5BF6">
      <w:pPr>
        <w:pStyle w:val="Textoindependiente2"/>
        <w:widowControl w:val="0"/>
        <w:tabs>
          <w:tab w:val="num" w:pos="1250"/>
        </w:tabs>
        <w:spacing w:after="0" w:line="240" w:lineRule="auto"/>
        <w:jc w:val="both"/>
        <w:rPr>
          <w:rFonts w:ascii="Times New Roman" w:hAnsi="Times New Roman" w:cs="Times New Roman"/>
          <w:snapToGrid w:val="0"/>
          <w:sz w:val="23"/>
          <w:szCs w:val="23"/>
        </w:rPr>
      </w:pPr>
    </w:p>
    <w:p w:rsidR="00D10C71" w:rsidRPr="004F374B" w:rsidRDefault="00D10C71" w:rsidP="006D5BF6">
      <w:pPr>
        <w:pStyle w:val="Textoindependiente2"/>
        <w:widowControl w:val="0"/>
        <w:tabs>
          <w:tab w:val="num" w:pos="1250"/>
        </w:tabs>
        <w:spacing w:after="0" w:line="240" w:lineRule="auto"/>
        <w:jc w:val="both"/>
        <w:rPr>
          <w:rFonts w:ascii="Times New Roman" w:hAnsi="Times New Roman" w:cs="Times New Roman"/>
          <w:sz w:val="23"/>
          <w:szCs w:val="23"/>
          <w:lang w:val="es-ES_tradnl"/>
        </w:rPr>
      </w:pPr>
      <w:r w:rsidRPr="004F374B">
        <w:rPr>
          <w:rFonts w:ascii="Times New Roman" w:hAnsi="Times New Roman" w:cs="Times New Roman"/>
          <w:sz w:val="23"/>
          <w:szCs w:val="23"/>
          <w:lang w:val="es-ES_tradnl"/>
        </w:rPr>
        <w:t xml:space="preserve">De la revisión de la información registrada en el Sistema Electrónico de las Contrataciones del Estado (SEACE) se advierte que no se publicó el “Formato del Cuadro Comparativo”, lo cual no se ajusta con lo señalado en la Directiva N°004-2013-OSCE/CD. En ese sentido, junto con las Bases Integradas deberá publicarse el “Formato del Cuadro Comparativo” cada ítem, el cual deberá guarda congruencia con lo declarado en el “Formato del Resumen Ejecutivo”. </w:t>
      </w:r>
    </w:p>
    <w:p w:rsidR="00160682" w:rsidRPr="004F374B" w:rsidRDefault="00160682" w:rsidP="006D5BF6">
      <w:pPr>
        <w:tabs>
          <w:tab w:val="left" w:pos="1440"/>
        </w:tabs>
        <w:autoSpaceDE w:val="0"/>
        <w:autoSpaceDN w:val="0"/>
        <w:adjustRightInd w:val="0"/>
        <w:spacing w:after="0" w:line="240" w:lineRule="auto"/>
        <w:jc w:val="both"/>
        <w:rPr>
          <w:rFonts w:ascii="Times New Roman" w:hAnsi="Times New Roman" w:cs="Times New Roman"/>
          <w:sz w:val="23"/>
          <w:szCs w:val="23"/>
        </w:rPr>
      </w:pPr>
    </w:p>
    <w:p w:rsidR="00A8433D" w:rsidRPr="004F374B" w:rsidRDefault="00A8433D" w:rsidP="006D5BF6">
      <w:pPr>
        <w:pStyle w:val="Textoindependiente2"/>
        <w:widowControl w:val="0"/>
        <w:numPr>
          <w:ilvl w:val="1"/>
          <w:numId w:val="20"/>
        </w:numPr>
        <w:tabs>
          <w:tab w:val="num" w:pos="1250"/>
        </w:tabs>
        <w:spacing w:after="0" w:line="240" w:lineRule="auto"/>
        <w:jc w:val="both"/>
        <w:rPr>
          <w:rFonts w:ascii="Times New Roman" w:hAnsi="Times New Roman" w:cs="Times New Roman"/>
          <w:b/>
          <w:snapToGrid w:val="0"/>
          <w:sz w:val="23"/>
          <w:szCs w:val="23"/>
        </w:rPr>
      </w:pPr>
      <w:r w:rsidRPr="004F374B">
        <w:rPr>
          <w:rFonts w:ascii="Times New Roman" w:hAnsi="Times New Roman" w:cs="Times New Roman"/>
          <w:b/>
          <w:snapToGrid w:val="0"/>
          <w:sz w:val="23"/>
          <w:szCs w:val="23"/>
        </w:rPr>
        <w:t>Del pliego absolutorio de observaciones</w:t>
      </w:r>
    </w:p>
    <w:p w:rsidR="00A8433D" w:rsidRPr="004F374B" w:rsidRDefault="00A8433D" w:rsidP="006D5BF6">
      <w:pPr>
        <w:pStyle w:val="Textoindependiente2"/>
        <w:widowControl w:val="0"/>
        <w:tabs>
          <w:tab w:val="num" w:pos="1250"/>
        </w:tabs>
        <w:spacing w:after="0" w:line="240" w:lineRule="auto"/>
        <w:jc w:val="both"/>
        <w:rPr>
          <w:rFonts w:ascii="Times New Roman" w:hAnsi="Times New Roman" w:cs="Times New Roman"/>
          <w:b/>
          <w:snapToGrid w:val="0"/>
          <w:sz w:val="23"/>
          <w:szCs w:val="23"/>
        </w:rPr>
      </w:pPr>
    </w:p>
    <w:p w:rsidR="00DB4EED" w:rsidRPr="004F374B" w:rsidRDefault="00A8433D" w:rsidP="006D5BF6">
      <w:pPr>
        <w:pStyle w:val="Textoindependiente2"/>
        <w:widowControl w:val="0"/>
        <w:tabs>
          <w:tab w:val="num" w:pos="1250"/>
        </w:tabs>
        <w:spacing w:after="0" w:line="240" w:lineRule="auto"/>
        <w:jc w:val="both"/>
        <w:rPr>
          <w:rFonts w:ascii="Times New Roman" w:hAnsi="Times New Roman" w:cs="Times New Roman"/>
          <w:sz w:val="23"/>
          <w:szCs w:val="23"/>
        </w:rPr>
      </w:pPr>
      <w:r w:rsidRPr="004F374B">
        <w:rPr>
          <w:rFonts w:ascii="Times New Roman" w:hAnsi="Times New Roman" w:cs="Times New Roman"/>
          <w:snapToGrid w:val="0"/>
          <w:sz w:val="23"/>
          <w:szCs w:val="23"/>
        </w:rPr>
        <w:t>Del pliego absolutorio de observaciones se advierte que con ocasión de la absolución de</w:t>
      </w:r>
      <w:r w:rsidR="00DB4EED" w:rsidRPr="004F374B">
        <w:rPr>
          <w:rFonts w:ascii="Times New Roman" w:hAnsi="Times New Roman" w:cs="Times New Roman"/>
          <w:snapToGrid w:val="0"/>
          <w:sz w:val="23"/>
          <w:szCs w:val="23"/>
        </w:rPr>
        <w:t xml:space="preserve">  las Observaciones</w:t>
      </w:r>
      <w:r w:rsidRPr="004F374B">
        <w:rPr>
          <w:rFonts w:ascii="Times New Roman" w:hAnsi="Times New Roman" w:cs="Times New Roman"/>
          <w:snapToGrid w:val="0"/>
          <w:sz w:val="23"/>
          <w:szCs w:val="23"/>
        </w:rPr>
        <w:t xml:space="preserve"> N° 3</w:t>
      </w:r>
      <w:r w:rsidR="00DB4EED" w:rsidRPr="004F374B">
        <w:rPr>
          <w:rFonts w:ascii="Times New Roman" w:hAnsi="Times New Roman" w:cs="Times New Roman"/>
          <w:snapToGrid w:val="0"/>
          <w:sz w:val="23"/>
          <w:szCs w:val="23"/>
        </w:rPr>
        <w:t xml:space="preserve"> y 7</w:t>
      </w:r>
      <w:r w:rsidRPr="004F374B">
        <w:rPr>
          <w:rFonts w:ascii="Times New Roman" w:hAnsi="Times New Roman" w:cs="Times New Roman"/>
          <w:snapToGrid w:val="0"/>
          <w:sz w:val="23"/>
          <w:szCs w:val="23"/>
        </w:rPr>
        <w:t xml:space="preserve">, formulada por el participante </w:t>
      </w:r>
      <w:r w:rsidRPr="004F374B">
        <w:rPr>
          <w:rFonts w:ascii="Times New Roman" w:hAnsi="Times New Roman" w:cs="Times New Roman"/>
          <w:b/>
          <w:sz w:val="23"/>
          <w:szCs w:val="23"/>
        </w:rPr>
        <w:t xml:space="preserve">MOTORES DIESEL ANDINOS SA, </w:t>
      </w:r>
      <w:r w:rsidR="00DB4EED" w:rsidRPr="004F374B">
        <w:rPr>
          <w:rFonts w:ascii="Times New Roman" w:hAnsi="Times New Roman" w:cs="Times New Roman"/>
          <w:sz w:val="23"/>
          <w:szCs w:val="23"/>
        </w:rPr>
        <w:t xml:space="preserve">el Comité Especial adecuó </w:t>
      </w:r>
      <w:r w:rsidRPr="004F374B">
        <w:rPr>
          <w:rFonts w:ascii="Times New Roman" w:hAnsi="Times New Roman" w:cs="Times New Roman"/>
          <w:sz w:val="23"/>
          <w:szCs w:val="23"/>
        </w:rPr>
        <w:t>la metodología de asignación de puntajes de los factores de evaluación previstos</w:t>
      </w:r>
      <w:r w:rsidR="00DB4EED" w:rsidRPr="004F374B">
        <w:rPr>
          <w:rFonts w:ascii="Times New Roman" w:hAnsi="Times New Roman" w:cs="Times New Roman"/>
          <w:sz w:val="23"/>
          <w:szCs w:val="23"/>
        </w:rPr>
        <w:t xml:space="preserve"> tanto para el ítem 1 como ítem 2, quedando, entre otros, el factor “Disponibilidad del servicio y repuestos” de la siguiente manera: </w:t>
      </w:r>
    </w:p>
    <w:p w:rsidR="00DB4EED" w:rsidRPr="004F374B" w:rsidRDefault="00DB4EED" w:rsidP="006D5BF6">
      <w:pPr>
        <w:pStyle w:val="Textoindependiente2"/>
        <w:widowControl w:val="0"/>
        <w:tabs>
          <w:tab w:val="num" w:pos="1250"/>
        </w:tabs>
        <w:spacing w:after="0" w:line="240" w:lineRule="auto"/>
        <w:jc w:val="both"/>
        <w:rPr>
          <w:rFonts w:ascii="Times New Roman" w:hAnsi="Times New Roman" w:cs="Times New Roman"/>
          <w:sz w:val="23"/>
          <w:szCs w:val="23"/>
        </w:rPr>
      </w:pPr>
    </w:p>
    <w:p w:rsidR="00DB4EED" w:rsidRPr="004F374B" w:rsidRDefault="00DB4EED" w:rsidP="006D5BF6">
      <w:pPr>
        <w:pStyle w:val="Textoindependiente2"/>
        <w:widowControl w:val="0"/>
        <w:tabs>
          <w:tab w:val="num" w:pos="1250"/>
        </w:tabs>
        <w:spacing w:after="0" w:line="240" w:lineRule="auto"/>
        <w:jc w:val="both"/>
        <w:rPr>
          <w:rFonts w:ascii="Times New Roman" w:hAnsi="Times New Roman" w:cs="Times New Roman"/>
          <w:sz w:val="23"/>
          <w:szCs w:val="23"/>
        </w:rPr>
      </w:pPr>
      <w:r w:rsidRPr="004F374B">
        <w:rPr>
          <w:rFonts w:ascii="Times New Roman" w:hAnsi="Times New Roman" w:cs="Times New Roman"/>
          <w:noProof/>
          <w:sz w:val="23"/>
          <w:szCs w:val="23"/>
        </w:rPr>
        <w:drawing>
          <wp:inline distT="0" distB="0" distL="0" distR="0">
            <wp:extent cx="5321300" cy="1479550"/>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1300" cy="1479550"/>
                    </a:xfrm>
                    <a:prstGeom prst="rect">
                      <a:avLst/>
                    </a:prstGeom>
                    <a:noFill/>
                    <a:ln>
                      <a:noFill/>
                    </a:ln>
                  </pic:spPr>
                </pic:pic>
              </a:graphicData>
            </a:graphic>
          </wp:inline>
        </w:drawing>
      </w:r>
    </w:p>
    <w:p w:rsidR="00DB4EED" w:rsidRPr="004F374B" w:rsidRDefault="00DB4EED" w:rsidP="006D5BF6">
      <w:pPr>
        <w:pStyle w:val="Textoindependiente2"/>
        <w:widowControl w:val="0"/>
        <w:tabs>
          <w:tab w:val="num" w:pos="1250"/>
        </w:tabs>
        <w:spacing w:after="0" w:line="240" w:lineRule="auto"/>
        <w:jc w:val="both"/>
        <w:rPr>
          <w:rFonts w:ascii="Times New Roman" w:hAnsi="Times New Roman" w:cs="Times New Roman"/>
          <w:sz w:val="23"/>
          <w:szCs w:val="23"/>
        </w:rPr>
      </w:pPr>
    </w:p>
    <w:p w:rsidR="00A8433D" w:rsidRDefault="00DB4EED" w:rsidP="006D5BF6">
      <w:pPr>
        <w:pStyle w:val="Textoindependiente2"/>
        <w:widowControl w:val="0"/>
        <w:tabs>
          <w:tab w:val="num" w:pos="1250"/>
        </w:tabs>
        <w:spacing w:after="0" w:line="240" w:lineRule="auto"/>
        <w:jc w:val="both"/>
        <w:rPr>
          <w:rFonts w:ascii="Times New Roman" w:hAnsi="Times New Roman" w:cs="Times New Roman"/>
          <w:sz w:val="23"/>
          <w:szCs w:val="23"/>
        </w:rPr>
      </w:pPr>
      <w:r w:rsidRPr="004F374B">
        <w:rPr>
          <w:rFonts w:ascii="Times New Roman" w:hAnsi="Times New Roman" w:cs="Times New Roman"/>
          <w:sz w:val="23"/>
          <w:szCs w:val="23"/>
        </w:rPr>
        <w:t xml:space="preserve">Al respecto, cabe señalar que los rangos de evaluación del referido factor de evaluación no </w:t>
      </w:r>
      <w:r w:rsidRPr="004F374B">
        <w:rPr>
          <w:rFonts w:ascii="Times New Roman" w:hAnsi="Times New Roman" w:cs="Times New Roman"/>
          <w:sz w:val="23"/>
          <w:szCs w:val="23"/>
        </w:rPr>
        <w:lastRenderedPageBreak/>
        <w:t xml:space="preserve">se encuentran adecuadamente determinados, puesto que habría una superposición entre los mismos, ya que aquel que oferte atender la solicitud de la Entidad a las 50 horas de recibida podría recibir cinco (5) puntos, como dos (2) puntos, lo cual no se ajusta con lo señalado en el artículo 43° del Reglamento. En ese sentido, con ocasión de la integración de las Bases, </w:t>
      </w:r>
      <w:r w:rsidRPr="004F374B">
        <w:rPr>
          <w:rFonts w:ascii="Times New Roman" w:hAnsi="Times New Roman" w:cs="Times New Roman"/>
          <w:b/>
          <w:sz w:val="23"/>
          <w:szCs w:val="23"/>
          <w:u w:val="single"/>
        </w:rPr>
        <w:t>deberá corregirse</w:t>
      </w:r>
      <w:r w:rsidR="004F374B">
        <w:rPr>
          <w:rFonts w:ascii="Times New Roman" w:hAnsi="Times New Roman" w:cs="Times New Roman"/>
          <w:sz w:val="23"/>
          <w:szCs w:val="23"/>
        </w:rPr>
        <w:t xml:space="preserve"> la incongruencia advertida de manera tal que quede la siguiente manera los rangos de evaluación: </w:t>
      </w:r>
    </w:p>
    <w:p w:rsidR="004F374B" w:rsidRDefault="004F374B" w:rsidP="006D5BF6">
      <w:pPr>
        <w:pStyle w:val="Textoindependiente2"/>
        <w:widowControl w:val="0"/>
        <w:tabs>
          <w:tab w:val="num" w:pos="1250"/>
        </w:tabs>
        <w:spacing w:after="0" w:line="240" w:lineRule="auto"/>
        <w:jc w:val="both"/>
        <w:rPr>
          <w:rFonts w:ascii="Times New Roman" w:hAnsi="Times New Roman" w:cs="Times New Roman"/>
          <w:sz w:val="23"/>
          <w:szCs w:val="23"/>
        </w:rPr>
      </w:pPr>
    </w:p>
    <w:p w:rsidR="004F374B" w:rsidRPr="00152DC2" w:rsidRDefault="004F374B" w:rsidP="00152DC2">
      <w:pPr>
        <w:pStyle w:val="Textoindependiente2"/>
        <w:widowControl w:val="0"/>
        <w:tabs>
          <w:tab w:val="num" w:pos="1250"/>
        </w:tabs>
        <w:spacing w:after="0" w:line="240" w:lineRule="auto"/>
        <w:ind w:left="851"/>
        <w:jc w:val="both"/>
        <w:rPr>
          <w:rFonts w:ascii="Times New Roman" w:hAnsi="Times New Roman" w:cs="Times New Roman"/>
          <w:i/>
          <w:sz w:val="23"/>
          <w:szCs w:val="23"/>
        </w:rPr>
      </w:pPr>
      <w:r w:rsidRPr="00152DC2">
        <w:rPr>
          <w:rFonts w:ascii="Times New Roman" w:hAnsi="Times New Roman" w:cs="Times New Roman"/>
          <w:i/>
          <w:sz w:val="23"/>
          <w:szCs w:val="23"/>
        </w:rPr>
        <w:t>“A las 48 horas de recibida la solicitud hasta antes de las 72 horas: 10 puntos</w:t>
      </w:r>
    </w:p>
    <w:p w:rsidR="00152DC2" w:rsidRPr="00152DC2" w:rsidRDefault="00152DC2" w:rsidP="00152DC2">
      <w:pPr>
        <w:pStyle w:val="Textoindependiente2"/>
        <w:widowControl w:val="0"/>
        <w:tabs>
          <w:tab w:val="num" w:pos="1250"/>
        </w:tabs>
        <w:spacing w:after="0" w:line="240" w:lineRule="auto"/>
        <w:ind w:left="851"/>
        <w:jc w:val="both"/>
        <w:rPr>
          <w:rFonts w:ascii="Times New Roman" w:hAnsi="Times New Roman" w:cs="Times New Roman"/>
          <w:i/>
          <w:sz w:val="23"/>
          <w:szCs w:val="23"/>
        </w:rPr>
      </w:pPr>
      <w:r w:rsidRPr="00152DC2">
        <w:rPr>
          <w:rFonts w:ascii="Times New Roman" w:hAnsi="Times New Roman" w:cs="Times New Roman"/>
          <w:i/>
          <w:sz w:val="23"/>
          <w:szCs w:val="23"/>
        </w:rPr>
        <w:t>A las 72 horas de recibida la solicitud hasta antes de las 96 horas: 05 puntos</w:t>
      </w:r>
    </w:p>
    <w:p w:rsidR="004F374B" w:rsidRPr="00152DC2" w:rsidRDefault="00152DC2" w:rsidP="00152DC2">
      <w:pPr>
        <w:pStyle w:val="Textoindependiente2"/>
        <w:widowControl w:val="0"/>
        <w:tabs>
          <w:tab w:val="num" w:pos="1250"/>
        </w:tabs>
        <w:spacing w:after="0" w:line="240" w:lineRule="auto"/>
        <w:ind w:left="851"/>
        <w:jc w:val="both"/>
        <w:rPr>
          <w:rFonts w:ascii="Times New Roman" w:hAnsi="Times New Roman" w:cs="Times New Roman"/>
          <w:i/>
          <w:sz w:val="23"/>
          <w:szCs w:val="23"/>
        </w:rPr>
      </w:pPr>
      <w:r w:rsidRPr="00152DC2">
        <w:rPr>
          <w:rFonts w:ascii="Times New Roman" w:hAnsi="Times New Roman" w:cs="Times New Roman"/>
          <w:i/>
          <w:sz w:val="23"/>
          <w:szCs w:val="23"/>
        </w:rPr>
        <w:t>A las 96 horas de  recibida la solicitud: 02 puntos</w:t>
      </w:r>
      <w:r w:rsidR="004F374B" w:rsidRPr="00152DC2">
        <w:rPr>
          <w:rFonts w:ascii="Times New Roman" w:hAnsi="Times New Roman" w:cs="Times New Roman"/>
          <w:i/>
          <w:sz w:val="23"/>
          <w:szCs w:val="23"/>
        </w:rPr>
        <w:t>”</w:t>
      </w:r>
      <w:r>
        <w:rPr>
          <w:rFonts w:ascii="Times New Roman" w:hAnsi="Times New Roman" w:cs="Times New Roman"/>
          <w:i/>
          <w:sz w:val="23"/>
          <w:szCs w:val="23"/>
        </w:rPr>
        <w:t xml:space="preserve">. </w:t>
      </w:r>
    </w:p>
    <w:p w:rsidR="004F374B" w:rsidRPr="004F374B" w:rsidRDefault="004F374B" w:rsidP="006D5BF6">
      <w:pPr>
        <w:pStyle w:val="Textoindependiente2"/>
        <w:widowControl w:val="0"/>
        <w:tabs>
          <w:tab w:val="num" w:pos="1250"/>
        </w:tabs>
        <w:spacing w:after="0" w:line="240" w:lineRule="auto"/>
        <w:jc w:val="both"/>
        <w:rPr>
          <w:rFonts w:ascii="Times New Roman" w:hAnsi="Times New Roman" w:cs="Times New Roman"/>
          <w:b/>
          <w:snapToGrid w:val="0"/>
          <w:sz w:val="23"/>
          <w:szCs w:val="23"/>
        </w:rPr>
      </w:pPr>
    </w:p>
    <w:p w:rsidR="00160682" w:rsidRPr="004F374B" w:rsidRDefault="00DD1E8A" w:rsidP="006D5BF6">
      <w:pPr>
        <w:pStyle w:val="Textoindependiente2"/>
        <w:widowControl w:val="0"/>
        <w:numPr>
          <w:ilvl w:val="1"/>
          <w:numId w:val="20"/>
        </w:numPr>
        <w:tabs>
          <w:tab w:val="num" w:pos="1250"/>
        </w:tabs>
        <w:spacing w:after="0" w:line="240" w:lineRule="auto"/>
        <w:jc w:val="both"/>
        <w:rPr>
          <w:rFonts w:ascii="Times New Roman" w:hAnsi="Times New Roman" w:cs="Times New Roman"/>
          <w:b/>
          <w:snapToGrid w:val="0"/>
          <w:sz w:val="23"/>
          <w:szCs w:val="23"/>
        </w:rPr>
      </w:pPr>
      <w:r w:rsidRPr="004F374B">
        <w:rPr>
          <w:rFonts w:ascii="Times New Roman" w:hAnsi="Times New Roman" w:cs="Times New Roman"/>
          <w:b/>
          <w:snapToGrid w:val="0"/>
          <w:sz w:val="23"/>
          <w:szCs w:val="23"/>
        </w:rPr>
        <w:t xml:space="preserve">Propuesta técnica </w:t>
      </w:r>
    </w:p>
    <w:p w:rsidR="00DD1E8A" w:rsidRPr="004F374B" w:rsidRDefault="00DD1E8A" w:rsidP="006D5BF6">
      <w:pPr>
        <w:pStyle w:val="Textoindependiente2"/>
        <w:widowControl w:val="0"/>
        <w:spacing w:after="0" w:line="240" w:lineRule="auto"/>
        <w:jc w:val="both"/>
        <w:rPr>
          <w:rFonts w:ascii="Times New Roman" w:hAnsi="Times New Roman" w:cs="Times New Roman"/>
          <w:b/>
          <w:snapToGrid w:val="0"/>
          <w:sz w:val="23"/>
          <w:szCs w:val="23"/>
        </w:rPr>
      </w:pPr>
    </w:p>
    <w:p w:rsidR="00DD1E8A" w:rsidRPr="004F374B" w:rsidRDefault="00ED680D" w:rsidP="006D5BF6">
      <w:pPr>
        <w:pStyle w:val="Textoindependiente2"/>
        <w:widowControl w:val="0"/>
        <w:spacing w:after="0" w:line="240" w:lineRule="auto"/>
        <w:jc w:val="both"/>
        <w:rPr>
          <w:rFonts w:ascii="Times New Roman" w:hAnsi="Times New Roman" w:cs="Times New Roman"/>
          <w:i/>
          <w:snapToGrid w:val="0"/>
          <w:sz w:val="23"/>
          <w:szCs w:val="23"/>
        </w:rPr>
      </w:pPr>
      <w:r w:rsidRPr="004F374B">
        <w:rPr>
          <w:rFonts w:ascii="Times New Roman" w:hAnsi="Times New Roman" w:cs="Times New Roman"/>
          <w:snapToGrid w:val="0"/>
          <w:sz w:val="23"/>
          <w:szCs w:val="23"/>
        </w:rPr>
        <w:t>De la documentación de presentación obligatoria se advierte</w:t>
      </w:r>
      <w:r w:rsidR="00327FAA" w:rsidRPr="004F374B">
        <w:rPr>
          <w:rFonts w:ascii="Times New Roman" w:hAnsi="Times New Roman" w:cs="Times New Roman"/>
          <w:snapToGrid w:val="0"/>
          <w:sz w:val="23"/>
          <w:szCs w:val="23"/>
        </w:rPr>
        <w:t xml:space="preserve"> que en el literal b</w:t>
      </w:r>
      <w:r w:rsidRPr="004F374B">
        <w:rPr>
          <w:rFonts w:ascii="Times New Roman" w:hAnsi="Times New Roman" w:cs="Times New Roman"/>
          <w:snapToGrid w:val="0"/>
          <w:sz w:val="23"/>
          <w:szCs w:val="23"/>
        </w:rPr>
        <w:t xml:space="preserve">) </w:t>
      </w:r>
      <w:r w:rsidR="00327FAA" w:rsidRPr="004F374B">
        <w:rPr>
          <w:rFonts w:ascii="Times New Roman" w:hAnsi="Times New Roman" w:cs="Times New Roman"/>
          <w:snapToGrid w:val="0"/>
          <w:sz w:val="23"/>
          <w:szCs w:val="23"/>
        </w:rPr>
        <w:t xml:space="preserve">se solicita: </w:t>
      </w:r>
      <w:r w:rsidR="00327FAA" w:rsidRPr="004F374B">
        <w:rPr>
          <w:rFonts w:ascii="Times New Roman" w:hAnsi="Times New Roman" w:cs="Times New Roman"/>
          <w:i/>
          <w:snapToGrid w:val="0"/>
          <w:sz w:val="23"/>
          <w:szCs w:val="23"/>
        </w:rPr>
        <w:t xml:space="preserve">“Declaración jurada simple de cumplimiento de los requerimientos técnicos mínimos contenidos en el Capítulo III de la presente sección, sustentado con documentación técnica </w:t>
      </w:r>
      <w:r w:rsidR="00D1651D" w:rsidRPr="004F374B">
        <w:rPr>
          <w:rFonts w:ascii="Times New Roman" w:hAnsi="Times New Roman" w:cs="Times New Roman"/>
          <w:i/>
          <w:snapToGrid w:val="0"/>
          <w:sz w:val="23"/>
          <w:szCs w:val="23"/>
        </w:rPr>
        <w:t>del fabricante (catálogos, fichas técnicas, curvas de motor, entre otros). (Anexo N° 2)</w:t>
      </w:r>
      <w:r w:rsidR="00327FAA" w:rsidRPr="004F374B">
        <w:rPr>
          <w:rFonts w:ascii="Times New Roman" w:hAnsi="Times New Roman" w:cs="Times New Roman"/>
          <w:i/>
          <w:snapToGrid w:val="0"/>
          <w:sz w:val="23"/>
          <w:szCs w:val="23"/>
        </w:rPr>
        <w:t>”</w:t>
      </w:r>
      <w:r w:rsidR="00D1651D" w:rsidRPr="004F374B">
        <w:rPr>
          <w:rFonts w:ascii="Times New Roman" w:hAnsi="Times New Roman" w:cs="Times New Roman"/>
          <w:i/>
          <w:snapToGrid w:val="0"/>
          <w:sz w:val="23"/>
          <w:szCs w:val="23"/>
        </w:rPr>
        <w:t xml:space="preserve">. </w:t>
      </w:r>
    </w:p>
    <w:p w:rsidR="00D1651D" w:rsidRPr="004F374B" w:rsidRDefault="00D1651D" w:rsidP="006D5BF6">
      <w:pPr>
        <w:pStyle w:val="Textoindependiente2"/>
        <w:widowControl w:val="0"/>
        <w:spacing w:after="0" w:line="240" w:lineRule="auto"/>
        <w:jc w:val="both"/>
        <w:rPr>
          <w:rFonts w:ascii="Times New Roman" w:hAnsi="Times New Roman" w:cs="Times New Roman"/>
          <w:i/>
          <w:snapToGrid w:val="0"/>
          <w:sz w:val="23"/>
          <w:szCs w:val="23"/>
        </w:rPr>
      </w:pPr>
    </w:p>
    <w:p w:rsidR="00C479D1" w:rsidRPr="004F374B" w:rsidRDefault="00D1651D" w:rsidP="006D5BF6">
      <w:pPr>
        <w:pStyle w:val="Textoindependiente2"/>
        <w:widowControl w:val="0"/>
        <w:spacing w:after="0" w:line="240" w:lineRule="auto"/>
        <w:jc w:val="both"/>
        <w:rPr>
          <w:rFonts w:ascii="Times New Roman" w:hAnsi="Times New Roman" w:cs="Times New Roman"/>
          <w:snapToGrid w:val="0"/>
          <w:sz w:val="23"/>
          <w:szCs w:val="23"/>
        </w:rPr>
      </w:pPr>
      <w:r w:rsidRPr="004F374B">
        <w:rPr>
          <w:rFonts w:ascii="Times New Roman" w:hAnsi="Times New Roman" w:cs="Times New Roman"/>
          <w:snapToGrid w:val="0"/>
          <w:sz w:val="23"/>
          <w:szCs w:val="23"/>
        </w:rPr>
        <w:t xml:space="preserve">Por su parte, en la documentación de presentación facultativa se advierte que se solicita lo siguiente: </w:t>
      </w:r>
      <w:r w:rsidRPr="004F374B">
        <w:rPr>
          <w:rFonts w:ascii="Times New Roman" w:hAnsi="Times New Roman" w:cs="Times New Roman"/>
          <w:i/>
          <w:snapToGrid w:val="0"/>
          <w:sz w:val="23"/>
          <w:szCs w:val="23"/>
        </w:rPr>
        <w:t>“Factor Mejoras a las Características Técnicas de los Bienes y las Condiciones Previstas: Se acreditará mediante la presentación de una Declaración Jurada sustentado con Documentación técnica del Fabricante”.</w:t>
      </w:r>
      <w:r w:rsidRPr="004F374B">
        <w:rPr>
          <w:rFonts w:ascii="Times New Roman" w:hAnsi="Times New Roman" w:cs="Times New Roman"/>
          <w:snapToGrid w:val="0"/>
          <w:sz w:val="23"/>
          <w:szCs w:val="23"/>
        </w:rPr>
        <w:t xml:space="preserve"> </w:t>
      </w:r>
    </w:p>
    <w:p w:rsidR="00C479D1" w:rsidRPr="004F374B" w:rsidRDefault="00C479D1" w:rsidP="006D5BF6">
      <w:pPr>
        <w:pStyle w:val="Textoindependiente2"/>
        <w:widowControl w:val="0"/>
        <w:spacing w:after="0" w:line="240" w:lineRule="auto"/>
        <w:jc w:val="both"/>
        <w:rPr>
          <w:rFonts w:ascii="Times New Roman" w:hAnsi="Times New Roman" w:cs="Times New Roman"/>
          <w:snapToGrid w:val="0"/>
          <w:sz w:val="23"/>
          <w:szCs w:val="23"/>
        </w:rPr>
      </w:pPr>
    </w:p>
    <w:p w:rsidR="00C479D1" w:rsidRPr="004F374B" w:rsidRDefault="00C479D1" w:rsidP="006D5BF6">
      <w:pPr>
        <w:pStyle w:val="Textoindependiente2"/>
        <w:widowControl w:val="0"/>
        <w:spacing w:after="0" w:line="240" w:lineRule="auto"/>
        <w:jc w:val="both"/>
        <w:rPr>
          <w:rFonts w:ascii="Times New Roman" w:hAnsi="Times New Roman" w:cs="Times New Roman"/>
          <w:iCs/>
          <w:color w:val="000000"/>
          <w:sz w:val="23"/>
          <w:szCs w:val="23"/>
        </w:rPr>
      </w:pPr>
      <w:r w:rsidRPr="004F374B">
        <w:rPr>
          <w:rFonts w:ascii="Times New Roman" w:hAnsi="Times New Roman" w:cs="Times New Roman"/>
          <w:iCs/>
          <w:color w:val="000000"/>
          <w:sz w:val="23"/>
          <w:szCs w:val="23"/>
        </w:rPr>
        <w:t>Al respecto, cabe precisar que, en reiteradas resoluciones emitidas por Tribunal de Contrataciones del Estado Resoluciones N° 2316-2009-TC-S2 y N° 2525-2009-TC-S2, dicho colegiado ha señalado que "los fabricantes son libres de elaborar sus catálogos y folletos consignando en ellos la información que a su criterio resulta relevante, teniendo muchas veces incidencia en ello los fines publicitarios o de promoción". Dentro de este contexto, resulta claro que la información consignada por el fabricante en uno u otro catálogo puede variar según los fines que se persiga, resaltándose o excluyéndose la alusión a determinadas características técnicas que el equipo posee, las cuales pueden incluso variar con el transcurso del tiempo.</w:t>
      </w:r>
    </w:p>
    <w:p w:rsidR="00C479D1" w:rsidRPr="004F374B" w:rsidRDefault="00C479D1" w:rsidP="006D5BF6">
      <w:pPr>
        <w:pStyle w:val="Textoindependiente2"/>
        <w:widowControl w:val="0"/>
        <w:spacing w:after="0" w:line="240" w:lineRule="auto"/>
        <w:jc w:val="both"/>
        <w:rPr>
          <w:rFonts w:ascii="Times New Roman" w:hAnsi="Times New Roman" w:cs="Times New Roman"/>
          <w:iCs/>
          <w:color w:val="000000"/>
          <w:sz w:val="23"/>
          <w:szCs w:val="23"/>
        </w:rPr>
      </w:pPr>
    </w:p>
    <w:p w:rsidR="00C479D1" w:rsidRPr="004F374B" w:rsidRDefault="00C479D1" w:rsidP="006D5BF6">
      <w:pPr>
        <w:pStyle w:val="Textoindependiente2"/>
        <w:widowControl w:val="0"/>
        <w:spacing w:after="0" w:line="240" w:lineRule="auto"/>
        <w:jc w:val="both"/>
        <w:rPr>
          <w:rFonts w:ascii="Times New Roman" w:hAnsi="Times New Roman" w:cs="Times New Roman"/>
          <w:iCs/>
          <w:color w:val="000000"/>
          <w:sz w:val="23"/>
          <w:szCs w:val="23"/>
        </w:rPr>
      </w:pPr>
      <w:r w:rsidRPr="004F374B">
        <w:rPr>
          <w:rFonts w:ascii="Times New Roman" w:hAnsi="Times New Roman" w:cs="Times New Roman"/>
          <w:iCs/>
          <w:color w:val="000000"/>
          <w:sz w:val="23"/>
          <w:szCs w:val="23"/>
        </w:rPr>
        <w:t>En adición a ello, debe tenerse en cuenta que el Principio de Presunción de Veracidad, recogido en el numeral 1.7 del artículo IV del Título Preliminar de la Ley Nº 27444, Ley del Procedimiento Administrativo General, señala que en la tramitación del procedimiento administrativo se presume que los documentos y declaraciones formulados por los administrados responden a la verdad de los hechos que ellos afirman, salvo prueba en contrario.</w:t>
      </w:r>
    </w:p>
    <w:p w:rsidR="00C479D1" w:rsidRPr="004F374B" w:rsidRDefault="00C479D1" w:rsidP="006D5BF6">
      <w:pPr>
        <w:pStyle w:val="Textoindependiente2"/>
        <w:widowControl w:val="0"/>
        <w:spacing w:after="0" w:line="240" w:lineRule="auto"/>
        <w:jc w:val="both"/>
        <w:rPr>
          <w:rFonts w:ascii="Times New Roman" w:hAnsi="Times New Roman" w:cs="Times New Roman"/>
          <w:iCs/>
          <w:color w:val="000000"/>
          <w:sz w:val="23"/>
          <w:szCs w:val="23"/>
        </w:rPr>
      </w:pPr>
    </w:p>
    <w:p w:rsidR="00C479D1" w:rsidRPr="004F374B" w:rsidRDefault="00C479D1" w:rsidP="006D5BF6">
      <w:pPr>
        <w:pStyle w:val="Textoindependiente2"/>
        <w:widowControl w:val="0"/>
        <w:spacing w:after="0" w:line="240" w:lineRule="auto"/>
        <w:jc w:val="both"/>
        <w:rPr>
          <w:rFonts w:ascii="Times New Roman" w:hAnsi="Times New Roman" w:cs="Times New Roman"/>
          <w:iCs/>
          <w:color w:val="000000"/>
          <w:sz w:val="23"/>
          <w:szCs w:val="23"/>
        </w:rPr>
      </w:pPr>
      <w:r w:rsidRPr="004F374B">
        <w:rPr>
          <w:rFonts w:ascii="Times New Roman" w:hAnsi="Times New Roman" w:cs="Times New Roman"/>
          <w:iCs/>
          <w:color w:val="000000"/>
          <w:sz w:val="23"/>
          <w:szCs w:val="23"/>
        </w:rPr>
        <w:t xml:space="preserve">Por tanto, siendo que los folletos, catálogos y similares, poseen un carácter referencial y que las declaraciones de los postores se encuentran amparados por el Principio de Presunción de Veracidad, no resulta congruente que un postor sea descalificado por la omisión de alguna característica en la documentación referida, siendo razonable que tales folletos o catálogos puedan ser complementados por una comunicación del fabricante </w:t>
      </w:r>
      <w:r w:rsidRPr="004F374B">
        <w:rPr>
          <w:rFonts w:ascii="Times New Roman" w:hAnsi="Times New Roman" w:cs="Times New Roman"/>
          <w:iCs/>
          <w:color w:val="000000"/>
          <w:sz w:val="23"/>
          <w:szCs w:val="23"/>
          <w:u w:val="single"/>
        </w:rPr>
        <w:t>u otra documentación similar</w:t>
      </w:r>
      <w:r w:rsidRPr="004F374B">
        <w:rPr>
          <w:rFonts w:ascii="Times New Roman" w:hAnsi="Times New Roman" w:cs="Times New Roman"/>
          <w:iCs/>
          <w:color w:val="000000"/>
          <w:sz w:val="23"/>
          <w:szCs w:val="23"/>
        </w:rPr>
        <w:t>, que indique que determinado bien o insumo cumple con la totalidad de los requerimientos técnicos mínimos.</w:t>
      </w:r>
    </w:p>
    <w:p w:rsidR="00C479D1" w:rsidRPr="004F374B" w:rsidRDefault="00C479D1" w:rsidP="006D5BF6">
      <w:pPr>
        <w:pStyle w:val="Textoindependiente2"/>
        <w:widowControl w:val="0"/>
        <w:spacing w:after="0" w:line="240" w:lineRule="auto"/>
        <w:jc w:val="both"/>
        <w:rPr>
          <w:rFonts w:ascii="Times New Roman" w:hAnsi="Times New Roman" w:cs="Times New Roman"/>
          <w:sz w:val="23"/>
          <w:szCs w:val="23"/>
        </w:rPr>
      </w:pPr>
      <w:r w:rsidRPr="004F374B">
        <w:rPr>
          <w:rFonts w:ascii="Times New Roman" w:hAnsi="Times New Roman" w:cs="Times New Roman"/>
          <w:iCs/>
          <w:color w:val="000000"/>
          <w:sz w:val="23"/>
          <w:szCs w:val="23"/>
        </w:rPr>
        <w:lastRenderedPageBreak/>
        <w:t xml:space="preserve">En ese sentido, </w:t>
      </w:r>
      <w:r w:rsidR="00AD00FB" w:rsidRPr="004F374B">
        <w:rPr>
          <w:rFonts w:ascii="Times New Roman" w:hAnsi="Times New Roman" w:cs="Times New Roman"/>
          <w:iCs/>
          <w:color w:val="000000"/>
          <w:sz w:val="23"/>
          <w:szCs w:val="23"/>
        </w:rPr>
        <w:t xml:space="preserve">tanto en la documentación de presentación obligatoria como facultativa, </w:t>
      </w:r>
      <w:r w:rsidRPr="004F374B">
        <w:rPr>
          <w:rFonts w:ascii="Times New Roman" w:hAnsi="Times New Roman" w:cs="Times New Roman"/>
          <w:b/>
          <w:sz w:val="23"/>
          <w:szCs w:val="23"/>
          <w:u w:val="single"/>
        </w:rPr>
        <w:t>deberá precisarse</w:t>
      </w:r>
      <w:r w:rsidRPr="004F374B">
        <w:rPr>
          <w:rFonts w:ascii="Times New Roman" w:hAnsi="Times New Roman" w:cs="Times New Roman"/>
          <w:sz w:val="23"/>
          <w:szCs w:val="23"/>
        </w:rPr>
        <w:t xml:space="preserve"> que, además de la documentación </w:t>
      </w:r>
      <w:r w:rsidRPr="004F374B">
        <w:rPr>
          <w:rFonts w:ascii="Times New Roman" w:hAnsi="Times New Roman" w:cs="Times New Roman"/>
          <w:snapToGrid w:val="0"/>
          <w:sz w:val="23"/>
          <w:szCs w:val="23"/>
        </w:rPr>
        <w:t>técnica del fabricante,</w:t>
      </w:r>
      <w:r w:rsidRPr="004F374B">
        <w:rPr>
          <w:rFonts w:ascii="Times New Roman" w:hAnsi="Times New Roman" w:cs="Times New Roman"/>
          <w:sz w:val="23"/>
          <w:szCs w:val="23"/>
        </w:rPr>
        <w:t xml:space="preserve"> también se aceptará la presentación de </w:t>
      </w:r>
      <w:r w:rsidRPr="004F374B">
        <w:rPr>
          <w:rFonts w:ascii="Times New Roman" w:hAnsi="Times New Roman" w:cs="Times New Roman"/>
          <w:b/>
          <w:iCs/>
          <w:color w:val="000000"/>
          <w:sz w:val="23"/>
          <w:szCs w:val="23"/>
          <w:u w:val="single"/>
        </w:rPr>
        <w:t>una declaración jurada de cumplimiento de los requerimientos técnicos mínimos del postor</w:t>
      </w:r>
      <w:r w:rsidRPr="004F374B">
        <w:rPr>
          <w:rFonts w:ascii="Times New Roman" w:hAnsi="Times New Roman" w:cs="Times New Roman"/>
          <w:iCs/>
          <w:color w:val="000000"/>
          <w:sz w:val="23"/>
          <w:szCs w:val="23"/>
        </w:rPr>
        <w:t>; sin perjuicio de la fiscalización posterior que decida efectuar la Entidad cuando la presunción de veracidad se vea enervada.</w:t>
      </w:r>
    </w:p>
    <w:p w:rsidR="00152DC2" w:rsidRDefault="00152DC2" w:rsidP="00152DC2">
      <w:pPr>
        <w:pStyle w:val="Textoindependiente2"/>
        <w:widowControl w:val="0"/>
        <w:tabs>
          <w:tab w:val="num" w:pos="1250"/>
        </w:tabs>
        <w:spacing w:after="0" w:line="240" w:lineRule="auto"/>
        <w:ind w:left="540"/>
        <w:jc w:val="both"/>
        <w:rPr>
          <w:rFonts w:ascii="Times New Roman" w:hAnsi="Times New Roman" w:cs="Times New Roman"/>
          <w:b/>
          <w:snapToGrid w:val="0"/>
          <w:sz w:val="23"/>
          <w:szCs w:val="23"/>
        </w:rPr>
      </w:pPr>
    </w:p>
    <w:p w:rsidR="00160682" w:rsidRPr="004F374B" w:rsidRDefault="00C479D1" w:rsidP="006D5BF6">
      <w:pPr>
        <w:pStyle w:val="Textoindependiente2"/>
        <w:widowControl w:val="0"/>
        <w:numPr>
          <w:ilvl w:val="1"/>
          <w:numId w:val="20"/>
        </w:numPr>
        <w:tabs>
          <w:tab w:val="num" w:pos="1250"/>
        </w:tabs>
        <w:spacing w:after="0" w:line="240" w:lineRule="auto"/>
        <w:jc w:val="both"/>
        <w:rPr>
          <w:rFonts w:ascii="Times New Roman" w:hAnsi="Times New Roman" w:cs="Times New Roman"/>
          <w:b/>
          <w:snapToGrid w:val="0"/>
          <w:sz w:val="23"/>
          <w:szCs w:val="23"/>
        </w:rPr>
      </w:pPr>
      <w:r w:rsidRPr="004F374B">
        <w:rPr>
          <w:rFonts w:ascii="Times New Roman" w:hAnsi="Times New Roman" w:cs="Times New Roman"/>
          <w:b/>
          <w:snapToGrid w:val="0"/>
          <w:sz w:val="23"/>
          <w:szCs w:val="23"/>
        </w:rPr>
        <w:t xml:space="preserve">Requerimientos técnicos mínimos </w:t>
      </w:r>
    </w:p>
    <w:p w:rsidR="00160682" w:rsidRPr="004F374B" w:rsidRDefault="00160682" w:rsidP="006D5BF6">
      <w:pPr>
        <w:pStyle w:val="Textoindependiente2"/>
        <w:widowControl w:val="0"/>
        <w:tabs>
          <w:tab w:val="num" w:pos="1250"/>
        </w:tabs>
        <w:spacing w:after="0" w:line="240" w:lineRule="auto"/>
        <w:jc w:val="both"/>
        <w:rPr>
          <w:rFonts w:ascii="Times New Roman" w:hAnsi="Times New Roman" w:cs="Times New Roman"/>
          <w:b/>
          <w:snapToGrid w:val="0"/>
          <w:sz w:val="23"/>
          <w:szCs w:val="23"/>
        </w:rPr>
      </w:pPr>
    </w:p>
    <w:p w:rsidR="00160682" w:rsidRPr="004F374B" w:rsidRDefault="00C479D1" w:rsidP="006D5BF6">
      <w:pPr>
        <w:pStyle w:val="Textoindependiente2"/>
        <w:widowControl w:val="0"/>
        <w:tabs>
          <w:tab w:val="num" w:pos="1250"/>
        </w:tabs>
        <w:spacing w:after="0" w:line="240" w:lineRule="auto"/>
        <w:jc w:val="both"/>
        <w:rPr>
          <w:rFonts w:ascii="Times New Roman" w:hAnsi="Times New Roman" w:cs="Times New Roman"/>
          <w:snapToGrid w:val="0"/>
          <w:sz w:val="23"/>
          <w:szCs w:val="23"/>
        </w:rPr>
      </w:pPr>
      <w:r w:rsidRPr="004F374B">
        <w:rPr>
          <w:rFonts w:ascii="Times New Roman" w:hAnsi="Times New Roman" w:cs="Times New Roman"/>
          <w:snapToGrid w:val="0"/>
          <w:sz w:val="23"/>
          <w:szCs w:val="23"/>
        </w:rPr>
        <w:t xml:space="preserve">En el numeral 5.1 del literal j) del Capítulo III, Especificaciones Técnicas y Requerimientos Técnicas Mínimos, se señala lo siguiente: </w:t>
      </w:r>
      <w:r w:rsidR="00AD00FB" w:rsidRPr="004F374B">
        <w:rPr>
          <w:rFonts w:ascii="Times New Roman" w:hAnsi="Times New Roman" w:cs="Times New Roman"/>
          <w:i/>
          <w:snapToGrid w:val="0"/>
          <w:sz w:val="23"/>
          <w:szCs w:val="23"/>
        </w:rPr>
        <w:t>El proveedor, en su propuesta técnica del proceso de selección, deberá presentar un Plan de Capacitación para el personal de operación y mantenimiento de las unidades, así como otros que designe la entidad, por un mínimo de 15 horas, el cual deberá cumplir a la entrega de los vehículos. Esta capacitación incluirá el correcto manejo y uso, operación funcional, cuidado y conservación, mantenimiento, entre otros</w:t>
      </w:r>
      <w:r w:rsidRPr="004F374B">
        <w:rPr>
          <w:rFonts w:ascii="Times New Roman" w:hAnsi="Times New Roman" w:cs="Times New Roman"/>
          <w:i/>
          <w:snapToGrid w:val="0"/>
          <w:sz w:val="23"/>
          <w:szCs w:val="23"/>
        </w:rPr>
        <w:t>”</w:t>
      </w:r>
      <w:r w:rsidR="00AD00FB" w:rsidRPr="004F374B">
        <w:rPr>
          <w:rFonts w:ascii="Times New Roman" w:hAnsi="Times New Roman" w:cs="Times New Roman"/>
          <w:i/>
          <w:snapToGrid w:val="0"/>
          <w:sz w:val="23"/>
          <w:szCs w:val="23"/>
        </w:rPr>
        <w:t xml:space="preserve">.  </w:t>
      </w:r>
    </w:p>
    <w:p w:rsidR="00160682" w:rsidRPr="004F374B" w:rsidRDefault="00160682" w:rsidP="006D5BF6">
      <w:pPr>
        <w:pStyle w:val="Textoindependiente2"/>
        <w:tabs>
          <w:tab w:val="left" w:pos="284"/>
          <w:tab w:val="left" w:pos="426"/>
          <w:tab w:val="left" w:pos="540"/>
        </w:tabs>
        <w:spacing w:after="0" w:line="240" w:lineRule="auto"/>
        <w:jc w:val="both"/>
        <w:rPr>
          <w:rFonts w:ascii="Times New Roman" w:hAnsi="Times New Roman" w:cs="Times New Roman"/>
          <w:snapToGrid w:val="0"/>
          <w:sz w:val="23"/>
          <w:szCs w:val="23"/>
        </w:rPr>
      </w:pPr>
    </w:p>
    <w:p w:rsidR="00E963BC" w:rsidRPr="004F374B" w:rsidRDefault="00842A5E" w:rsidP="006D5BF6">
      <w:pPr>
        <w:pStyle w:val="Textoindependiente2"/>
        <w:tabs>
          <w:tab w:val="left" w:pos="284"/>
          <w:tab w:val="left" w:pos="426"/>
          <w:tab w:val="left" w:pos="540"/>
        </w:tabs>
        <w:spacing w:after="0" w:line="240" w:lineRule="auto"/>
        <w:jc w:val="both"/>
        <w:rPr>
          <w:rFonts w:ascii="Times New Roman" w:hAnsi="Times New Roman" w:cs="Times New Roman"/>
          <w:color w:val="000000"/>
          <w:sz w:val="23"/>
          <w:szCs w:val="23"/>
        </w:rPr>
      </w:pPr>
      <w:r w:rsidRPr="004F374B">
        <w:rPr>
          <w:rFonts w:ascii="Times New Roman" w:hAnsi="Times New Roman" w:cs="Times New Roman"/>
          <w:snapToGrid w:val="0"/>
          <w:sz w:val="23"/>
          <w:szCs w:val="23"/>
        </w:rPr>
        <w:t xml:space="preserve">Al respecto, </w:t>
      </w:r>
      <w:r w:rsidR="00E963BC" w:rsidRPr="004F374B">
        <w:rPr>
          <w:rFonts w:ascii="Times New Roman" w:hAnsi="Times New Roman" w:cs="Times New Roman"/>
          <w:snapToGrid w:val="0"/>
          <w:sz w:val="23"/>
          <w:szCs w:val="23"/>
        </w:rPr>
        <w:t xml:space="preserve">cabe señalar que requerir un plan de capacitación como parte de la propuesta técnica resultaría excesivo, puesto que </w:t>
      </w:r>
      <w:r w:rsidR="00E963BC" w:rsidRPr="004F374B">
        <w:rPr>
          <w:rFonts w:ascii="Times New Roman" w:hAnsi="Times New Roman" w:cs="Times New Roman"/>
          <w:sz w:val="23"/>
          <w:szCs w:val="23"/>
        </w:rPr>
        <w:t xml:space="preserve">implica una inversión de tiempo y sobrecostos por parte de los potenciales postores a pesar de no tener la certeza de obtener la buena pro. Asimismo, debe tenerse en cuenta que ello también implicaría que, </w:t>
      </w:r>
      <w:r w:rsidR="00E963BC" w:rsidRPr="004F374B">
        <w:rPr>
          <w:rFonts w:ascii="Times New Roman" w:hAnsi="Times New Roman" w:cs="Times New Roman"/>
          <w:color w:val="000000"/>
          <w:sz w:val="23"/>
          <w:szCs w:val="23"/>
        </w:rPr>
        <w:t xml:space="preserve">ante documentos descriptivos y/o técnicos mal elaborados, durante la ejecución contractual, la Entidad no podría exigir al contratista que desarrolle sus obligaciones de una manera distinta a la ofrecida y aceptada durante el proceso de selección. Por lo tanto, con ocasión de la integración de las Bases, </w:t>
      </w:r>
      <w:r w:rsidR="00E963BC" w:rsidRPr="004F374B">
        <w:rPr>
          <w:rFonts w:ascii="Times New Roman" w:hAnsi="Times New Roman" w:cs="Times New Roman"/>
          <w:b/>
          <w:color w:val="000000"/>
          <w:sz w:val="23"/>
          <w:szCs w:val="23"/>
          <w:u w:val="single"/>
        </w:rPr>
        <w:t>deberá precisarse</w:t>
      </w:r>
      <w:r w:rsidR="00E963BC" w:rsidRPr="004F374B">
        <w:rPr>
          <w:rFonts w:ascii="Times New Roman" w:hAnsi="Times New Roman" w:cs="Times New Roman"/>
          <w:color w:val="000000"/>
          <w:sz w:val="23"/>
          <w:szCs w:val="23"/>
        </w:rPr>
        <w:t xml:space="preserve"> que el Plan de Capacitación se presentará  para la suscripción del contrato. </w:t>
      </w:r>
    </w:p>
    <w:p w:rsidR="00AD00FB" w:rsidRPr="004F374B" w:rsidRDefault="00AD00FB" w:rsidP="006D5BF6">
      <w:pPr>
        <w:pStyle w:val="Textoindependiente2"/>
        <w:tabs>
          <w:tab w:val="left" w:pos="284"/>
          <w:tab w:val="left" w:pos="426"/>
          <w:tab w:val="left" w:pos="540"/>
        </w:tabs>
        <w:spacing w:after="0" w:line="240" w:lineRule="auto"/>
        <w:ind w:left="567"/>
        <w:jc w:val="both"/>
        <w:rPr>
          <w:rFonts w:ascii="Times New Roman" w:hAnsi="Times New Roman" w:cs="Times New Roman"/>
          <w:sz w:val="23"/>
          <w:szCs w:val="23"/>
        </w:rPr>
      </w:pPr>
    </w:p>
    <w:p w:rsidR="00160682" w:rsidRPr="004F374B" w:rsidRDefault="00160682" w:rsidP="006D5BF6">
      <w:pPr>
        <w:widowControl w:val="0"/>
        <w:numPr>
          <w:ilvl w:val="0"/>
          <w:numId w:val="18"/>
        </w:numPr>
        <w:spacing w:after="0" w:line="240" w:lineRule="auto"/>
        <w:jc w:val="both"/>
        <w:rPr>
          <w:rFonts w:ascii="Times New Roman" w:eastAsia="MS Mincho" w:hAnsi="Times New Roman" w:cs="Times New Roman"/>
          <w:b/>
          <w:snapToGrid w:val="0"/>
          <w:sz w:val="23"/>
          <w:szCs w:val="23"/>
        </w:rPr>
      </w:pPr>
      <w:r w:rsidRPr="004F374B">
        <w:rPr>
          <w:rFonts w:ascii="Times New Roman" w:eastAsia="MS Mincho" w:hAnsi="Times New Roman" w:cs="Times New Roman"/>
          <w:b/>
          <w:snapToGrid w:val="0"/>
          <w:sz w:val="23"/>
          <w:szCs w:val="23"/>
        </w:rPr>
        <w:t xml:space="preserve">CONCLUSIONES </w:t>
      </w:r>
    </w:p>
    <w:p w:rsidR="00160682" w:rsidRPr="004F374B" w:rsidRDefault="00160682" w:rsidP="006D5BF6">
      <w:pPr>
        <w:widowControl w:val="0"/>
        <w:spacing w:after="0" w:line="240" w:lineRule="auto"/>
        <w:jc w:val="both"/>
        <w:rPr>
          <w:rFonts w:ascii="Times New Roman" w:eastAsia="Times New Roman" w:hAnsi="Times New Roman" w:cs="Times New Roman"/>
          <w:snapToGrid w:val="0"/>
          <w:sz w:val="23"/>
          <w:szCs w:val="23"/>
          <w:lang w:eastAsia="es-MX"/>
        </w:rPr>
      </w:pPr>
    </w:p>
    <w:p w:rsidR="00160682" w:rsidRPr="004F374B" w:rsidRDefault="00160682" w:rsidP="006D5BF6">
      <w:pPr>
        <w:widowControl w:val="0"/>
        <w:spacing w:after="0" w:line="240" w:lineRule="auto"/>
        <w:jc w:val="both"/>
        <w:rPr>
          <w:rFonts w:ascii="Times New Roman" w:hAnsi="Times New Roman" w:cs="Times New Roman"/>
          <w:snapToGrid w:val="0"/>
          <w:sz w:val="23"/>
          <w:szCs w:val="23"/>
        </w:rPr>
      </w:pPr>
      <w:r w:rsidRPr="004F374B">
        <w:rPr>
          <w:rFonts w:ascii="Times New Roman" w:hAnsi="Times New Roman" w:cs="Times New Roman"/>
          <w:snapToGrid w:val="0"/>
          <w:sz w:val="23"/>
          <w:szCs w:val="23"/>
        </w:rPr>
        <w:t>En virtud de lo expuesto, este Organismo Supervisor ha dispuesto:</w:t>
      </w:r>
    </w:p>
    <w:p w:rsidR="00160682" w:rsidRPr="004F374B" w:rsidRDefault="00160682" w:rsidP="006D5BF6">
      <w:pPr>
        <w:widowControl w:val="0"/>
        <w:spacing w:after="0" w:line="240" w:lineRule="auto"/>
        <w:jc w:val="both"/>
        <w:rPr>
          <w:rFonts w:ascii="Times New Roman" w:hAnsi="Times New Roman" w:cs="Times New Roman"/>
          <w:snapToGrid w:val="0"/>
          <w:sz w:val="23"/>
          <w:szCs w:val="23"/>
        </w:rPr>
      </w:pPr>
    </w:p>
    <w:p w:rsidR="00160682" w:rsidRPr="004F374B" w:rsidRDefault="00160682" w:rsidP="006D5BF6">
      <w:pPr>
        <w:widowControl w:val="0"/>
        <w:numPr>
          <w:ilvl w:val="1"/>
          <w:numId w:val="19"/>
        </w:numPr>
        <w:spacing w:after="0" w:line="240" w:lineRule="auto"/>
        <w:ind w:left="567" w:hanging="567"/>
        <w:jc w:val="both"/>
        <w:rPr>
          <w:rFonts w:ascii="Times New Roman" w:eastAsia="Times New Roman" w:hAnsi="Times New Roman" w:cs="Times New Roman"/>
          <w:sz w:val="23"/>
          <w:szCs w:val="23"/>
          <w:lang w:val="es-MX" w:eastAsia="es-MX"/>
        </w:rPr>
      </w:pPr>
      <w:r w:rsidRPr="004F374B">
        <w:rPr>
          <w:rFonts w:ascii="Times New Roman" w:eastAsia="Times New Roman" w:hAnsi="Times New Roman" w:cs="Times New Roman"/>
          <w:snapToGrid w:val="0"/>
          <w:sz w:val="23"/>
          <w:szCs w:val="23"/>
          <w:lang w:eastAsia="es-MX"/>
        </w:rPr>
        <w:t xml:space="preserve">El </w:t>
      </w:r>
      <w:r w:rsidRPr="004F374B">
        <w:rPr>
          <w:rFonts w:ascii="Times New Roman" w:hAnsi="Times New Roman" w:cs="Times New Roman"/>
          <w:sz w:val="23"/>
          <w:szCs w:val="23"/>
          <w:lang w:val="es-ES" w:eastAsia="es-ES"/>
        </w:rPr>
        <w:t>Comité Especial deberá cumplir con lo dispuesto por este Organismo Supervisor al absolver las observaciones indicadas en el numeral 2 del presente Pronunciamiento.</w:t>
      </w:r>
    </w:p>
    <w:p w:rsidR="00160682" w:rsidRPr="004F374B" w:rsidRDefault="00160682" w:rsidP="006D5BF6">
      <w:pPr>
        <w:widowControl w:val="0"/>
        <w:spacing w:after="0" w:line="240" w:lineRule="auto"/>
        <w:ind w:left="567"/>
        <w:jc w:val="both"/>
        <w:rPr>
          <w:rFonts w:ascii="Times New Roman" w:eastAsia="Times New Roman" w:hAnsi="Times New Roman" w:cs="Times New Roman"/>
          <w:sz w:val="23"/>
          <w:szCs w:val="23"/>
          <w:lang w:val="es-MX" w:eastAsia="es-MX"/>
        </w:rPr>
      </w:pPr>
    </w:p>
    <w:p w:rsidR="00160682" w:rsidRPr="004F374B" w:rsidRDefault="00160682" w:rsidP="006D5BF6">
      <w:pPr>
        <w:widowControl w:val="0"/>
        <w:numPr>
          <w:ilvl w:val="1"/>
          <w:numId w:val="19"/>
        </w:numPr>
        <w:spacing w:after="0" w:line="240" w:lineRule="auto"/>
        <w:ind w:left="567" w:hanging="567"/>
        <w:jc w:val="both"/>
        <w:rPr>
          <w:rFonts w:ascii="Times New Roman" w:eastAsia="Times New Roman" w:hAnsi="Times New Roman" w:cs="Times New Roman"/>
          <w:sz w:val="23"/>
          <w:szCs w:val="23"/>
          <w:lang w:val="es-MX" w:eastAsia="es-MX"/>
        </w:rPr>
      </w:pPr>
      <w:r w:rsidRPr="004F374B">
        <w:rPr>
          <w:rFonts w:ascii="Times New Roman" w:hAnsi="Times New Roman" w:cs="Times New Roman"/>
          <w:iCs/>
          <w:sz w:val="23"/>
          <w:szCs w:val="23"/>
        </w:rPr>
        <w:t>El Comité Especial deberá tener en cuenta lo indicado en el numeral 3 del presente Pronunciamiento a fin de efectuar las modificaciones a las Bases que hubiere a lugar, así como registrar en el SEACE la documentación solicitada.</w:t>
      </w:r>
    </w:p>
    <w:p w:rsidR="00160682" w:rsidRPr="004F374B" w:rsidRDefault="00160682" w:rsidP="006D5BF6">
      <w:pPr>
        <w:widowControl w:val="0"/>
        <w:spacing w:after="0" w:line="240" w:lineRule="auto"/>
        <w:ind w:left="567"/>
        <w:jc w:val="both"/>
        <w:rPr>
          <w:rFonts w:ascii="Times New Roman" w:eastAsia="Times New Roman" w:hAnsi="Times New Roman" w:cs="Times New Roman"/>
          <w:sz w:val="23"/>
          <w:szCs w:val="23"/>
          <w:lang w:val="es-MX" w:eastAsia="es-MX"/>
        </w:rPr>
      </w:pPr>
    </w:p>
    <w:p w:rsidR="00160682" w:rsidRPr="004F374B" w:rsidRDefault="00160682" w:rsidP="006D5BF6">
      <w:pPr>
        <w:widowControl w:val="0"/>
        <w:numPr>
          <w:ilvl w:val="1"/>
          <w:numId w:val="19"/>
        </w:numPr>
        <w:spacing w:after="0" w:line="240" w:lineRule="auto"/>
        <w:ind w:left="567" w:hanging="567"/>
        <w:jc w:val="both"/>
        <w:rPr>
          <w:rFonts w:ascii="Times New Roman" w:eastAsia="Times New Roman" w:hAnsi="Times New Roman" w:cs="Times New Roman"/>
          <w:sz w:val="23"/>
          <w:szCs w:val="23"/>
          <w:lang w:val="es-MX" w:eastAsia="es-MX"/>
        </w:rPr>
      </w:pPr>
      <w:r w:rsidRPr="004F374B">
        <w:rPr>
          <w:rFonts w:ascii="Times New Roman" w:hAnsi="Times New Roman" w:cs="Times New Roman"/>
          <w:iCs/>
          <w:sz w:val="23"/>
          <w:szCs w:val="23"/>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160682" w:rsidRPr="004F374B" w:rsidRDefault="00160682" w:rsidP="006D5BF6">
      <w:pPr>
        <w:widowControl w:val="0"/>
        <w:spacing w:after="0" w:line="240" w:lineRule="auto"/>
        <w:ind w:left="567"/>
        <w:jc w:val="both"/>
        <w:rPr>
          <w:rFonts w:ascii="Times New Roman" w:eastAsia="Times New Roman" w:hAnsi="Times New Roman" w:cs="Times New Roman"/>
          <w:sz w:val="23"/>
          <w:szCs w:val="23"/>
          <w:lang w:val="es-MX" w:eastAsia="es-MX"/>
        </w:rPr>
      </w:pPr>
    </w:p>
    <w:p w:rsidR="00160682" w:rsidRPr="004F374B" w:rsidRDefault="00160682" w:rsidP="006D5BF6">
      <w:pPr>
        <w:widowControl w:val="0"/>
        <w:numPr>
          <w:ilvl w:val="1"/>
          <w:numId w:val="19"/>
        </w:numPr>
        <w:spacing w:after="0" w:line="240" w:lineRule="auto"/>
        <w:ind w:left="567" w:hanging="567"/>
        <w:jc w:val="both"/>
        <w:rPr>
          <w:rFonts w:ascii="Times New Roman" w:eastAsia="Times New Roman" w:hAnsi="Times New Roman" w:cs="Times New Roman"/>
          <w:sz w:val="23"/>
          <w:szCs w:val="23"/>
          <w:lang w:val="es-MX" w:eastAsia="es-MX"/>
        </w:rPr>
      </w:pPr>
      <w:r w:rsidRPr="004F374B">
        <w:rPr>
          <w:rFonts w:ascii="Times New Roman" w:hAnsi="Times New Roman" w:cs="Times New Roman"/>
          <w:iCs/>
          <w:sz w:val="23"/>
          <w:szCs w:val="23"/>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w:t>
      </w:r>
      <w:r w:rsidRPr="004F374B">
        <w:rPr>
          <w:rFonts w:ascii="Times New Roman" w:hAnsi="Times New Roman" w:cs="Times New Roman"/>
          <w:iCs/>
          <w:sz w:val="23"/>
          <w:szCs w:val="23"/>
        </w:rPr>
        <w:lastRenderedPageBreak/>
        <w:t xml:space="preserve">en tanto se implemente en el SEACE la funcionalidad para que el registro de participantes sea electrónico, las personas naturales y jurídicas que deseen participar en el presente proceso de selección podrán registrarse hasta un </w:t>
      </w:r>
      <w:r w:rsidRPr="004F374B">
        <w:rPr>
          <w:rFonts w:ascii="Times New Roman" w:eastAsia="Times New Roman" w:hAnsi="Times New Roman" w:cs="Times New Roman"/>
          <w:sz w:val="23"/>
          <w:szCs w:val="23"/>
          <w:lang w:val="es-MX" w:eastAsia="es-MX"/>
        </w:rPr>
        <w:t>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160682" w:rsidRPr="004F374B" w:rsidRDefault="00160682" w:rsidP="006D5BF6">
      <w:pPr>
        <w:pStyle w:val="Prrafodelista"/>
        <w:spacing w:after="0" w:line="240" w:lineRule="auto"/>
        <w:jc w:val="both"/>
        <w:rPr>
          <w:rFonts w:ascii="Times New Roman" w:eastAsia="Times New Roman" w:hAnsi="Times New Roman" w:cs="Times New Roman"/>
          <w:sz w:val="23"/>
          <w:szCs w:val="23"/>
          <w:lang w:val="es-MX" w:eastAsia="es-MX"/>
        </w:rPr>
      </w:pPr>
    </w:p>
    <w:p w:rsidR="00160682" w:rsidRPr="004F374B" w:rsidRDefault="00160682" w:rsidP="006D5BF6">
      <w:pPr>
        <w:widowControl w:val="0"/>
        <w:numPr>
          <w:ilvl w:val="1"/>
          <w:numId w:val="19"/>
        </w:numPr>
        <w:spacing w:after="0" w:line="240" w:lineRule="auto"/>
        <w:ind w:left="567" w:hanging="567"/>
        <w:jc w:val="both"/>
        <w:rPr>
          <w:rFonts w:ascii="Times New Roman" w:eastAsia="Times New Roman" w:hAnsi="Times New Roman" w:cs="Times New Roman"/>
          <w:sz w:val="23"/>
          <w:szCs w:val="23"/>
          <w:lang w:val="es-MX" w:eastAsia="es-MX"/>
        </w:rPr>
      </w:pPr>
      <w:r w:rsidRPr="004F374B">
        <w:rPr>
          <w:rFonts w:ascii="Times New Roman" w:hAnsi="Times New Roman" w:cs="Times New Roman"/>
          <w:iCs/>
          <w:sz w:val="23"/>
          <w:szCs w:val="23"/>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160682" w:rsidRPr="004F374B" w:rsidRDefault="00160682" w:rsidP="006D5BF6">
      <w:pPr>
        <w:widowControl w:val="0"/>
        <w:spacing w:after="0" w:line="240" w:lineRule="auto"/>
        <w:ind w:left="567"/>
        <w:jc w:val="both"/>
        <w:rPr>
          <w:rFonts w:ascii="Times New Roman" w:eastAsia="Times New Roman" w:hAnsi="Times New Roman" w:cs="Times New Roman"/>
          <w:sz w:val="23"/>
          <w:szCs w:val="23"/>
          <w:lang w:val="es-MX" w:eastAsia="es-MX"/>
        </w:rPr>
      </w:pPr>
    </w:p>
    <w:p w:rsidR="00160682" w:rsidRPr="004F374B" w:rsidRDefault="00160682" w:rsidP="006D5BF6">
      <w:pPr>
        <w:widowControl w:val="0"/>
        <w:numPr>
          <w:ilvl w:val="1"/>
          <w:numId w:val="19"/>
        </w:numPr>
        <w:spacing w:after="0" w:line="240" w:lineRule="auto"/>
        <w:ind w:left="567" w:hanging="567"/>
        <w:jc w:val="both"/>
        <w:rPr>
          <w:rFonts w:ascii="Times New Roman" w:hAnsi="Times New Roman" w:cs="Times New Roman"/>
          <w:iCs/>
          <w:sz w:val="23"/>
          <w:szCs w:val="23"/>
        </w:rPr>
      </w:pPr>
      <w:r w:rsidRPr="004F374B">
        <w:rPr>
          <w:rFonts w:ascii="Times New Roman" w:hAnsi="Times New Roman" w:cs="Times New Roman"/>
          <w:iCs/>
          <w:sz w:val="23"/>
          <w:szCs w:val="23"/>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160682" w:rsidRPr="004F374B" w:rsidRDefault="00160682" w:rsidP="006D5BF6">
      <w:pPr>
        <w:pStyle w:val="Prrafodelista"/>
        <w:spacing w:after="0" w:line="240" w:lineRule="auto"/>
        <w:jc w:val="both"/>
        <w:rPr>
          <w:rFonts w:ascii="Times New Roman" w:hAnsi="Times New Roman" w:cs="Times New Roman"/>
          <w:iCs/>
          <w:sz w:val="23"/>
          <w:szCs w:val="23"/>
        </w:rPr>
      </w:pPr>
    </w:p>
    <w:p w:rsidR="00160682" w:rsidRPr="004F374B" w:rsidRDefault="00160682" w:rsidP="006D5BF6">
      <w:pPr>
        <w:widowControl w:val="0"/>
        <w:numPr>
          <w:ilvl w:val="1"/>
          <w:numId w:val="19"/>
        </w:numPr>
        <w:spacing w:after="0" w:line="240" w:lineRule="auto"/>
        <w:ind w:left="567" w:hanging="567"/>
        <w:jc w:val="both"/>
        <w:rPr>
          <w:rFonts w:ascii="Times New Roman" w:hAnsi="Times New Roman" w:cs="Times New Roman"/>
          <w:iCs/>
          <w:sz w:val="23"/>
          <w:szCs w:val="23"/>
        </w:rPr>
      </w:pPr>
      <w:r w:rsidRPr="004F374B">
        <w:rPr>
          <w:rFonts w:ascii="Times New Roman" w:hAnsi="Times New Roman" w:cs="Times New Roman"/>
          <w:iCs/>
          <w:sz w:val="23"/>
          <w:szCs w:val="23"/>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160682" w:rsidRPr="004F374B" w:rsidRDefault="00160682" w:rsidP="006D5BF6">
      <w:pPr>
        <w:widowControl w:val="0"/>
        <w:spacing w:after="0" w:line="240" w:lineRule="auto"/>
        <w:ind w:left="567"/>
        <w:jc w:val="both"/>
        <w:rPr>
          <w:rFonts w:ascii="Times New Roman" w:hAnsi="Times New Roman" w:cs="Times New Roman"/>
          <w:iCs/>
          <w:sz w:val="23"/>
          <w:szCs w:val="23"/>
        </w:rPr>
      </w:pPr>
    </w:p>
    <w:p w:rsidR="00160682" w:rsidRPr="004F374B" w:rsidRDefault="00160682" w:rsidP="006D5BF6">
      <w:pPr>
        <w:widowControl w:val="0"/>
        <w:spacing w:after="0" w:line="240" w:lineRule="auto"/>
        <w:ind w:left="3545" w:firstLine="709"/>
        <w:jc w:val="both"/>
        <w:rPr>
          <w:rFonts w:ascii="Times New Roman" w:hAnsi="Times New Roman" w:cs="Times New Roman"/>
          <w:sz w:val="23"/>
          <w:szCs w:val="23"/>
        </w:rPr>
      </w:pPr>
      <w:r w:rsidRPr="004F374B">
        <w:rPr>
          <w:rFonts w:ascii="Times New Roman" w:hAnsi="Times New Roman" w:cs="Times New Roman"/>
          <w:sz w:val="23"/>
          <w:szCs w:val="23"/>
        </w:rPr>
        <w:t xml:space="preserve">                 Jesús </w:t>
      </w:r>
      <w:r w:rsidR="00152DC2">
        <w:rPr>
          <w:rFonts w:ascii="Times New Roman" w:hAnsi="Times New Roman" w:cs="Times New Roman"/>
          <w:sz w:val="23"/>
          <w:szCs w:val="23"/>
        </w:rPr>
        <w:t>María, 28</w:t>
      </w:r>
      <w:r w:rsidRPr="004F374B">
        <w:rPr>
          <w:rFonts w:ascii="Times New Roman" w:hAnsi="Times New Roman" w:cs="Times New Roman"/>
          <w:sz w:val="23"/>
          <w:szCs w:val="23"/>
        </w:rPr>
        <w:t xml:space="preserve"> de abril de 2015.</w:t>
      </w:r>
    </w:p>
    <w:p w:rsidR="00160682" w:rsidRPr="004F374B" w:rsidRDefault="00160682" w:rsidP="006D5BF6">
      <w:pPr>
        <w:widowControl w:val="0"/>
        <w:spacing w:after="0" w:line="240" w:lineRule="auto"/>
        <w:ind w:left="3545" w:firstLine="709"/>
        <w:jc w:val="both"/>
        <w:rPr>
          <w:rFonts w:ascii="Times New Roman" w:hAnsi="Times New Roman" w:cs="Times New Roman"/>
          <w:sz w:val="23"/>
          <w:szCs w:val="23"/>
        </w:rPr>
      </w:pPr>
    </w:p>
    <w:p w:rsidR="00160682" w:rsidRPr="004F374B" w:rsidRDefault="00160682" w:rsidP="006D5BF6">
      <w:pPr>
        <w:widowControl w:val="0"/>
        <w:spacing w:after="0" w:line="240" w:lineRule="auto"/>
        <w:ind w:left="3545" w:firstLine="709"/>
        <w:jc w:val="both"/>
        <w:rPr>
          <w:rFonts w:ascii="Times New Roman" w:hAnsi="Times New Roman" w:cs="Times New Roman"/>
          <w:sz w:val="23"/>
          <w:szCs w:val="23"/>
        </w:rPr>
      </w:pPr>
    </w:p>
    <w:p w:rsidR="00160682" w:rsidRPr="004F374B" w:rsidRDefault="00160682" w:rsidP="006D5BF6">
      <w:pPr>
        <w:widowControl w:val="0"/>
        <w:spacing w:after="0" w:line="240" w:lineRule="auto"/>
        <w:ind w:left="3545" w:firstLine="709"/>
        <w:jc w:val="center"/>
        <w:rPr>
          <w:rFonts w:ascii="Times New Roman" w:hAnsi="Times New Roman" w:cs="Times New Roman"/>
          <w:b/>
          <w:sz w:val="23"/>
          <w:szCs w:val="23"/>
        </w:rPr>
      </w:pPr>
    </w:p>
    <w:p w:rsidR="00160682" w:rsidRPr="004F374B" w:rsidRDefault="00160682" w:rsidP="006D5BF6">
      <w:pPr>
        <w:keepNext/>
        <w:keepLines/>
        <w:widowControl w:val="0"/>
        <w:tabs>
          <w:tab w:val="left" w:pos="2660"/>
        </w:tabs>
        <w:spacing w:after="0" w:line="240" w:lineRule="auto"/>
        <w:jc w:val="center"/>
        <w:rPr>
          <w:rFonts w:ascii="Times New Roman" w:hAnsi="Times New Roman" w:cs="Times New Roman"/>
          <w:b/>
          <w:sz w:val="23"/>
          <w:szCs w:val="23"/>
        </w:rPr>
      </w:pPr>
      <w:r w:rsidRPr="004F374B">
        <w:rPr>
          <w:rFonts w:ascii="Times New Roman" w:hAnsi="Times New Roman" w:cs="Times New Roman"/>
          <w:b/>
          <w:sz w:val="23"/>
          <w:szCs w:val="23"/>
        </w:rPr>
        <w:t>PATRICIA ALARCÓN ALVIZURI</w:t>
      </w:r>
    </w:p>
    <w:p w:rsidR="00160682" w:rsidRPr="004F374B" w:rsidRDefault="00160682" w:rsidP="006D5BF6">
      <w:pPr>
        <w:keepNext/>
        <w:keepLines/>
        <w:widowControl w:val="0"/>
        <w:tabs>
          <w:tab w:val="left" w:pos="2660"/>
        </w:tabs>
        <w:spacing w:after="0" w:line="240" w:lineRule="auto"/>
        <w:jc w:val="center"/>
        <w:rPr>
          <w:rFonts w:ascii="Times New Roman" w:hAnsi="Times New Roman" w:cs="Times New Roman"/>
          <w:b/>
          <w:sz w:val="23"/>
          <w:szCs w:val="23"/>
        </w:rPr>
      </w:pPr>
      <w:r w:rsidRPr="004F374B">
        <w:rPr>
          <w:rFonts w:ascii="Times New Roman" w:hAnsi="Times New Roman" w:cs="Times New Roman"/>
          <w:b/>
          <w:sz w:val="23"/>
          <w:szCs w:val="23"/>
        </w:rPr>
        <w:t>Directora de Supervisión</w:t>
      </w:r>
    </w:p>
    <w:p w:rsidR="00160682" w:rsidRPr="004F374B" w:rsidRDefault="00160682" w:rsidP="006D5BF6">
      <w:pPr>
        <w:widowControl w:val="0"/>
        <w:spacing w:after="0" w:line="240" w:lineRule="auto"/>
        <w:ind w:left="540" w:hanging="540"/>
        <w:jc w:val="both"/>
        <w:rPr>
          <w:rFonts w:ascii="Times New Roman" w:hAnsi="Times New Roman" w:cs="Times New Roman"/>
          <w:sz w:val="23"/>
          <w:szCs w:val="23"/>
        </w:rPr>
      </w:pPr>
      <w:r w:rsidRPr="004F374B">
        <w:rPr>
          <w:rFonts w:ascii="Times New Roman" w:hAnsi="Times New Roman" w:cs="Times New Roman"/>
          <w:sz w:val="23"/>
          <w:szCs w:val="23"/>
        </w:rPr>
        <w:t>LMD/.</w:t>
      </w:r>
      <w:bookmarkStart w:id="0" w:name="_GoBack"/>
      <w:bookmarkEnd w:id="0"/>
    </w:p>
    <w:p w:rsidR="00160682" w:rsidRPr="004F374B" w:rsidRDefault="00160682" w:rsidP="006D5BF6">
      <w:pPr>
        <w:spacing w:after="0" w:line="240" w:lineRule="auto"/>
        <w:jc w:val="both"/>
        <w:rPr>
          <w:rFonts w:ascii="Times New Roman" w:hAnsi="Times New Roman" w:cs="Times New Roman"/>
          <w:sz w:val="23"/>
          <w:szCs w:val="23"/>
        </w:rPr>
      </w:pPr>
    </w:p>
    <w:p w:rsidR="006243A4" w:rsidRPr="004F374B" w:rsidRDefault="006243A4" w:rsidP="006D5BF6">
      <w:pPr>
        <w:widowControl w:val="0"/>
        <w:spacing w:after="0" w:line="240" w:lineRule="auto"/>
        <w:ind w:left="540" w:hanging="540"/>
        <w:jc w:val="both"/>
        <w:rPr>
          <w:rFonts w:ascii="Times New Roman" w:hAnsi="Times New Roman" w:cs="Times New Roman"/>
          <w:sz w:val="23"/>
          <w:szCs w:val="23"/>
        </w:rPr>
      </w:pPr>
    </w:p>
    <w:sectPr w:rsidR="006243A4" w:rsidRPr="004F374B" w:rsidSect="00807FD5">
      <w:pgSz w:w="12240" w:h="15840"/>
      <w:pgMar w:top="1809" w:right="2104" w:bottom="1440" w:left="175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D8E" w:rsidRDefault="00296D8E" w:rsidP="00F651BD">
      <w:pPr>
        <w:spacing w:after="0" w:line="240" w:lineRule="auto"/>
      </w:pPr>
      <w:r>
        <w:separator/>
      </w:r>
    </w:p>
  </w:endnote>
  <w:endnote w:type="continuationSeparator" w:id="0">
    <w:p w:rsidR="00296D8E" w:rsidRDefault="00296D8E" w:rsidP="00F65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D8E" w:rsidRDefault="00296D8E" w:rsidP="00F651BD">
      <w:pPr>
        <w:spacing w:after="0" w:line="240" w:lineRule="auto"/>
      </w:pPr>
      <w:r>
        <w:separator/>
      </w:r>
    </w:p>
  </w:footnote>
  <w:footnote w:type="continuationSeparator" w:id="0">
    <w:p w:rsidR="00296D8E" w:rsidRDefault="00296D8E" w:rsidP="00F651BD">
      <w:pPr>
        <w:spacing w:after="0" w:line="240" w:lineRule="auto"/>
      </w:pPr>
      <w:r>
        <w:continuationSeparator/>
      </w:r>
    </w:p>
  </w:footnote>
  <w:footnote w:id="1">
    <w:p w:rsidR="00847DF2" w:rsidRDefault="00847DF2" w:rsidP="00B56AEB">
      <w:pPr>
        <w:pStyle w:val="Textonotapie"/>
        <w:jc w:val="both"/>
      </w:pPr>
      <w:r>
        <w:rPr>
          <w:rStyle w:val="Refdenotaalpie"/>
        </w:rPr>
        <w:footnoteRef/>
      </w:r>
      <w:r>
        <w:t xml:space="preserve"> </w:t>
      </w:r>
      <w:r w:rsidRPr="00B56AEB">
        <w:rPr>
          <w:rFonts w:ascii="Times New Roman" w:hAnsi="Times New Roman" w:cs="Times New Roman"/>
          <w:sz w:val="18"/>
          <w:szCs w:val="18"/>
        </w:rPr>
        <w:t xml:space="preserve">Sin perjuicio de lo indicado, cabe señalar que de la revisión de la información registrada en el Sistema Electrónico de las Contrataciones del Estado (SEACE) se advierte que mediante </w:t>
      </w:r>
      <w:r w:rsidR="00B56AEB" w:rsidRPr="00B56AEB">
        <w:rPr>
          <w:rFonts w:ascii="Times New Roman" w:hAnsi="Times New Roman" w:cs="Times New Roman"/>
          <w:sz w:val="18"/>
          <w:szCs w:val="18"/>
        </w:rPr>
        <w:t xml:space="preserve">la Resolución Presidencial N° 128-2015-UNAB-CO/P, </w:t>
      </w:r>
      <w:r w:rsidR="007F74ED">
        <w:rPr>
          <w:rFonts w:ascii="Times New Roman" w:hAnsi="Times New Roman" w:cs="Times New Roman"/>
          <w:sz w:val="18"/>
          <w:szCs w:val="18"/>
        </w:rPr>
        <w:t xml:space="preserve">emitido y registrado </w:t>
      </w:r>
      <w:r w:rsidR="00B56AEB" w:rsidRPr="00B56AEB">
        <w:rPr>
          <w:rFonts w:ascii="Times New Roman" w:hAnsi="Times New Roman" w:cs="Times New Roman"/>
          <w:sz w:val="18"/>
          <w:szCs w:val="18"/>
        </w:rPr>
        <w:t>el 31.MAR.15, la Entidad declaró la nulidad del referido proceso de selección retrotrayéndolo hasta la etapa de absolución de observaciones.</w:t>
      </w:r>
      <w:r w:rsidR="00B56AEB">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92A3D"/>
    <w:multiLevelType w:val="hybridMultilevel"/>
    <w:tmpl w:val="5ED23BBE"/>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1DDF2F93"/>
    <w:multiLevelType w:val="hybridMultilevel"/>
    <w:tmpl w:val="205CD264"/>
    <w:lvl w:ilvl="0" w:tplc="711CDBA0">
      <w:numFmt w:val="bullet"/>
      <w:lvlText w:val="-"/>
      <w:lvlJc w:val="left"/>
      <w:pPr>
        <w:ind w:left="720" w:hanging="360"/>
      </w:pPr>
      <w:rPr>
        <w:rFonts w:ascii="Times New Roman" w:eastAsia="Times New Roman" w:hAnsi="Times New Roman" w:cs="Times New Roman"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2">
    <w:nsid w:val="37A21299"/>
    <w:multiLevelType w:val="multilevel"/>
    <w:tmpl w:val="17706F8E"/>
    <w:lvl w:ilvl="0">
      <w:start w:val="1"/>
      <w:numFmt w:val="decimal"/>
      <w:lvlText w:val="%1."/>
      <w:lvlJc w:val="left"/>
      <w:pPr>
        <w:ind w:left="1800" w:hanging="360"/>
      </w:pPr>
      <w:rPr>
        <w:rFonts w:cs="Times New Roman"/>
        <w:lang w:val="es-MX"/>
      </w:rPr>
    </w:lvl>
    <w:lvl w:ilvl="1">
      <w:start w:val="1"/>
      <w:numFmt w:val="decimal"/>
      <w:isLgl/>
      <w:lvlText w:val="%1.%2"/>
      <w:lvlJc w:val="left"/>
      <w:pPr>
        <w:ind w:left="4897" w:hanging="360"/>
      </w:pPr>
      <w:rPr>
        <w:rFonts w:hint="default"/>
        <w:b/>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
    <w:nsid w:val="47B24734"/>
    <w:multiLevelType w:val="hybridMultilevel"/>
    <w:tmpl w:val="BC0828E8"/>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4D36554C"/>
    <w:multiLevelType w:val="multilevel"/>
    <w:tmpl w:val="FE685F76"/>
    <w:lvl w:ilvl="0">
      <w:start w:val="3"/>
      <w:numFmt w:val="decimal"/>
      <w:lvlText w:val="%1."/>
      <w:lvlJc w:val="left"/>
      <w:pPr>
        <w:tabs>
          <w:tab w:val="num" w:pos="360"/>
        </w:tabs>
        <w:ind w:left="360" w:hanging="360"/>
      </w:pPr>
      <w:rPr>
        <w:b/>
      </w:rPr>
    </w:lvl>
    <w:lvl w:ilvl="1">
      <w:start w:val="1"/>
      <w:numFmt w:val="decimal"/>
      <w:isLgl/>
      <w:lvlText w:val="%1.%2."/>
      <w:lvlJc w:val="left"/>
      <w:pPr>
        <w:tabs>
          <w:tab w:val="num" w:pos="540"/>
        </w:tabs>
        <w:ind w:left="540" w:hanging="540"/>
      </w:pPr>
      <w:rPr>
        <w:b/>
        <w:i w:val="0"/>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5">
    <w:nsid w:val="4D54497F"/>
    <w:multiLevelType w:val="hybridMultilevel"/>
    <w:tmpl w:val="7E805270"/>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7">
    <w:nsid w:val="51DE7B89"/>
    <w:multiLevelType w:val="multilevel"/>
    <w:tmpl w:val="35B0EB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4906647"/>
    <w:multiLevelType w:val="hybridMultilevel"/>
    <w:tmpl w:val="E800EF7E"/>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586B43AC"/>
    <w:multiLevelType w:val="hybridMultilevel"/>
    <w:tmpl w:val="B6CE7184"/>
    <w:lvl w:ilvl="0" w:tplc="280A000F">
      <w:start w:val="1"/>
      <w:numFmt w:val="decimal"/>
      <w:lvlText w:val="%1."/>
      <w:lvlJc w:val="left"/>
      <w:pPr>
        <w:ind w:left="720" w:hanging="360"/>
      </w:pPr>
    </w:lvl>
    <w:lvl w:ilvl="1" w:tplc="280A0019">
      <w:start w:val="1"/>
      <w:numFmt w:val="decimal"/>
      <w:lvlText w:val="%2."/>
      <w:lvlJc w:val="left"/>
      <w:pPr>
        <w:tabs>
          <w:tab w:val="num" w:pos="1440"/>
        </w:tabs>
        <w:ind w:left="1440" w:hanging="360"/>
      </w:pPr>
    </w:lvl>
    <w:lvl w:ilvl="2" w:tplc="280A001B">
      <w:start w:val="1"/>
      <w:numFmt w:val="decimal"/>
      <w:lvlText w:val="%3."/>
      <w:lvlJc w:val="left"/>
      <w:pPr>
        <w:tabs>
          <w:tab w:val="num" w:pos="2160"/>
        </w:tabs>
        <w:ind w:left="2160" w:hanging="360"/>
      </w:pPr>
    </w:lvl>
    <w:lvl w:ilvl="3" w:tplc="280A000F">
      <w:start w:val="1"/>
      <w:numFmt w:val="decimal"/>
      <w:lvlText w:val="%4."/>
      <w:lvlJc w:val="left"/>
      <w:pPr>
        <w:tabs>
          <w:tab w:val="num" w:pos="2880"/>
        </w:tabs>
        <w:ind w:left="2880" w:hanging="360"/>
      </w:pPr>
    </w:lvl>
    <w:lvl w:ilvl="4" w:tplc="280A0019">
      <w:start w:val="1"/>
      <w:numFmt w:val="decimal"/>
      <w:lvlText w:val="%5."/>
      <w:lvlJc w:val="left"/>
      <w:pPr>
        <w:tabs>
          <w:tab w:val="num" w:pos="3600"/>
        </w:tabs>
        <w:ind w:left="3600" w:hanging="360"/>
      </w:pPr>
    </w:lvl>
    <w:lvl w:ilvl="5" w:tplc="280A001B">
      <w:start w:val="1"/>
      <w:numFmt w:val="decimal"/>
      <w:lvlText w:val="%6."/>
      <w:lvlJc w:val="left"/>
      <w:pPr>
        <w:tabs>
          <w:tab w:val="num" w:pos="4320"/>
        </w:tabs>
        <w:ind w:left="4320" w:hanging="360"/>
      </w:pPr>
    </w:lvl>
    <w:lvl w:ilvl="6" w:tplc="280A000F">
      <w:start w:val="1"/>
      <w:numFmt w:val="decimal"/>
      <w:lvlText w:val="%7."/>
      <w:lvlJc w:val="left"/>
      <w:pPr>
        <w:tabs>
          <w:tab w:val="num" w:pos="5040"/>
        </w:tabs>
        <w:ind w:left="5040" w:hanging="360"/>
      </w:pPr>
    </w:lvl>
    <w:lvl w:ilvl="7" w:tplc="280A0019">
      <w:start w:val="1"/>
      <w:numFmt w:val="decimal"/>
      <w:lvlText w:val="%8."/>
      <w:lvlJc w:val="left"/>
      <w:pPr>
        <w:tabs>
          <w:tab w:val="num" w:pos="5760"/>
        </w:tabs>
        <w:ind w:left="5760" w:hanging="360"/>
      </w:pPr>
    </w:lvl>
    <w:lvl w:ilvl="8" w:tplc="280A001B">
      <w:start w:val="1"/>
      <w:numFmt w:val="decimal"/>
      <w:lvlText w:val="%9."/>
      <w:lvlJc w:val="left"/>
      <w:pPr>
        <w:tabs>
          <w:tab w:val="num" w:pos="6480"/>
        </w:tabs>
        <w:ind w:left="6480" w:hanging="360"/>
      </w:pPr>
    </w:lvl>
  </w:abstractNum>
  <w:abstractNum w:abstractNumId="10">
    <w:nsid w:val="5B1507F2"/>
    <w:multiLevelType w:val="hybridMultilevel"/>
    <w:tmpl w:val="06705262"/>
    <w:lvl w:ilvl="0" w:tplc="280A0001">
      <w:start w:val="1"/>
      <w:numFmt w:val="bullet"/>
      <w:lvlText w:val=""/>
      <w:lvlJc w:val="left"/>
      <w:pPr>
        <w:ind w:left="1530" w:hanging="360"/>
      </w:pPr>
      <w:rPr>
        <w:rFonts w:ascii="Symbol" w:hAnsi="Symbol" w:hint="default"/>
      </w:rPr>
    </w:lvl>
    <w:lvl w:ilvl="1" w:tplc="280A0003" w:tentative="1">
      <w:start w:val="1"/>
      <w:numFmt w:val="bullet"/>
      <w:lvlText w:val="o"/>
      <w:lvlJc w:val="left"/>
      <w:pPr>
        <w:ind w:left="2250" w:hanging="360"/>
      </w:pPr>
      <w:rPr>
        <w:rFonts w:ascii="Courier New" w:hAnsi="Courier New" w:cs="Courier New" w:hint="default"/>
      </w:rPr>
    </w:lvl>
    <w:lvl w:ilvl="2" w:tplc="280A0005" w:tentative="1">
      <w:start w:val="1"/>
      <w:numFmt w:val="bullet"/>
      <w:lvlText w:val=""/>
      <w:lvlJc w:val="left"/>
      <w:pPr>
        <w:ind w:left="2970" w:hanging="360"/>
      </w:pPr>
      <w:rPr>
        <w:rFonts w:ascii="Wingdings" w:hAnsi="Wingdings" w:hint="default"/>
      </w:rPr>
    </w:lvl>
    <w:lvl w:ilvl="3" w:tplc="280A0001" w:tentative="1">
      <w:start w:val="1"/>
      <w:numFmt w:val="bullet"/>
      <w:lvlText w:val=""/>
      <w:lvlJc w:val="left"/>
      <w:pPr>
        <w:ind w:left="3690" w:hanging="360"/>
      </w:pPr>
      <w:rPr>
        <w:rFonts w:ascii="Symbol" w:hAnsi="Symbol" w:hint="default"/>
      </w:rPr>
    </w:lvl>
    <w:lvl w:ilvl="4" w:tplc="280A0003" w:tentative="1">
      <w:start w:val="1"/>
      <w:numFmt w:val="bullet"/>
      <w:lvlText w:val="o"/>
      <w:lvlJc w:val="left"/>
      <w:pPr>
        <w:ind w:left="4410" w:hanging="360"/>
      </w:pPr>
      <w:rPr>
        <w:rFonts w:ascii="Courier New" w:hAnsi="Courier New" w:cs="Courier New" w:hint="default"/>
      </w:rPr>
    </w:lvl>
    <w:lvl w:ilvl="5" w:tplc="280A0005" w:tentative="1">
      <w:start w:val="1"/>
      <w:numFmt w:val="bullet"/>
      <w:lvlText w:val=""/>
      <w:lvlJc w:val="left"/>
      <w:pPr>
        <w:ind w:left="5130" w:hanging="360"/>
      </w:pPr>
      <w:rPr>
        <w:rFonts w:ascii="Wingdings" w:hAnsi="Wingdings" w:hint="default"/>
      </w:rPr>
    </w:lvl>
    <w:lvl w:ilvl="6" w:tplc="280A0001" w:tentative="1">
      <w:start w:val="1"/>
      <w:numFmt w:val="bullet"/>
      <w:lvlText w:val=""/>
      <w:lvlJc w:val="left"/>
      <w:pPr>
        <w:ind w:left="5850" w:hanging="360"/>
      </w:pPr>
      <w:rPr>
        <w:rFonts w:ascii="Symbol" w:hAnsi="Symbol" w:hint="default"/>
      </w:rPr>
    </w:lvl>
    <w:lvl w:ilvl="7" w:tplc="280A0003" w:tentative="1">
      <w:start w:val="1"/>
      <w:numFmt w:val="bullet"/>
      <w:lvlText w:val="o"/>
      <w:lvlJc w:val="left"/>
      <w:pPr>
        <w:ind w:left="6570" w:hanging="360"/>
      </w:pPr>
      <w:rPr>
        <w:rFonts w:ascii="Courier New" w:hAnsi="Courier New" w:cs="Courier New" w:hint="default"/>
      </w:rPr>
    </w:lvl>
    <w:lvl w:ilvl="8" w:tplc="280A0005" w:tentative="1">
      <w:start w:val="1"/>
      <w:numFmt w:val="bullet"/>
      <w:lvlText w:val=""/>
      <w:lvlJc w:val="left"/>
      <w:pPr>
        <w:ind w:left="7290" w:hanging="360"/>
      </w:pPr>
      <w:rPr>
        <w:rFonts w:ascii="Wingdings" w:hAnsi="Wingdings" w:hint="default"/>
      </w:rPr>
    </w:lvl>
  </w:abstractNum>
  <w:abstractNum w:abstractNumId="11">
    <w:nsid w:val="5C7F4890"/>
    <w:multiLevelType w:val="multilevel"/>
    <w:tmpl w:val="2D0C9144"/>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696E60B9"/>
    <w:multiLevelType w:val="hybridMultilevel"/>
    <w:tmpl w:val="DCD8DA0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nsid w:val="704D169B"/>
    <w:multiLevelType w:val="multilevel"/>
    <w:tmpl w:val="ED465F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258747E"/>
    <w:multiLevelType w:val="hybridMultilevel"/>
    <w:tmpl w:val="551EC11E"/>
    <w:lvl w:ilvl="0" w:tplc="D01C6B36">
      <w:start w:val="1"/>
      <w:numFmt w:val="upperLetter"/>
      <w:lvlText w:val="%1."/>
      <w:lvlJc w:val="left"/>
      <w:pPr>
        <w:ind w:left="928" w:hanging="360"/>
      </w:pPr>
      <w:rPr>
        <w:rFonts w:hint="default"/>
        <w:b/>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15">
    <w:nsid w:val="74AC4567"/>
    <w:multiLevelType w:val="hybridMultilevel"/>
    <w:tmpl w:val="9C0E39B6"/>
    <w:lvl w:ilvl="0" w:tplc="0C0A0001">
      <w:start w:val="1"/>
      <w:numFmt w:val="bullet"/>
      <w:lvlText w:val=""/>
      <w:lvlJc w:val="left"/>
      <w:pPr>
        <w:tabs>
          <w:tab w:val="num" w:pos="1080"/>
        </w:tabs>
        <w:ind w:left="1080" w:hanging="360"/>
      </w:pPr>
      <w:rPr>
        <w:rFonts w:ascii="Symbol" w:hAnsi="Symbol" w:hint="default"/>
      </w:rPr>
    </w:lvl>
    <w:lvl w:ilvl="1" w:tplc="0C0A0003">
      <w:start w:val="1"/>
      <w:numFmt w:val="bullet"/>
      <w:lvlText w:val="o"/>
      <w:lvlJc w:val="left"/>
      <w:pPr>
        <w:tabs>
          <w:tab w:val="num" w:pos="1800"/>
        </w:tabs>
        <w:ind w:left="1800" w:hanging="360"/>
      </w:pPr>
      <w:rPr>
        <w:rFonts w:ascii="Courier New" w:hAnsi="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16">
    <w:nsid w:val="7AFF63F6"/>
    <w:multiLevelType w:val="hybridMultilevel"/>
    <w:tmpl w:val="676654B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
  </w:num>
  <w:num w:numId="8">
    <w:abstractNumId w:val="13"/>
  </w:num>
  <w:num w:numId="9">
    <w:abstractNumId w:val="1"/>
  </w:num>
  <w:num w:numId="10">
    <w:abstractNumId w:val="9"/>
  </w:num>
  <w:num w:numId="11">
    <w:abstractNumId w:val="5"/>
  </w:num>
  <w:num w:numId="12">
    <w:abstractNumId w:val="0"/>
  </w:num>
  <w:num w:numId="13">
    <w:abstractNumId w:val="15"/>
  </w:num>
  <w:num w:numId="14">
    <w:abstractNumId w:val="14"/>
  </w:num>
  <w:num w:numId="15">
    <w:abstractNumId w:val="10"/>
  </w:num>
  <w:num w:numId="16">
    <w:abstractNumId w:val="7"/>
  </w:num>
  <w:num w:numId="17">
    <w:abstractNumId w:val="8"/>
  </w:num>
  <w:num w:numId="18">
    <w:abstractNumId w:val="6"/>
  </w:num>
  <w:num w:numId="19">
    <w:abstractNumId w:val="11"/>
  </w:num>
  <w:num w:numId="20">
    <w:abstractNumId w:val="4"/>
  </w:num>
  <w:num w:numId="21">
    <w:abstractNumId w:val="1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1BD"/>
    <w:rsid w:val="00005392"/>
    <w:rsid w:val="00012160"/>
    <w:rsid w:val="00016174"/>
    <w:rsid w:val="000557BB"/>
    <w:rsid w:val="00067274"/>
    <w:rsid w:val="000732D0"/>
    <w:rsid w:val="000B3FFF"/>
    <w:rsid w:val="000C0AE4"/>
    <w:rsid w:val="000D4EB0"/>
    <w:rsid w:val="000D543F"/>
    <w:rsid w:val="000F6706"/>
    <w:rsid w:val="00132F82"/>
    <w:rsid w:val="00144D6A"/>
    <w:rsid w:val="00152DC2"/>
    <w:rsid w:val="00160682"/>
    <w:rsid w:val="001949F6"/>
    <w:rsid w:val="001B20F5"/>
    <w:rsid w:val="001C46FA"/>
    <w:rsid w:val="001F35C3"/>
    <w:rsid w:val="002143AA"/>
    <w:rsid w:val="00264DC5"/>
    <w:rsid w:val="00275057"/>
    <w:rsid w:val="00296D8E"/>
    <w:rsid w:val="002A6ED4"/>
    <w:rsid w:val="002B1032"/>
    <w:rsid w:val="002D03C1"/>
    <w:rsid w:val="00302FEC"/>
    <w:rsid w:val="00306072"/>
    <w:rsid w:val="0032513A"/>
    <w:rsid w:val="00327FAA"/>
    <w:rsid w:val="0035178F"/>
    <w:rsid w:val="00361309"/>
    <w:rsid w:val="00367880"/>
    <w:rsid w:val="003A7403"/>
    <w:rsid w:val="003E4385"/>
    <w:rsid w:val="003F0B28"/>
    <w:rsid w:val="003F1AFD"/>
    <w:rsid w:val="00411A52"/>
    <w:rsid w:val="00413E5B"/>
    <w:rsid w:val="00432C72"/>
    <w:rsid w:val="00447B57"/>
    <w:rsid w:val="0045241E"/>
    <w:rsid w:val="004713E8"/>
    <w:rsid w:val="004B1FF6"/>
    <w:rsid w:val="004F374B"/>
    <w:rsid w:val="004F3A80"/>
    <w:rsid w:val="005005BF"/>
    <w:rsid w:val="00502F22"/>
    <w:rsid w:val="00514DB7"/>
    <w:rsid w:val="00572488"/>
    <w:rsid w:val="00584AB1"/>
    <w:rsid w:val="00585842"/>
    <w:rsid w:val="005D4C1B"/>
    <w:rsid w:val="006123CC"/>
    <w:rsid w:val="00621BA9"/>
    <w:rsid w:val="006243A4"/>
    <w:rsid w:val="006533FF"/>
    <w:rsid w:val="00653A1D"/>
    <w:rsid w:val="006573BF"/>
    <w:rsid w:val="00671E87"/>
    <w:rsid w:val="006B7EAE"/>
    <w:rsid w:val="006D383B"/>
    <w:rsid w:val="006D453A"/>
    <w:rsid w:val="006D5BF6"/>
    <w:rsid w:val="006F0E18"/>
    <w:rsid w:val="006F7AB9"/>
    <w:rsid w:val="00711B28"/>
    <w:rsid w:val="00743285"/>
    <w:rsid w:val="00751CCE"/>
    <w:rsid w:val="00765C0E"/>
    <w:rsid w:val="00765DD4"/>
    <w:rsid w:val="007A6222"/>
    <w:rsid w:val="007F379C"/>
    <w:rsid w:val="007F74ED"/>
    <w:rsid w:val="00802FC1"/>
    <w:rsid w:val="00807FD5"/>
    <w:rsid w:val="00810049"/>
    <w:rsid w:val="008177B9"/>
    <w:rsid w:val="00834D70"/>
    <w:rsid w:val="008404F6"/>
    <w:rsid w:val="00842A5E"/>
    <w:rsid w:val="00847DF2"/>
    <w:rsid w:val="00854B0E"/>
    <w:rsid w:val="00882649"/>
    <w:rsid w:val="0088670B"/>
    <w:rsid w:val="008B7C1F"/>
    <w:rsid w:val="008E1493"/>
    <w:rsid w:val="008E38F9"/>
    <w:rsid w:val="0093147D"/>
    <w:rsid w:val="00940753"/>
    <w:rsid w:val="00941E6F"/>
    <w:rsid w:val="009500B2"/>
    <w:rsid w:val="00974C65"/>
    <w:rsid w:val="00995EE8"/>
    <w:rsid w:val="009B65D0"/>
    <w:rsid w:val="009F24A9"/>
    <w:rsid w:val="00A233A6"/>
    <w:rsid w:val="00A25783"/>
    <w:rsid w:val="00A265F1"/>
    <w:rsid w:val="00A40F67"/>
    <w:rsid w:val="00A6146C"/>
    <w:rsid w:val="00A8433D"/>
    <w:rsid w:val="00A86F76"/>
    <w:rsid w:val="00AA46D0"/>
    <w:rsid w:val="00AA7D3B"/>
    <w:rsid w:val="00AB3DEB"/>
    <w:rsid w:val="00AD00FB"/>
    <w:rsid w:val="00AF31F4"/>
    <w:rsid w:val="00AF77AD"/>
    <w:rsid w:val="00B138CB"/>
    <w:rsid w:val="00B270A8"/>
    <w:rsid w:val="00B40E41"/>
    <w:rsid w:val="00B56AEB"/>
    <w:rsid w:val="00B60C9A"/>
    <w:rsid w:val="00B6582F"/>
    <w:rsid w:val="00B81B81"/>
    <w:rsid w:val="00B83381"/>
    <w:rsid w:val="00C07EE6"/>
    <w:rsid w:val="00C26898"/>
    <w:rsid w:val="00C26AA0"/>
    <w:rsid w:val="00C368B5"/>
    <w:rsid w:val="00C479D1"/>
    <w:rsid w:val="00C86B4D"/>
    <w:rsid w:val="00CB2489"/>
    <w:rsid w:val="00CC019D"/>
    <w:rsid w:val="00CC55BE"/>
    <w:rsid w:val="00CD2ED3"/>
    <w:rsid w:val="00CE77BC"/>
    <w:rsid w:val="00CF22E7"/>
    <w:rsid w:val="00D1089B"/>
    <w:rsid w:val="00D10C71"/>
    <w:rsid w:val="00D140EE"/>
    <w:rsid w:val="00D1651D"/>
    <w:rsid w:val="00D229BD"/>
    <w:rsid w:val="00D41BFE"/>
    <w:rsid w:val="00D4488E"/>
    <w:rsid w:val="00DB4EED"/>
    <w:rsid w:val="00DB5900"/>
    <w:rsid w:val="00DB6555"/>
    <w:rsid w:val="00DB7512"/>
    <w:rsid w:val="00DD1E8A"/>
    <w:rsid w:val="00DD526E"/>
    <w:rsid w:val="00E01644"/>
    <w:rsid w:val="00E018EF"/>
    <w:rsid w:val="00E3135D"/>
    <w:rsid w:val="00E561FB"/>
    <w:rsid w:val="00E963BC"/>
    <w:rsid w:val="00EA6F84"/>
    <w:rsid w:val="00EC5172"/>
    <w:rsid w:val="00EC7C17"/>
    <w:rsid w:val="00ED28B3"/>
    <w:rsid w:val="00ED3ECA"/>
    <w:rsid w:val="00ED680D"/>
    <w:rsid w:val="00EF3A8B"/>
    <w:rsid w:val="00F15EB0"/>
    <w:rsid w:val="00F3727B"/>
    <w:rsid w:val="00F5080A"/>
    <w:rsid w:val="00F651BD"/>
    <w:rsid w:val="00FA110E"/>
    <w:rsid w:val="00FA78ED"/>
    <w:rsid w:val="00FB4B59"/>
    <w:rsid w:val="00FB7C1C"/>
    <w:rsid w:val="00FC4A37"/>
    <w:rsid w:val="00FC5088"/>
    <w:rsid w:val="00FF12A2"/>
    <w:rsid w:val="00FF38CE"/>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9350A0-386C-4791-8F29-10CDE0BBA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48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semiHidden/>
    <w:unhideWhenUsed/>
    <w:rsid w:val="00F651BD"/>
    <w:rPr>
      <w:color w:val="0000FF"/>
      <w:u w:val="single"/>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Car Car, Car2 Car Car Car Car Car Car, Car2 Car Car,f Car"/>
    <w:basedOn w:val="Fuentedeprrafopredeter"/>
    <w:link w:val="Textonotapie"/>
    <w:locked/>
    <w:rsid w:val="00F651BD"/>
  </w:style>
  <w:style w:type="paragraph" w:styleId="Textonotapie">
    <w:name w:val="footnote text"/>
    <w:aliases w:val="Car,Car1 Car Car,Car2 Car Car Car Car Car,Car2 Car,Car2,Car1 Car,Car1,Car1 Car Car Car Car,Car1 Car Car Car Car Car Car,Car Car Ca, Car, Car2 Car Car Car Car Car, Car2 Car, Car2, Car1 Car, Car1, Car1 Car Car Car Car Car, Car Car Car Car,f"/>
    <w:basedOn w:val="Normal"/>
    <w:link w:val="TextonotapieCar"/>
    <w:unhideWhenUsed/>
    <w:rsid w:val="00F651BD"/>
    <w:pPr>
      <w:spacing w:after="0" w:line="240" w:lineRule="auto"/>
    </w:pPr>
  </w:style>
  <w:style w:type="character" w:customStyle="1" w:styleId="TextonotapieCar1">
    <w:name w:val="Texto nota pie Car1"/>
    <w:basedOn w:val="Fuentedeprrafopredeter"/>
    <w:uiPriority w:val="99"/>
    <w:semiHidden/>
    <w:rsid w:val="00F651BD"/>
    <w:rPr>
      <w:sz w:val="20"/>
      <w:szCs w:val="20"/>
    </w:rPr>
  </w:style>
  <w:style w:type="paragraph" w:styleId="Textoindependiente">
    <w:name w:val="Body Text"/>
    <w:basedOn w:val="Normal"/>
    <w:link w:val="TextoindependienteCar"/>
    <w:uiPriority w:val="99"/>
    <w:semiHidden/>
    <w:unhideWhenUsed/>
    <w:rsid w:val="00F651BD"/>
    <w:pPr>
      <w:spacing w:after="120"/>
    </w:pPr>
    <w:rPr>
      <w:rFonts w:ascii="Calibri" w:eastAsia="Calibri" w:hAnsi="Calibri" w:cs="Times New Roman"/>
      <w:sz w:val="20"/>
      <w:szCs w:val="20"/>
    </w:rPr>
  </w:style>
  <w:style w:type="character" w:customStyle="1" w:styleId="TextoindependienteCar">
    <w:name w:val="Texto independiente Car"/>
    <w:basedOn w:val="Fuentedeprrafopredeter"/>
    <w:link w:val="Textoindependiente"/>
    <w:uiPriority w:val="99"/>
    <w:rsid w:val="00F651BD"/>
    <w:rPr>
      <w:rFonts w:ascii="Calibri" w:eastAsia="Calibri" w:hAnsi="Calibri" w:cs="Times New Roman"/>
      <w:sz w:val="20"/>
      <w:szCs w:val="20"/>
    </w:rPr>
  </w:style>
  <w:style w:type="character" w:customStyle="1" w:styleId="SinespaciadoCar">
    <w:name w:val="Sin espaciado Car"/>
    <w:link w:val="Sinespaciado"/>
    <w:uiPriority w:val="1"/>
    <w:locked/>
    <w:rsid w:val="00F651BD"/>
    <w:rPr>
      <w:lang w:eastAsia="en-US"/>
    </w:rPr>
  </w:style>
  <w:style w:type="paragraph" w:styleId="Sinespaciado">
    <w:name w:val="No Spacing"/>
    <w:link w:val="SinespaciadoCar"/>
    <w:uiPriority w:val="1"/>
    <w:qFormat/>
    <w:rsid w:val="00F651BD"/>
    <w:pPr>
      <w:spacing w:after="0" w:line="240" w:lineRule="auto"/>
    </w:pPr>
    <w:rPr>
      <w:lang w:eastAsia="en-US"/>
    </w:rPr>
  </w:style>
  <w:style w:type="character" w:customStyle="1" w:styleId="PrrafodelistaCar">
    <w:name w:val="Párrafo de lista Car"/>
    <w:aliases w:val="Titulo de Fígura Car,TITULO A Car"/>
    <w:link w:val="Prrafodelista"/>
    <w:uiPriority w:val="34"/>
    <w:locked/>
    <w:rsid w:val="00F651BD"/>
    <w:rPr>
      <w:lang w:eastAsia="en-US"/>
    </w:rPr>
  </w:style>
  <w:style w:type="paragraph" w:styleId="Prrafodelista">
    <w:name w:val="List Paragraph"/>
    <w:aliases w:val="Titulo de Fígura,TITULO A"/>
    <w:basedOn w:val="Normal"/>
    <w:link w:val="PrrafodelistaCar"/>
    <w:uiPriority w:val="34"/>
    <w:qFormat/>
    <w:rsid w:val="00F651BD"/>
    <w:pPr>
      <w:ind w:left="708"/>
    </w:pPr>
    <w:rPr>
      <w:lang w:eastAsia="en-US"/>
    </w:rPr>
  </w:style>
  <w:style w:type="paragraph" w:customStyle="1" w:styleId="WW-Sangra3detindependiente">
    <w:name w:val="WW-Sangría 3 de t. independiente"/>
    <w:basedOn w:val="Normal"/>
    <w:rsid w:val="00F651BD"/>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character" w:customStyle="1" w:styleId="ListParagraphChar">
    <w:name w:val="List Paragraph Char"/>
    <w:link w:val="Prrafodelista1"/>
    <w:locked/>
    <w:rsid w:val="00F651BD"/>
    <w:rPr>
      <w:rFonts w:ascii="Times New Roman" w:eastAsia="Times New Roman" w:hAnsi="Times New Roman" w:cs="Times New Roman"/>
      <w:lang w:val="es-ES"/>
    </w:rPr>
  </w:style>
  <w:style w:type="paragraph" w:customStyle="1" w:styleId="Prrafodelista1">
    <w:name w:val="Párrafo de lista1"/>
    <w:basedOn w:val="Normal"/>
    <w:link w:val="ListParagraphChar"/>
    <w:rsid w:val="00F651BD"/>
    <w:pPr>
      <w:ind w:left="708"/>
    </w:pPr>
    <w:rPr>
      <w:rFonts w:ascii="Times New Roman" w:eastAsia="Times New Roman" w:hAnsi="Times New Roman" w:cs="Times New Roman"/>
      <w:lang w:val="es-ES"/>
    </w:rPr>
  </w:style>
  <w:style w:type="character" w:styleId="Refdenotaalpie">
    <w:name w:val="footnote reference"/>
    <w:aliases w:val="16 Point,Superscript 6 Point,FC,referencia nota al pie"/>
    <w:unhideWhenUsed/>
    <w:rsid w:val="00F651BD"/>
    <w:rPr>
      <w:vertAlign w:val="superscript"/>
    </w:rPr>
  </w:style>
  <w:style w:type="paragraph" w:styleId="Textodeglobo">
    <w:name w:val="Balloon Text"/>
    <w:basedOn w:val="Normal"/>
    <w:link w:val="TextodegloboCar"/>
    <w:uiPriority w:val="99"/>
    <w:semiHidden/>
    <w:unhideWhenUsed/>
    <w:rsid w:val="00F651B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51BD"/>
    <w:rPr>
      <w:rFonts w:ascii="Tahoma" w:hAnsi="Tahoma" w:cs="Tahoma"/>
      <w:sz w:val="16"/>
      <w:szCs w:val="16"/>
    </w:rPr>
  </w:style>
  <w:style w:type="paragraph" w:customStyle="1" w:styleId="CarCarCarCarCarCarCarCarCar1CarCarCarCarCarCarCar">
    <w:name w:val="Car Car Car Car Car Car Car Car Car1 Car Car Car Car Car Car Car"/>
    <w:basedOn w:val="Normal"/>
    <w:rsid w:val="00DB6555"/>
    <w:pPr>
      <w:spacing w:after="160" w:line="240" w:lineRule="exact"/>
    </w:pPr>
    <w:rPr>
      <w:rFonts w:ascii="Tahoma" w:eastAsia="Times New Roman" w:hAnsi="Tahoma" w:cs="Times New Roman"/>
      <w:sz w:val="20"/>
      <w:szCs w:val="20"/>
      <w:lang w:val="en-US" w:eastAsia="en-US"/>
    </w:rPr>
  </w:style>
  <w:style w:type="paragraph" w:customStyle="1" w:styleId="WW-Textoindependiente2">
    <w:name w:val="WW-Texto independiente 2"/>
    <w:basedOn w:val="Normal"/>
    <w:rsid w:val="00F3727B"/>
    <w:pPr>
      <w:spacing w:after="0" w:line="240" w:lineRule="auto"/>
      <w:jc w:val="both"/>
    </w:pPr>
    <w:rPr>
      <w:rFonts w:ascii="Arial" w:eastAsia="Times New Roman" w:hAnsi="Arial" w:cs="Times New Roman"/>
      <w:snapToGrid w:val="0"/>
      <w:sz w:val="24"/>
      <w:szCs w:val="24"/>
      <w:lang w:val="es-ES" w:eastAsia="es-MX"/>
    </w:rPr>
  </w:style>
  <w:style w:type="paragraph" w:customStyle="1" w:styleId="WW-Textosinformato">
    <w:name w:val="WW-Texto sin formato"/>
    <w:basedOn w:val="Normal"/>
    <w:rsid w:val="00FF38CE"/>
    <w:pPr>
      <w:suppressAutoHyphens/>
      <w:spacing w:after="0" w:line="240" w:lineRule="auto"/>
    </w:pPr>
    <w:rPr>
      <w:rFonts w:ascii="Courier New" w:eastAsia="MS Mincho" w:hAnsi="Courier New" w:cs="Times New Roman"/>
      <w:sz w:val="20"/>
      <w:szCs w:val="20"/>
      <w:lang w:eastAsia="es-ES"/>
    </w:rPr>
  </w:style>
  <w:style w:type="paragraph" w:styleId="NormalWeb">
    <w:name w:val="Normal (Web)"/>
    <w:basedOn w:val="Normal"/>
    <w:uiPriority w:val="99"/>
    <w:semiHidden/>
    <w:unhideWhenUsed/>
    <w:rsid w:val="000732D0"/>
    <w:pPr>
      <w:spacing w:after="0" w:line="240" w:lineRule="auto"/>
    </w:pPr>
    <w:rPr>
      <w:rFonts w:ascii="Times New Roman" w:eastAsia="Times New Roman" w:hAnsi="Times New Roman" w:cs="Times New Roman"/>
      <w:sz w:val="24"/>
      <w:szCs w:val="24"/>
    </w:rPr>
  </w:style>
  <w:style w:type="paragraph" w:customStyle="1" w:styleId="Default">
    <w:name w:val="Default"/>
    <w:rsid w:val="00067274"/>
    <w:pPr>
      <w:autoSpaceDE w:val="0"/>
      <w:autoSpaceDN w:val="0"/>
      <w:adjustRightInd w:val="0"/>
      <w:spacing w:after="0" w:line="240" w:lineRule="auto"/>
    </w:pPr>
    <w:rPr>
      <w:rFonts w:ascii="Arial" w:hAnsi="Arial" w:cs="Arial"/>
      <w:color w:val="000000"/>
      <w:sz w:val="24"/>
      <w:szCs w:val="24"/>
    </w:rPr>
  </w:style>
  <w:style w:type="paragraph" w:styleId="Textoindependiente2">
    <w:name w:val="Body Text 2"/>
    <w:basedOn w:val="Normal"/>
    <w:link w:val="Textoindependiente2Car"/>
    <w:uiPriority w:val="99"/>
    <w:unhideWhenUsed/>
    <w:rsid w:val="00A233A6"/>
    <w:pPr>
      <w:spacing w:after="120" w:line="480" w:lineRule="auto"/>
    </w:pPr>
  </w:style>
  <w:style w:type="character" w:customStyle="1" w:styleId="Textoindependiente2Car">
    <w:name w:val="Texto independiente 2 Car"/>
    <w:basedOn w:val="Fuentedeprrafopredeter"/>
    <w:link w:val="Textoindependiente2"/>
    <w:uiPriority w:val="99"/>
    <w:rsid w:val="00A23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89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58BDB-A679-4DBC-87E1-A6A066328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9</Pages>
  <Words>3527</Words>
  <Characters>19403</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mgarridor</dc:creator>
  <cp:lastModifiedBy>Luz Lizbhet Miguel Diaz</cp:lastModifiedBy>
  <cp:revision>11</cp:revision>
  <cp:lastPrinted>2015-04-28T20:26:00Z</cp:lastPrinted>
  <dcterms:created xsi:type="dcterms:W3CDTF">2015-04-27T15:49:00Z</dcterms:created>
  <dcterms:modified xsi:type="dcterms:W3CDTF">2015-04-29T01:14:00Z</dcterms:modified>
</cp:coreProperties>
</file>