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1BD" w:rsidRPr="00B84990" w:rsidRDefault="00C53889" w:rsidP="006F5EB4">
      <w:pPr>
        <w:widowControl w:val="0"/>
        <w:spacing w:after="0" w:line="240" w:lineRule="auto"/>
        <w:jc w:val="center"/>
        <w:rPr>
          <w:rFonts w:ascii="Times New Roman" w:eastAsia="Times New Roman" w:hAnsi="Times New Roman" w:cs="Times New Roman"/>
          <w:b/>
          <w:sz w:val="24"/>
          <w:szCs w:val="24"/>
          <w:u w:val="single"/>
          <w:lang w:val="es-MX" w:eastAsia="es-MX"/>
        </w:rPr>
      </w:pPr>
      <w:r w:rsidRPr="00B84990">
        <w:rPr>
          <w:rFonts w:ascii="Times New Roman" w:eastAsia="Times New Roman" w:hAnsi="Times New Roman" w:cs="Times New Roman"/>
          <w:b/>
          <w:sz w:val="24"/>
          <w:szCs w:val="24"/>
          <w:u w:val="single"/>
          <w:lang w:val="es-MX" w:eastAsia="es-MX"/>
        </w:rPr>
        <w:t xml:space="preserve">PRONUNCIAMIENTO Nº </w:t>
      </w:r>
      <w:r w:rsidR="001433DD">
        <w:rPr>
          <w:rFonts w:ascii="Times New Roman" w:eastAsia="Times New Roman" w:hAnsi="Times New Roman" w:cs="Times New Roman"/>
          <w:b/>
          <w:sz w:val="24"/>
          <w:szCs w:val="24"/>
          <w:u w:val="single"/>
          <w:lang w:val="es-MX" w:eastAsia="es-MX"/>
        </w:rPr>
        <w:t>354</w:t>
      </w:r>
      <w:r w:rsidR="00F651BD" w:rsidRPr="00B84990">
        <w:rPr>
          <w:rFonts w:ascii="Times New Roman" w:eastAsia="Times New Roman" w:hAnsi="Times New Roman" w:cs="Times New Roman"/>
          <w:b/>
          <w:sz w:val="24"/>
          <w:szCs w:val="24"/>
          <w:u w:val="single"/>
          <w:lang w:val="es-MX" w:eastAsia="es-MX"/>
        </w:rPr>
        <w:t>-2015/DSU</w:t>
      </w:r>
    </w:p>
    <w:p w:rsidR="00F651BD" w:rsidRPr="00B84990" w:rsidRDefault="00F651BD" w:rsidP="006F5EB4">
      <w:pPr>
        <w:widowControl w:val="0"/>
        <w:tabs>
          <w:tab w:val="left" w:pos="1980"/>
        </w:tabs>
        <w:spacing w:after="0" w:line="240" w:lineRule="auto"/>
        <w:ind w:left="2880" w:hanging="2880"/>
        <w:jc w:val="both"/>
        <w:rPr>
          <w:rFonts w:ascii="Times New Roman" w:eastAsia="Times New Roman" w:hAnsi="Times New Roman" w:cs="Times New Roman"/>
          <w:sz w:val="24"/>
          <w:szCs w:val="24"/>
          <w:lang w:val="es-MX" w:eastAsia="es-MX"/>
        </w:rPr>
      </w:pPr>
      <w:r w:rsidRPr="00B84990">
        <w:rPr>
          <w:rFonts w:ascii="Times New Roman" w:eastAsia="Times New Roman" w:hAnsi="Times New Roman" w:cs="Times New Roman"/>
          <w:sz w:val="24"/>
          <w:szCs w:val="24"/>
          <w:lang w:val="es-MX" w:eastAsia="es-MX"/>
        </w:rPr>
        <w:tab/>
      </w:r>
    </w:p>
    <w:p w:rsidR="00F651BD" w:rsidRPr="00B84990" w:rsidRDefault="00F651BD" w:rsidP="006F5EB4">
      <w:pPr>
        <w:widowControl w:val="0"/>
        <w:spacing w:after="0" w:line="240" w:lineRule="auto"/>
        <w:ind w:left="2835" w:hanging="2835"/>
        <w:jc w:val="both"/>
        <w:rPr>
          <w:rFonts w:ascii="Times New Roman" w:eastAsia="Calibri" w:hAnsi="Times New Roman" w:cs="Times New Roman"/>
          <w:sz w:val="24"/>
          <w:szCs w:val="24"/>
          <w:lang w:eastAsia="en-US"/>
        </w:rPr>
      </w:pPr>
      <w:r w:rsidRPr="00B84990">
        <w:rPr>
          <w:rFonts w:ascii="Times New Roman" w:eastAsia="Times New Roman" w:hAnsi="Times New Roman" w:cs="Times New Roman"/>
          <w:sz w:val="24"/>
          <w:szCs w:val="24"/>
          <w:lang w:val="es-MX" w:eastAsia="es-MX"/>
        </w:rPr>
        <w:t>Entidad:</w:t>
      </w:r>
      <w:r w:rsidRPr="00B84990">
        <w:rPr>
          <w:rFonts w:ascii="Times New Roman" w:eastAsia="Times New Roman" w:hAnsi="Times New Roman" w:cs="Times New Roman"/>
          <w:sz w:val="24"/>
          <w:szCs w:val="24"/>
          <w:lang w:val="es-MX" w:eastAsia="es-MX"/>
        </w:rPr>
        <w:tab/>
      </w:r>
      <w:r w:rsidRPr="00B84990">
        <w:rPr>
          <w:rFonts w:ascii="Times New Roman" w:hAnsi="Times New Roman" w:cs="Times New Roman"/>
          <w:sz w:val="24"/>
          <w:szCs w:val="24"/>
          <w:lang w:val="es-MX"/>
        </w:rPr>
        <w:t xml:space="preserve">Municipalidad </w:t>
      </w:r>
      <w:r w:rsidR="00C53889" w:rsidRPr="00B84990">
        <w:rPr>
          <w:rFonts w:ascii="Times New Roman" w:hAnsi="Times New Roman" w:cs="Times New Roman"/>
          <w:sz w:val="24"/>
          <w:szCs w:val="24"/>
          <w:lang w:val="es-MX"/>
        </w:rPr>
        <w:t xml:space="preserve">Distrital de Nuevo Chimbote </w:t>
      </w:r>
    </w:p>
    <w:p w:rsidR="00F651BD" w:rsidRPr="00B84990" w:rsidRDefault="00F651BD" w:rsidP="006F5EB4">
      <w:pPr>
        <w:widowControl w:val="0"/>
        <w:spacing w:after="0" w:line="240" w:lineRule="auto"/>
        <w:ind w:left="2835" w:hanging="2835"/>
        <w:jc w:val="both"/>
        <w:rPr>
          <w:rFonts w:ascii="Times New Roman" w:eastAsia="Times New Roman" w:hAnsi="Times New Roman" w:cs="Times New Roman"/>
          <w:snapToGrid w:val="0"/>
          <w:sz w:val="24"/>
          <w:szCs w:val="24"/>
          <w:lang w:val="es-MX" w:eastAsia="es-MX"/>
        </w:rPr>
      </w:pPr>
    </w:p>
    <w:p w:rsidR="00F651BD" w:rsidRPr="00B84990" w:rsidRDefault="00F651BD" w:rsidP="006F5EB4">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_tradnl" w:eastAsia="es-MX"/>
        </w:rPr>
      </w:pPr>
      <w:r w:rsidRPr="00B84990">
        <w:rPr>
          <w:rFonts w:ascii="Times New Roman" w:eastAsia="Times New Roman" w:hAnsi="Times New Roman" w:cs="Times New Roman"/>
          <w:sz w:val="24"/>
          <w:szCs w:val="24"/>
          <w:lang w:val="es-MX" w:eastAsia="es-MX"/>
        </w:rPr>
        <w:t>Referencia:</w:t>
      </w:r>
      <w:r w:rsidRPr="00B84990">
        <w:rPr>
          <w:rFonts w:ascii="Times New Roman" w:eastAsia="Times New Roman" w:hAnsi="Times New Roman" w:cs="Times New Roman"/>
          <w:sz w:val="24"/>
          <w:szCs w:val="24"/>
          <w:lang w:val="es-MX" w:eastAsia="es-MX"/>
        </w:rPr>
        <w:tab/>
      </w:r>
      <w:r w:rsidRPr="00B84990">
        <w:rPr>
          <w:rFonts w:ascii="Times New Roman" w:eastAsia="Times New Roman" w:hAnsi="Times New Roman" w:cs="Times New Roman"/>
          <w:sz w:val="24"/>
          <w:szCs w:val="24"/>
          <w:lang w:val="es-MX" w:eastAsia="es-MX"/>
        </w:rPr>
        <w:tab/>
      </w:r>
      <w:r w:rsidR="00B270A8" w:rsidRPr="00B84990">
        <w:rPr>
          <w:rFonts w:ascii="Times New Roman" w:eastAsia="Times New Roman" w:hAnsi="Times New Roman" w:cs="Times New Roman"/>
          <w:sz w:val="24"/>
          <w:szCs w:val="24"/>
          <w:lang w:val="es-ES_tradnl" w:eastAsia="es-MX"/>
        </w:rPr>
        <w:t xml:space="preserve">Licitación </w:t>
      </w:r>
      <w:r w:rsidR="006D383B" w:rsidRPr="00B84990">
        <w:rPr>
          <w:rFonts w:ascii="Times New Roman" w:eastAsia="Times New Roman" w:hAnsi="Times New Roman" w:cs="Times New Roman"/>
          <w:sz w:val="24"/>
          <w:szCs w:val="24"/>
          <w:lang w:val="es-ES_tradnl" w:eastAsia="es-MX"/>
        </w:rPr>
        <w:t xml:space="preserve">Pública </w:t>
      </w:r>
      <w:r w:rsidR="00B270A8" w:rsidRPr="00B84990">
        <w:rPr>
          <w:rFonts w:ascii="Times New Roman" w:eastAsia="Times New Roman" w:hAnsi="Times New Roman" w:cs="Times New Roman"/>
          <w:sz w:val="24"/>
          <w:szCs w:val="24"/>
          <w:lang w:val="es-ES_tradnl" w:eastAsia="es-MX"/>
        </w:rPr>
        <w:t xml:space="preserve">N° </w:t>
      </w:r>
      <w:r w:rsidR="00C53889" w:rsidRPr="00B84990">
        <w:rPr>
          <w:rFonts w:ascii="Times New Roman" w:eastAsia="Times New Roman" w:hAnsi="Times New Roman" w:cs="Times New Roman"/>
          <w:sz w:val="24"/>
          <w:szCs w:val="24"/>
          <w:lang w:val="es-ES_tradnl" w:eastAsia="es-MX"/>
        </w:rPr>
        <w:t>5-2014-MDNCH-CE c</w:t>
      </w:r>
      <w:r w:rsidRPr="00B84990">
        <w:rPr>
          <w:rFonts w:ascii="Times New Roman" w:eastAsia="Times New Roman" w:hAnsi="Times New Roman" w:cs="Times New Roman"/>
          <w:sz w:val="24"/>
          <w:szCs w:val="24"/>
          <w:lang w:val="es-ES_tradnl" w:eastAsia="es-MX"/>
        </w:rPr>
        <w:t>onvocada</w:t>
      </w:r>
      <w:r w:rsidR="00B270A8" w:rsidRPr="00B84990">
        <w:rPr>
          <w:rFonts w:ascii="Times New Roman" w:eastAsia="Times New Roman" w:hAnsi="Times New Roman" w:cs="Times New Roman"/>
          <w:sz w:val="24"/>
          <w:szCs w:val="24"/>
          <w:lang w:val="es-ES_tradnl" w:eastAsia="es-MX"/>
        </w:rPr>
        <w:t xml:space="preserve"> para</w:t>
      </w:r>
      <w:r w:rsidR="00C53889" w:rsidRPr="00B84990">
        <w:rPr>
          <w:rFonts w:ascii="Times New Roman" w:eastAsia="Times New Roman" w:hAnsi="Times New Roman" w:cs="Times New Roman"/>
          <w:sz w:val="24"/>
          <w:szCs w:val="24"/>
          <w:lang w:val="es-ES_tradnl" w:eastAsia="es-MX"/>
        </w:rPr>
        <w:t xml:space="preserve"> la contratación de suministro de bienes</w:t>
      </w:r>
      <w:r w:rsidRPr="00B84990">
        <w:rPr>
          <w:rFonts w:ascii="Times New Roman" w:eastAsia="Times New Roman" w:hAnsi="Times New Roman" w:cs="Times New Roman"/>
          <w:sz w:val="24"/>
          <w:szCs w:val="24"/>
          <w:lang w:val="es-ES_tradnl" w:eastAsia="es-MX"/>
        </w:rPr>
        <w:t>:</w:t>
      </w:r>
      <w:r w:rsidR="00C53889" w:rsidRPr="00B84990">
        <w:rPr>
          <w:rFonts w:ascii="Times New Roman" w:eastAsia="Times New Roman" w:hAnsi="Times New Roman" w:cs="Times New Roman"/>
          <w:sz w:val="24"/>
          <w:szCs w:val="24"/>
          <w:lang w:val="es-ES_tradnl" w:eastAsia="es-MX"/>
        </w:rPr>
        <w:t xml:space="preserve"> </w:t>
      </w:r>
      <w:r w:rsidRPr="00B84990">
        <w:rPr>
          <w:rFonts w:ascii="Times New Roman" w:eastAsia="Times New Roman" w:hAnsi="Times New Roman" w:cs="Times New Roman"/>
          <w:sz w:val="24"/>
          <w:szCs w:val="24"/>
          <w:lang w:val="es-ES_tradnl" w:eastAsia="es-MX"/>
        </w:rPr>
        <w:t>“</w:t>
      </w:r>
      <w:r w:rsidR="00C53889" w:rsidRPr="00B84990">
        <w:rPr>
          <w:rFonts w:ascii="Times New Roman" w:eastAsia="Times New Roman" w:hAnsi="Times New Roman" w:cs="Times New Roman"/>
          <w:sz w:val="24"/>
          <w:szCs w:val="24"/>
          <w:lang w:val="es-ES_tradnl" w:eastAsia="es-MX"/>
        </w:rPr>
        <w:t>Adquisición de Insumos para el Programa del Vaso de Leche Nuevo Chimbote correspondiente al Año Fiscal 2015</w:t>
      </w:r>
      <w:r w:rsidR="006F5EB4" w:rsidRPr="00B84990">
        <w:rPr>
          <w:rFonts w:ascii="Times New Roman" w:eastAsia="Times New Roman" w:hAnsi="Times New Roman" w:cs="Times New Roman"/>
          <w:sz w:val="24"/>
          <w:szCs w:val="24"/>
          <w:lang w:val="es-ES_tradnl" w:eastAsia="es-MX"/>
        </w:rPr>
        <w:t xml:space="preserve">”. </w:t>
      </w:r>
      <w:r w:rsidRPr="00B84990">
        <w:rPr>
          <w:rFonts w:ascii="Times New Roman" w:eastAsia="Times New Roman" w:hAnsi="Times New Roman" w:cs="Times New Roman"/>
          <w:sz w:val="24"/>
          <w:szCs w:val="24"/>
          <w:lang w:val="es-ES_tradnl" w:eastAsia="es-MX"/>
        </w:rPr>
        <w:t xml:space="preserve">  </w:t>
      </w:r>
    </w:p>
    <w:p w:rsidR="00F651BD" w:rsidRPr="00B84990" w:rsidRDefault="00F651BD" w:rsidP="006F5EB4">
      <w:pPr>
        <w:widowControl w:val="0"/>
        <w:pBdr>
          <w:bottom w:val="single" w:sz="6" w:space="1" w:color="auto"/>
        </w:pBdr>
        <w:spacing w:after="0" w:line="240" w:lineRule="auto"/>
        <w:jc w:val="both"/>
        <w:rPr>
          <w:rFonts w:ascii="Times New Roman" w:eastAsia="Times New Roman" w:hAnsi="Times New Roman" w:cs="Times New Roman"/>
          <w:sz w:val="24"/>
          <w:szCs w:val="24"/>
          <w:lang w:val="es-ES_tradnl" w:eastAsia="es-MX"/>
        </w:rPr>
      </w:pPr>
    </w:p>
    <w:p w:rsidR="00F651BD" w:rsidRPr="00B84990" w:rsidRDefault="00F651BD" w:rsidP="006F5EB4">
      <w:pPr>
        <w:widowControl w:val="0"/>
        <w:spacing w:after="0" w:line="240" w:lineRule="auto"/>
        <w:jc w:val="both"/>
        <w:rPr>
          <w:rFonts w:ascii="Times New Roman" w:eastAsia="Times New Roman" w:hAnsi="Times New Roman" w:cs="Times New Roman"/>
          <w:sz w:val="24"/>
          <w:szCs w:val="24"/>
          <w:lang w:val="es-MX" w:eastAsia="es-MX"/>
        </w:rPr>
      </w:pPr>
    </w:p>
    <w:p w:rsidR="00F651BD" w:rsidRPr="00B84990" w:rsidRDefault="00F651BD" w:rsidP="006F5EB4">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MX" w:eastAsia="es-MX"/>
        </w:rPr>
      </w:pPr>
      <w:r w:rsidRPr="00B84990">
        <w:rPr>
          <w:rFonts w:ascii="Times New Roman" w:eastAsia="Times New Roman" w:hAnsi="Times New Roman" w:cs="Times New Roman"/>
          <w:b/>
          <w:sz w:val="24"/>
          <w:szCs w:val="24"/>
          <w:lang w:val="es-MX" w:eastAsia="es-MX"/>
        </w:rPr>
        <w:t xml:space="preserve">ANTECEDENTES </w:t>
      </w:r>
    </w:p>
    <w:p w:rsidR="00F651BD" w:rsidRPr="00B84990" w:rsidRDefault="00F651BD" w:rsidP="006F5EB4">
      <w:pPr>
        <w:widowControl w:val="0"/>
        <w:spacing w:after="0" w:line="240" w:lineRule="auto"/>
        <w:jc w:val="both"/>
        <w:rPr>
          <w:rFonts w:ascii="Times New Roman" w:eastAsia="Times New Roman" w:hAnsi="Times New Roman" w:cs="Times New Roman"/>
          <w:sz w:val="24"/>
          <w:szCs w:val="24"/>
          <w:lang w:val="es-MX" w:eastAsia="es-MX"/>
        </w:rPr>
      </w:pPr>
    </w:p>
    <w:p w:rsidR="00F651BD" w:rsidRPr="00B84990" w:rsidRDefault="00F651BD" w:rsidP="006F5EB4">
      <w:pPr>
        <w:pStyle w:val="WW-Sangra3detindependiente"/>
        <w:widowControl/>
        <w:suppressAutoHyphens w:val="0"/>
        <w:ind w:left="2"/>
        <w:rPr>
          <w:szCs w:val="24"/>
        </w:rPr>
      </w:pPr>
      <w:r w:rsidRPr="00B84990">
        <w:rPr>
          <w:szCs w:val="24"/>
        </w:rPr>
        <w:t>Mediante</w:t>
      </w:r>
      <w:r w:rsidR="00C53889" w:rsidRPr="00B84990">
        <w:rPr>
          <w:szCs w:val="24"/>
        </w:rPr>
        <w:t xml:space="preserve"> el  Oficio N° 119-2015-GM-MDNCH, recibido el 01.ABR.15, subsanado mediante el Oficio N° 123-2015-MDNCH/GM, recibido el </w:t>
      </w:r>
      <w:r w:rsidR="00817996" w:rsidRPr="00B84990">
        <w:rPr>
          <w:szCs w:val="24"/>
        </w:rPr>
        <w:t xml:space="preserve">07.ABR.15, </w:t>
      </w:r>
      <w:r w:rsidRPr="00B84990">
        <w:rPr>
          <w:szCs w:val="24"/>
        </w:rPr>
        <w:t xml:space="preserve">el Presidente del Comité Especial remitió al Organismo Supervisor de las Contrataciones del Estado (OSCE) las </w:t>
      </w:r>
      <w:r w:rsidR="00817996" w:rsidRPr="00B84990">
        <w:rPr>
          <w:szCs w:val="24"/>
        </w:rPr>
        <w:t>siete (7</w:t>
      </w:r>
      <w:r w:rsidRPr="00B84990">
        <w:rPr>
          <w:szCs w:val="24"/>
        </w:rPr>
        <w:t xml:space="preserve">) observaciones </w:t>
      </w:r>
      <w:r w:rsidR="00817996" w:rsidRPr="00B84990">
        <w:rPr>
          <w:szCs w:val="24"/>
        </w:rPr>
        <w:t xml:space="preserve">y </w:t>
      </w:r>
      <w:r w:rsidR="00522E75" w:rsidRPr="00B84990">
        <w:rPr>
          <w:szCs w:val="24"/>
        </w:rPr>
        <w:t xml:space="preserve">los once </w:t>
      </w:r>
      <w:r w:rsidR="00817996" w:rsidRPr="00B84990">
        <w:rPr>
          <w:szCs w:val="24"/>
        </w:rPr>
        <w:t>(</w:t>
      </w:r>
      <w:r w:rsidR="00522E75" w:rsidRPr="00B84990">
        <w:rPr>
          <w:szCs w:val="24"/>
        </w:rPr>
        <w:t>11</w:t>
      </w:r>
      <w:r w:rsidR="00817996" w:rsidRPr="00B84990">
        <w:rPr>
          <w:szCs w:val="24"/>
        </w:rPr>
        <w:t>) cuestionamientos formulado</w:t>
      </w:r>
      <w:r w:rsidRPr="00B84990">
        <w:rPr>
          <w:szCs w:val="24"/>
        </w:rPr>
        <w:t xml:space="preserve">s por el participante </w:t>
      </w:r>
      <w:r w:rsidR="00817996" w:rsidRPr="00B84990">
        <w:rPr>
          <w:b/>
          <w:szCs w:val="24"/>
        </w:rPr>
        <w:t xml:space="preserve">PERUAR SRL, </w:t>
      </w:r>
      <w:r w:rsidRPr="00B84990">
        <w:rPr>
          <w:szCs w:val="24"/>
        </w:rPr>
        <w:t>así como el informe técnico respectivo, en cumplimiento de lo dispuesto por el artículo 28 del Decreto Legislativo Nº1017, que aprueba la Ley de Contrataciones del Estado, en adelante la Ley, y el artículo 58 de su Reglamento, aprobado por Decreto Supremo Nº184-2008-EF, en adelante el Reglamento.</w:t>
      </w:r>
    </w:p>
    <w:p w:rsidR="00817996" w:rsidRPr="00B84990" w:rsidRDefault="00817996" w:rsidP="006F5EB4">
      <w:pPr>
        <w:pStyle w:val="WW-Sangra3detindependiente"/>
        <w:widowControl/>
        <w:suppressAutoHyphens w:val="0"/>
        <w:ind w:left="2"/>
        <w:rPr>
          <w:szCs w:val="24"/>
        </w:rPr>
      </w:pPr>
    </w:p>
    <w:p w:rsidR="00817996" w:rsidRPr="00B84990" w:rsidRDefault="00817996" w:rsidP="006F5EB4">
      <w:pPr>
        <w:widowControl w:val="0"/>
        <w:suppressAutoHyphens/>
        <w:spacing w:after="0" w:line="240" w:lineRule="auto"/>
        <w:jc w:val="both"/>
        <w:rPr>
          <w:rFonts w:ascii="Times New Roman" w:eastAsia="MS Mincho" w:hAnsi="Times New Roman" w:cs="Times New Roman"/>
          <w:sz w:val="24"/>
          <w:szCs w:val="24"/>
          <w:lang w:val="es-ES_tradnl" w:eastAsia="es-ES"/>
        </w:rPr>
      </w:pPr>
      <w:r w:rsidRPr="00B84990">
        <w:rPr>
          <w:rFonts w:ascii="Times New Roman" w:eastAsia="MS Mincho" w:hAnsi="Times New Roman" w:cs="Times New Roman"/>
          <w:sz w:val="24"/>
          <w:szCs w:val="24"/>
          <w:lang w:val="es-ES_tradnl" w:eastAsia="es-ES"/>
        </w:rPr>
        <w:t>Al respecto, cabe resaltar que, atendiendo a lo dispuesto por el artículo 58 del Reglamento,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el solicitante se haya registrado como participante antes del vencimiento del plazo previsto para formular observaciones.</w:t>
      </w:r>
    </w:p>
    <w:p w:rsidR="00817996" w:rsidRPr="00B84990" w:rsidRDefault="00817996" w:rsidP="006F5EB4">
      <w:pPr>
        <w:widowControl w:val="0"/>
        <w:tabs>
          <w:tab w:val="left" w:pos="0"/>
        </w:tabs>
        <w:spacing w:after="0" w:line="240" w:lineRule="auto"/>
        <w:jc w:val="both"/>
        <w:rPr>
          <w:rFonts w:ascii="Times New Roman" w:eastAsia="MS Mincho" w:hAnsi="Times New Roman" w:cs="Times New Roman"/>
          <w:sz w:val="24"/>
          <w:szCs w:val="24"/>
          <w:lang w:val="es-ES" w:eastAsia="es-ES"/>
        </w:rPr>
      </w:pPr>
    </w:p>
    <w:p w:rsidR="00817996" w:rsidRPr="00B84990" w:rsidRDefault="00817996" w:rsidP="006F5EB4">
      <w:pPr>
        <w:pStyle w:val="WW-Sangra3detindependiente"/>
        <w:widowControl/>
        <w:suppressAutoHyphens w:val="0"/>
        <w:ind w:left="2"/>
        <w:rPr>
          <w:szCs w:val="24"/>
        </w:rPr>
      </w:pPr>
      <w:r w:rsidRPr="00B84990">
        <w:rPr>
          <w:rFonts w:eastAsia="MS Mincho"/>
          <w:szCs w:val="24"/>
          <w:lang w:val="es-ES" w:eastAsia="es-ES"/>
        </w:rPr>
        <w:t xml:space="preserve">En ese sentido, respecto de las siete (7) observaciones formuladas por el participante </w:t>
      </w:r>
      <w:r w:rsidRPr="00B84990">
        <w:rPr>
          <w:b/>
          <w:szCs w:val="24"/>
        </w:rPr>
        <w:t xml:space="preserve">PERUAR SRL, </w:t>
      </w:r>
      <w:r w:rsidRPr="00B84990">
        <w:rPr>
          <w:szCs w:val="24"/>
        </w:rPr>
        <w:t>este Organismo Supervisor no se pronunciará acerca de la absolución de las</w:t>
      </w:r>
      <w:r w:rsidR="0059080A" w:rsidRPr="00B84990">
        <w:rPr>
          <w:szCs w:val="24"/>
        </w:rPr>
        <w:t xml:space="preserve"> Observaciones N° 1, 2 y 4</w:t>
      </w:r>
      <w:r w:rsidRPr="00B84990">
        <w:rPr>
          <w:szCs w:val="24"/>
        </w:rPr>
        <w:t>, dado que del pliego absolutorio de observaciones se advierte que fueron ac</w:t>
      </w:r>
      <w:r w:rsidR="00BB77A6" w:rsidRPr="00B84990">
        <w:rPr>
          <w:szCs w:val="24"/>
        </w:rPr>
        <w:t xml:space="preserve">ogidas por el Comité Especial, y en la solicitud del participante no fueron objeto de cuestionamiento. </w:t>
      </w:r>
    </w:p>
    <w:p w:rsidR="00BB77A6" w:rsidRPr="00B84990" w:rsidRDefault="00BB77A6" w:rsidP="006F5EB4">
      <w:pPr>
        <w:pStyle w:val="WW-Sangra3detindependiente"/>
        <w:widowControl/>
        <w:suppressAutoHyphens w:val="0"/>
        <w:ind w:left="2"/>
        <w:rPr>
          <w:szCs w:val="24"/>
        </w:rPr>
      </w:pPr>
    </w:p>
    <w:p w:rsidR="00BB77A6" w:rsidRPr="00B84990" w:rsidRDefault="00BB77A6" w:rsidP="006F5EB4">
      <w:pPr>
        <w:pStyle w:val="WW-Sangra3detindependiente"/>
        <w:widowControl/>
        <w:suppressAutoHyphens w:val="0"/>
        <w:ind w:left="2"/>
        <w:rPr>
          <w:szCs w:val="24"/>
        </w:rPr>
      </w:pPr>
      <w:r w:rsidRPr="00B84990">
        <w:rPr>
          <w:szCs w:val="24"/>
        </w:rPr>
        <w:t>Con rel</w:t>
      </w:r>
      <w:r w:rsidR="0059080A" w:rsidRPr="00B84990">
        <w:rPr>
          <w:szCs w:val="24"/>
        </w:rPr>
        <w:t>ación a las Observaciones N° 3, 5 y</w:t>
      </w:r>
      <w:r w:rsidRPr="00B84990">
        <w:rPr>
          <w:szCs w:val="24"/>
        </w:rPr>
        <w:t xml:space="preserve"> 7, se advierte que constituyen solicitudes de aclaración y/o modificación respecto de un extremo de las Bases que no se sustenta en la contravención de la normativa de contratación pública o normas conexas, es decir, constituyen consultas, supuesto no previsto en el artículo 58° del Reglamento, por lo que este Organismo Supervisor no se pronunciará al respecto. </w:t>
      </w:r>
    </w:p>
    <w:p w:rsidR="0059080A" w:rsidRPr="00B84990" w:rsidRDefault="0059080A" w:rsidP="006F5EB4">
      <w:pPr>
        <w:pStyle w:val="WW-Sangra3detindependiente"/>
        <w:widowControl/>
        <w:suppressAutoHyphens w:val="0"/>
        <w:ind w:left="2"/>
        <w:rPr>
          <w:szCs w:val="24"/>
        </w:rPr>
      </w:pPr>
    </w:p>
    <w:p w:rsidR="0059080A" w:rsidRPr="00B84990" w:rsidRDefault="0059080A" w:rsidP="006F5EB4">
      <w:pPr>
        <w:pStyle w:val="WW-Sangra3detindependiente"/>
        <w:widowControl/>
        <w:suppressAutoHyphens w:val="0"/>
        <w:ind w:left="2"/>
        <w:rPr>
          <w:szCs w:val="24"/>
        </w:rPr>
      </w:pPr>
      <w:r w:rsidRPr="00B84990">
        <w:rPr>
          <w:szCs w:val="24"/>
        </w:rPr>
        <w:t xml:space="preserve">Con relación a la Observación N° 6, cabe indicar que si bien dicha observación fue acogida por el Comité Especial, el recurrente cuestiona dicha absolución en su solicitud de elevación de observaciones, por lo que este Organismo Supervisor se pronunciará al respecto denominándola Cuestionamiento N° 1. </w:t>
      </w:r>
    </w:p>
    <w:p w:rsidR="0059080A" w:rsidRPr="00B84990" w:rsidRDefault="0059080A" w:rsidP="006F5EB4">
      <w:pPr>
        <w:pStyle w:val="WW-Sangra3detindependiente"/>
        <w:widowControl/>
        <w:suppressAutoHyphens w:val="0"/>
        <w:ind w:left="2"/>
        <w:rPr>
          <w:szCs w:val="24"/>
        </w:rPr>
      </w:pPr>
    </w:p>
    <w:p w:rsidR="0059080A" w:rsidRPr="00B84990" w:rsidRDefault="0059080A" w:rsidP="006F5EB4">
      <w:pPr>
        <w:pStyle w:val="WW-Sangra3detindependiente"/>
        <w:widowControl/>
        <w:suppressAutoHyphens w:val="0"/>
        <w:ind w:left="2"/>
        <w:rPr>
          <w:szCs w:val="24"/>
        </w:rPr>
      </w:pPr>
      <w:r w:rsidRPr="00B84990">
        <w:rPr>
          <w:szCs w:val="24"/>
        </w:rPr>
        <w:lastRenderedPageBreak/>
        <w:t xml:space="preserve">Con relación al Cuestionamiento N° 2, </w:t>
      </w:r>
      <w:r w:rsidR="00C34D68" w:rsidRPr="00B84990">
        <w:rPr>
          <w:szCs w:val="24"/>
        </w:rPr>
        <w:t xml:space="preserve">se advierte que a través del mismo el recurrente cuestiona la absolución de su Observación N° 3, la cual constituye una consulta, por lo que, al ser un supuesto no previsto en el artículo  58° del Reglamento, este Organismo Supervisor no se pronunciará al respecto. </w:t>
      </w:r>
    </w:p>
    <w:p w:rsidR="00C34D68" w:rsidRPr="00B84990" w:rsidRDefault="00C34D68" w:rsidP="006F5EB4">
      <w:pPr>
        <w:pStyle w:val="WW-Sangra3detindependiente"/>
        <w:widowControl/>
        <w:suppressAutoHyphens w:val="0"/>
        <w:ind w:left="2"/>
        <w:rPr>
          <w:szCs w:val="24"/>
        </w:rPr>
      </w:pPr>
    </w:p>
    <w:p w:rsidR="00C34D68" w:rsidRPr="00B84990" w:rsidRDefault="00522E75" w:rsidP="006F5EB4">
      <w:pPr>
        <w:pStyle w:val="WW-Sangra3detindependiente"/>
        <w:widowControl/>
        <w:suppressAutoHyphens w:val="0"/>
        <w:ind w:left="2"/>
        <w:rPr>
          <w:szCs w:val="24"/>
        </w:rPr>
      </w:pPr>
      <w:r w:rsidRPr="00B84990">
        <w:rPr>
          <w:szCs w:val="24"/>
        </w:rPr>
        <w:t xml:space="preserve">Con relación a los Cuestionamientos N° 3, 5, 8 y 9, se </w:t>
      </w:r>
      <w:r w:rsidR="00CF45CD" w:rsidRPr="00B84990">
        <w:rPr>
          <w:szCs w:val="24"/>
        </w:rPr>
        <w:t xml:space="preserve">aprecia </w:t>
      </w:r>
      <w:r w:rsidRPr="00B84990">
        <w:rPr>
          <w:szCs w:val="24"/>
        </w:rPr>
        <w:t xml:space="preserve">que si bien a través de los mismos se hace referencia a la absolución de las Observaciones N°  5 y 10, formulada por el participante Soluciones Alimenticias SAC, y de las Observaciones N° 5 y 6 formuladas por el participante MOLINERA MELY MARI, respectivamente, de la lectura de la solicitud de elevación </w:t>
      </w:r>
      <w:r w:rsidR="00CF45CD" w:rsidRPr="00B84990">
        <w:rPr>
          <w:szCs w:val="24"/>
        </w:rPr>
        <w:t xml:space="preserve">del recurrente se advierte que los aspectos objetados se tratan, en estricto, de observaciones extemporáneas; por lo que, este Organismo Supervisor no se pronunciará al respecto.   </w:t>
      </w:r>
    </w:p>
    <w:p w:rsidR="00CF45CD" w:rsidRPr="00B84990" w:rsidRDefault="00CF45CD" w:rsidP="006F5EB4">
      <w:pPr>
        <w:pStyle w:val="WW-Sangra3detindependiente"/>
        <w:widowControl/>
        <w:suppressAutoHyphens w:val="0"/>
        <w:ind w:left="2"/>
        <w:rPr>
          <w:szCs w:val="24"/>
        </w:rPr>
      </w:pPr>
    </w:p>
    <w:p w:rsidR="00CF45CD" w:rsidRDefault="00CF45CD" w:rsidP="006F5EB4">
      <w:pPr>
        <w:pStyle w:val="WW-Sangra3detindependiente"/>
        <w:widowControl/>
        <w:suppressAutoHyphens w:val="0"/>
        <w:ind w:left="2"/>
        <w:rPr>
          <w:szCs w:val="24"/>
        </w:rPr>
      </w:pPr>
      <w:r w:rsidRPr="00B84990">
        <w:rPr>
          <w:szCs w:val="24"/>
        </w:rPr>
        <w:t xml:space="preserve">Con relación a los Cuestionamientos N° 10 y 11, se advierte que a través de los mismos se cuestiona la absolución  de las Observaciones N° 1  y 4 formuladas por el participante GRUPO ISLAND NEGOCIOS E INVERSIONES EIRL, los cuáles no fueron acogidas por el Comité Especial; por lo que, al no encontrarse dicho supuesto previsto en el artículo 58° del Reglamento, este Organismo Supervisor no se pronunciará al respecto. </w:t>
      </w:r>
    </w:p>
    <w:p w:rsidR="001433DD" w:rsidRDefault="001433DD" w:rsidP="006F5EB4">
      <w:pPr>
        <w:pStyle w:val="WW-Sangra3detindependiente"/>
        <w:widowControl/>
        <w:suppressAutoHyphens w:val="0"/>
        <w:ind w:left="2"/>
        <w:rPr>
          <w:szCs w:val="24"/>
        </w:rPr>
      </w:pPr>
    </w:p>
    <w:p w:rsidR="001433DD" w:rsidRPr="00B84990" w:rsidRDefault="001433DD" w:rsidP="006F5EB4">
      <w:pPr>
        <w:pStyle w:val="WW-Sangra3detindependiente"/>
        <w:widowControl/>
        <w:suppressAutoHyphens w:val="0"/>
        <w:ind w:left="2"/>
        <w:rPr>
          <w:szCs w:val="24"/>
        </w:rPr>
      </w:pPr>
      <w:r>
        <w:rPr>
          <w:szCs w:val="24"/>
        </w:rPr>
        <w:t xml:space="preserve">Todo ello, </w:t>
      </w:r>
      <w:r w:rsidRPr="002564BA">
        <w:rPr>
          <w:rFonts w:eastAsia="MS Mincho"/>
          <w:sz w:val="23"/>
          <w:szCs w:val="23"/>
          <w:lang w:val="es-ES" w:eastAsia="es-ES"/>
        </w:rPr>
        <w:t>sin perjuicio de las observaciones de oficio que se formulen respecto al contenido de las Bases, de conformidad con el inciso a) del artículo 58 de la Ley</w:t>
      </w:r>
      <w:r w:rsidRPr="002564BA">
        <w:rPr>
          <w:rFonts w:eastAsia="MS Mincho"/>
          <w:sz w:val="23"/>
          <w:szCs w:val="23"/>
          <w:lang w:val="es-MX" w:eastAsia="es-ES"/>
        </w:rPr>
        <w:t>.</w:t>
      </w:r>
    </w:p>
    <w:p w:rsidR="00CF45CD" w:rsidRPr="00B84990" w:rsidRDefault="00CF45CD" w:rsidP="006F5EB4">
      <w:pPr>
        <w:pStyle w:val="WW-Sangra3detindependiente"/>
        <w:widowControl/>
        <w:suppressAutoHyphens w:val="0"/>
        <w:ind w:left="2"/>
        <w:rPr>
          <w:szCs w:val="24"/>
        </w:rPr>
      </w:pPr>
    </w:p>
    <w:p w:rsidR="00F651BD" w:rsidRPr="00B84990" w:rsidRDefault="00F651BD" w:rsidP="006F5EB4">
      <w:pPr>
        <w:widowControl w:val="0"/>
        <w:numPr>
          <w:ilvl w:val="0"/>
          <w:numId w:val="1"/>
        </w:numPr>
        <w:spacing w:after="0" w:line="240" w:lineRule="auto"/>
        <w:ind w:left="426" w:hanging="426"/>
        <w:jc w:val="both"/>
        <w:rPr>
          <w:rFonts w:ascii="Times New Roman" w:eastAsia="Times New Roman" w:hAnsi="Times New Roman" w:cs="Times New Roman"/>
          <w:b/>
          <w:sz w:val="24"/>
          <w:szCs w:val="24"/>
          <w:lang w:val="es-MX" w:eastAsia="es-MX"/>
        </w:rPr>
      </w:pPr>
      <w:r w:rsidRPr="00B84990">
        <w:rPr>
          <w:rFonts w:ascii="Times New Roman" w:eastAsia="Times New Roman" w:hAnsi="Times New Roman" w:cs="Times New Roman"/>
          <w:b/>
          <w:sz w:val="24"/>
          <w:szCs w:val="24"/>
          <w:lang w:val="es-MX" w:eastAsia="es-MX"/>
        </w:rPr>
        <w:t xml:space="preserve">OBSERVACIONES </w:t>
      </w:r>
    </w:p>
    <w:p w:rsidR="00F651BD" w:rsidRPr="00B84990" w:rsidRDefault="00F651BD" w:rsidP="006F5EB4">
      <w:pPr>
        <w:widowControl w:val="0"/>
        <w:spacing w:after="0" w:line="240" w:lineRule="auto"/>
        <w:ind w:left="426"/>
        <w:jc w:val="both"/>
        <w:rPr>
          <w:rFonts w:ascii="Times New Roman" w:eastAsia="Times New Roman" w:hAnsi="Times New Roman" w:cs="Times New Roman"/>
          <w:sz w:val="24"/>
          <w:szCs w:val="24"/>
          <w:vertAlign w:val="superscript"/>
          <w:lang w:val="es-MX" w:eastAsia="es-ES"/>
        </w:rPr>
      </w:pPr>
    </w:p>
    <w:p w:rsidR="00F651BD" w:rsidRPr="00B84990" w:rsidRDefault="00F651BD" w:rsidP="006F5EB4">
      <w:pPr>
        <w:widowControl w:val="0"/>
        <w:spacing w:after="0" w:line="240" w:lineRule="auto"/>
        <w:ind w:left="3969" w:hanging="3969"/>
        <w:jc w:val="both"/>
        <w:rPr>
          <w:rFonts w:ascii="Times New Roman" w:eastAsia="Calibri" w:hAnsi="Times New Roman" w:cs="Times New Roman"/>
          <w:b/>
          <w:sz w:val="24"/>
          <w:szCs w:val="24"/>
          <w:lang w:eastAsia="en-US"/>
        </w:rPr>
      </w:pPr>
      <w:r w:rsidRPr="00B84990">
        <w:rPr>
          <w:rFonts w:ascii="Times New Roman" w:eastAsia="Times New Roman" w:hAnsi="Times New Roman" w:cs="Times New Roman"/>
          <w:b/>
          <w:sz w:val="24"/>
          <w:szCs w:val="24"/>
          <w:lang w:val="es-ES" w:eastAsia="es-MX"/>
        </w:rPr>
        <w:t>Observante</w:t>
      </w:r>
      <w:r w:rsidRPr="00B84990">
        <w:rPr>
          <w:rFonts w:ascii="Times New Roman" w:eastAsia="Times New Roman" w:hAnsi="Times New Roman" w:cs="Times New Roman"/>
          <w:b/>
          <w:sz w:val="24"/>
          <w:szCs w:val="24"/>
          <w:lang w:eastAsia="es-MX"/>
        </w:rPr>
        <w:t xml:space="preserve">: </w:t>
      </w:r>
      <w:r w:rsidRPr="00B84990">
        <w:rPr>
          <w:rFonts w:ascii="Times New Roman" w:eastAsia="Times New Roman" w:hAnsi="Times New Roman" w:cs="Times New Roman"/>
          <w:b/>
          <w:sz w:val="24"/>
          <w:szCs w:val="24"/>
          <w:lang w:eastAsia="es-MX"/>
        </w:rPr>
        <w:tab/>
      </w:r>
      <w:r w:rsidR="00CF45CD" w:rsidRPr="00B84990">
        <w:rPr>
          <w:rFonts w:ascii="Times New Roman" w:hAnsi="Times New Roman" w:cs="Times New Roman"/>
          <w:b/>
          <w:sz w:val="24"/>
          <w:szCs w:val="24"/>
        </w:rPr>
        <w:t>PERUAR SRL</w:t>
      </w:r>
    </w:p>
    <w:p w:rsidR="00F651BD" w:rsidRPr="00B84990" w:rsidRDefault="00F651BD" w:rsidP="006F5EB4">
      <w:pPr>
        <w:widowControl w:val="0"/>
        <w:spacing w:after="0" w:line="240" w:lineRule="auto"/>
        <w:ind w:left="3969" w:hanging="3969"/>
        <w:jc w:val="both"/>
        <w:rPr>
          <w:rFonts w:ascii="Times New Roman" w:hAnsi="Times New Roman" w:cs="Times New Roman"/>
          <w:b/>
          <w:sz w:val="24"/>
          <w:szCs w:val="24"/>
        </w:rPr>
      </w:pPr>
    </w:p>
    <w:p w:rsidR="00F651BD" w:rsidRPr="00B84990" w:rsidRDefault="00EC59FE" w:rsidP="006F5EB4">
      <w:pPr>
        <w:widowControl w:val="0"/>
        <w:spacing w:after="0" w:line="240" w:lineRule="auto"/>
        <w:ind w:left="3969" w:hanging="3969"/>
        <w:jc w:val="both"/>
        <w:rPr>
          <w:rFonts w:ascii="Times New Roman" w:hAnsi="Times New Roman" w:cs="Times New Roman"/>
          <w:b/>
          <w:sz w:val="24"/>
          <w:szCs w:val="24"/>
        </w:rPr>
      </w:pPr>
      <w:r w:rsidRPr="00B84990">
        <w:rPr>
          <w:rFonts w:ascii="Times New Roman" w:hAnsi="Times New Roman" w:cs="Times New Roman"/>
          <w:b/>
          <w:sz w:val="24"/>
          <w:szCs w:val="24"/>
        </w:rPr>
        <w:t xml:space="preserve">Cuestionamiento </w:t>
      </w:r>
      <w:r w:rsidR="00F651BD" w:rsidRPr="00B84990">
        <w:rPr>
          <w:rFonts w:ascii="Times New Roman" w:hAnsi="Times New Roman" w:cs="Times New Roman"/>
          <w:b/>
          <w:sz w:val="24"/>
          <w:szCs w:val="24"/>
        </w:rPr>
        <w:t>N° 1</w:t>
      </w:r>
      <w:r w:rsidR="00671E87" w:rsidRPr="00B84990">
        <w:rPr>
          <w:rFonts w:ascii="Times New Roman" w:hAnsi="Times New Roman" w:cs="Times New Roman"/>
          <w:b/>
          <w:sz w:val="24"/>
          <w:szCs w:val="24"/>
        </w:rPr>
        <w:t xml:space="preserve"> </w:t>
      </w:r>
      <w:r w:rsidR="00F651BD" w:rsidRPr="00B84990">
        <w:rPr>
          <w:rFonts w:ascii="Times New Roman" w:hAnsi="Times New Roman" w:cs="Times New Roman"/>
          <w:b/>
          <w:sz w:val="24"/>
          <w:szCs w:val="24"/>
        </w:rPr>
        <w:t xml:space="preserve">    </w:t>
      </w:r>
      <w:r w:rsidR="00F651BD" w:rsidRPr="00B84990">
        <w:rPr>
          <w:rFonts w:ascii="Times New Roman" w:hAnsi="Times New Roman" w:cs="Times New Roman"/>
          <w:b/>
          <w:sz w:val="24"/>
          <w:szCs w:val="24"/>
        </w:rPr>
        <w:tab/>
        <w:t xml:space="preserve">Contra </w:t>
      </w:r>
      <w:r w:rsidR="00A91A91" w:rsidRPr="00B84990">
        <w:rPr>
          <w:rFonts w:ascii="Times New Roman" w:hAnsi="Times New Roman" w:cs="Times New Roman"/>
          <w:b/>
          <w:sz w:val="24"/>
          <w:szCs w:val="24"/>
        </w:rPr>
        <w:t>el factor “Experiencia del Postor”</w:t>
      </w:r>
    </w:p>
    <w:p w:rsidR="00F651BD" w:rsidRPr="00B84990" w:rsidRDefault="00F651BD" w:rsidP="006F5EB4">
      <w:pPr>
        <w:spacing w:after="0" w:line="240" w:lineRule="auto"/>
        <w:jc w:val="both"/>
        <w:rPr>
          <w:rFonts w:ascii="Times New Roman" w:hAnsi="Times New Roman" w:cs="Times New Roman"/>
          <w:sz w:val="24"/>
          <w:szCs w:val="24"/>
        </w:rPr>
      </w:pPr>
    </w:p>
    <w:p w:rsidR="00671E87" w:rsidRPr="00B84990" w:rsidRDefault="00671E87" w:rsidP="006F5EB4">
      <w:pPr>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 xml:space="preserve">El participante </w:t>
      </w:r>
      <w:r w:rsidR="00EC59FE" w:rsidRPr="00B84990">
        <w:rPr>
          <w:rFonts w:ascii="Times New Roman" w:hAnsi="Times New Roman" w:cs="Times New Roman"/>
          <w:sz w:val="24"/>
          <w:szCs w:val="24"/>
        </w:rPr>
        <w:t xml:space="preserve">cuestiona que con la absolución de su Observación N° 6, pues sostiene que la misma no se ajusta con lo señalado en la normativa de contratación pública, dado que el Comité Especial sigue otorgando puntaje en el factor “Experiencia del Postor” a montos facturados mayores a cinco veces el valor referencial. </w:t>
      </w:r>
    </w:p>
    <w:p w:rsidR="00D41BFE" w:rsidRPr="00B84990" w:rsidRDefault="00D41BFE" w:rsidP="006F5EB4">
      <w:pPr>
        <w:spacing w:after="0" w:line="240" w:lineRule="auto"/>
        <w:jc w:val="both"/>
        <w:rPr>
          <w:rFonts w:ascii="Times New Roman" w:hAnsi="Times New Roman" w:cs="Times New Roman"/>
          <w:sz w:val="24"/>
          <w:szCs w:val="24"/>
        </w:rPr>
      </w:pPr>
    </w:p>
    <w:p w:rsidR="00F651BD" w:rsidRPr="00B84990" w:rsidRDefault="00F651BD" w:rsidP="006F5EB4">
      <w:pPr>
        <w:spacing w:after="0" w:line="240" w:lineRule="auto"/>
        <w:jc w:val="both"/>
        <w:rPr>
          <w:rFonts w:ascii="Times New Roman" w:hAnsi="Times New Roman" w:cs="Times New Roman"/>
          <w:b/>
          <w:sz w:val="24"/>
          <w:szCs w:val="24"/>
        </w:rPr>
      </w:pPr>
      <w:r w:rsidRPr="00B84990">
        <w:rPr>
          <w:rFonts w:ascii="Times New Roman" w:hAnsi="Times New Roman" w:cs="Times New Roman"/>
          <w:b/>
          <w:sz w:val="24"/>
          <w:szCs w:val="24"/>
        </w:rPr>
        <w:t xml:space="preserve">Pronunciamiento </w:t>
      </w:r>
    </w:p>
    <w:p w:rsidR="00F651BD" w:rsidRPr="00B84990" w:rsidRDefault="00F651BD" w:rsidP="006F5EB4">
      <w:pPr>
        <w:spacing w:after="0" w:line="240" w:lineRule="auto"/>
        <w:jc w:val="both"/>
        <w:rPr>
          <w:rFonts w:ascii="Times New Roman" w:hAnsi="Times New Roman" w:cs="Times New Roman"/>
          <w:sz w:val="24"/>
          <w:szCs w:val="24"/>
        </w:rPr>
      </w:pPr>
    </w:p>
    <w:p w:rsidR="00DD526E" w:rsidRPr="00B84990" w:rsidRDefault="00462A92" w:rsidP="006F5EB4">
      <w:pPr>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 xml:space="preserve">De la revisión del pliego absolutorio de observaciones se advierte que con ocasión de la </w:t>
      </w:r>
      <w:r w:rsidR="005F15DD" w:rsidRPr="00B84990">
        <w:rPr>
          <w:rFonts w:ascii="Times New Roman" w:hAnsi="Times New Roman" w:cs="Times New Roman"/>
          <w:sz w:val="24"/>
          <w:szCs w:val="24"/>
        </w:rPr>
        <w:t xml:space="preserve">absolución de la </w:t>
      </w:r>
      <w:r w:rsidRPr="00B84990">
        <w:rPr>
          <w:rFonts w:ascii="Times New Roman" w:hAnsi="Times New Roman" w:cs="Times New Roman"/>
          <w:sz w:val="24"/>
          <w:szCs w:val="24"/>
        </w:rPr>
        <w:t>Observación</w:t>
      </w:r>
      <w:r w:rsidR="005F15DD" w:rsidRPr="00B84990">
        <w:rPr>
          <w:rFonts w:ascii="Times New Roman" w:hAnsi="Times New Roman" w:cs="Times New Roman"/>
          <w:sz w:val="24"/>
          <w:szCs w:val="24"/>
        </w:rPr>
        <w:t xml:space="preserve"> N° 6 formulada por recurrente el Comité Especial señaló que</w:t>
      </w:r>
      <w:r w:rsidR="0008035F" w:rsidRPr="00B84990">
        <w:rPr>
          <w:rFonts w:ascii="Times New Roman" w:hAnsi="Times New Roman" w:cs="Times New Roman"/>
          <w:sz w:val="24"/>
          <w:szCs w:val="24"/>
        </w:rPr>
        <w:t xml:space="preserve">, en el caso del ítem 1, </w:t>
      </w:r>
      <w:r w:rsidR="005F15DD" w:rsidRPr="00B84990">
        <w:rPr>
          <w:rFonts w:ascii="Times New Roman" w:hAnsi="Times New Roman" w:cs="Times New Roman"/>
          <w:sz w:val="24"/>
          <w:szCs w:val="24"/>
        </w:rPr>
        <w:t xml:space="preserve">el factor de evaluación “Experiencia del Postor” quedaría de la siguiente manera: </w:t>
      </w:r>
    </w:p>
    <w:p w:rsidR="005F15DD" w:rsidRPr="00B84990" w:rsidRDefault="005F15DD" w:rsidP="006F5EB4">
      <w:pPr>
        <w:spacing w:after="0" w:line="240" w:lineRule="auto"/>
        <w:jc w:val="both"/>
        <w:rPr>
          <w:rFonts w:ascii="Times New Roman" w:hAnsi="Times New Roman" w:cs="Times New Roman"/>
          <w:sz w:val="24"/>
          <w:szCs w:val="24"/>
        </w:rPr>
      </w:pPr>
    </w:p>
    <w:p w:rsidR="005F15DD" w:rsidRPr="00B84990" w:rsidRDefault="007E763F" w:rsidP="006F5EB4">
      <w:pPr>
        <w:spacing w:after="0" w:line="240" w:lineRule="auto"/>
        <w:ind w:left="1560"/>
        <w:rPr>
          <w:rFonts w:ascii="Times New Roman" w:eastAsia="Calibri" w:hAnsi="Times New Roman" w:cs="Times New Roman"/>
          <w:i/>
          <w:sz w:val="24"/>
          <w:szCs w:val="24"/>
          <w:lang w:eastAsia="en-US"/>
        </w:rPr>
      </w:pPr>
      <w:r w:rsidRPr="00B84990">
        <w:rPr>
          <w:rFonts w:ascii="Times New Roman" w:eastAsia="Calibri" w:hAnsi="Times New Roman" w:cs="Times New Roman"/>
          <w:i/>
          <w:sz w:val="24"/>
          <w:szCs w:val="24"/>
          <w:lang w:eastAsia="en-US"/>
        </w:rPr>
        <w:t>“</w:t>
      </w:r>
      <w:r w:rsidR="005F15DD" w:rsidRPr="00B84990">
        <w:rPr>
          <w:rFonts w:ascii="Times New Roman" w:eastAsia="Calibri" w:hAnsi="Times New Roman" w:cs="Times New Roman"/>
          <w:i/>
          <w:sz w:val="24"/>
          <w:szCs w:val="24"/>
          <w:lang w:eastAsia="en-US"/>
        </w:rPr>
        <w:t>Igual o Mayor de (05) veces el valor referencial.</w:t>
      </w:r>
      <w:r w:rsidR="005F15DD" w:rsidRPr="00B84990">
        <w:rPr>
          <w:rFonts w:ascii="Times New Roman" w:eastAsia="Calibri" w:hAnsi="Times New Roman" w:cs="Times New Roman"/>
          <w:i/>
          <w:sz w:val="24"/>
          <w:szCs w:val="24"/>
          <w:lang w:eastAsia="en-US"/>
        </w:rPr>
        <w:tab/>
        <w:t>15 Puntos</w:t>
      </w:r>
    </w:p>
    <w:p w:rsidR="005F15DD" w:rsidRPr="00B84990" w:rsidRDefault="005F15DD" w:rsidP="006F5EB4">
      <w:pPr>
        <w:spacing w:after="0" w:line="240" w:lineRule="auto"/>
        <w:ind w:left="1560"/>
        <w:rPr>
          <w:rFonts w:ascii="Times New Roman" w:eastAsia="Calibri" w:hAnsi="Times New Roman" w:cs="Times New Roman"/>
          <w:i/>
          <w:sz w:val="24"/>
          <w:szCs w:val="24"/>
          <w:lang w:eastAsia="en-US"/>
        </w:rPr>
      </w:pPr>
      <w:r w:rsidRPr="00B84990">
        <w:rPr>
          <w:rFonts w:ascii="Times New Roman" w:eastAsia="Calibri" w:hAnsi="Times New Roman" w:cs="Times New Roman"/>
          <w:i/>
          <w:sz w:val="24"/>
          <w:szCs w:val="24"/>
          <w:lang w:eastAsia="en-US"/>
        </w:rPr>
        <w:t> Más de (2.5) a (4.99) veces el valor referencial.</w:t>
      </w:r>
      <w:r w:rsidRPr="00B84990">
        <w:rPr>
          <w:rFonts w:ascii="Times New Roman" w:eastAsia="Calibri" w:hAnsi="Times New Roman" w:cs="Times New Roman"/>
          <w:i/>
          <w:sz w:val="24"/>
          <w:szCs w:val="24"/>
          <w:lang w:eastAsia="en-US"/>
        </w:rPr>
        <w:tab/>
      </w:r>
      <w:r w:rsidRPr="00B84990">
        <w:rPr>
          <w:rFonts w:ascii="Times New Roman" w:eastAsia="Calibri" w:hAnsi="Times New Roman" w:cs="Times New Roman"/>
          <w:i/>
          <w:sz w:val="24"/>
          <w:szCs w:val="24"/>
          <w:lang w:eastAsia="en-US"/>
        </w:rPr>
        <w:tab/>
        <w:t>10 Puntos</w:t>
      </w:r>
    </w:p>
    <w:p w:rsidR="005F15DD" w:rsidRPr="00B84990" w:rsidRDefault="005F15DD" w:rsidP="006F5EB4">
      <w:pPr>
        <w:spacing w:after="0" w:line="240" w:lineRule="auto"/>
        <w:ind w:left="1560"/>
        <w:rPr>
          <w:rFonts w:ascii="Times New Roman" w:eastAsia="Calibri" w:hAnsi="Times New Roman" w:cs="Times New Roman"/>
          <w:i/>
          <w:sz w:val="24"/>
          <w:szCs w:val="24"/>
          <w:lang w:eastAsia="en-US"/>
        </w:rPr>
      </w:pPr>
      <w:r w:rsidRPr="00B84990">
        <w:rPr>
          <w:rFonts w:ascii="Times New Roman" w:eastAsia="Calibri" w:hAnsi="Times New Roman" w:cs="Times New Roman"/>
          <w:i/>
          <w:sz w:val="24"/>
          <w:szCs w:val="24"/>
          <w:lang w:eastAsia="en-US"/>
        </w:rPr>
        <w:t> Más de (02) a (2.5) veces el valor referencial.</w:t>
      </w:r>
      <w:r w:rsidRPr="00B84990">
        <w:rPr>
          <w:rFonts w:ascii="Times New Roman" w:eastAsia="Calibri" w:hAnsi="Times New Roman" w:cs="Times New Roman"/>
          <w:i/>
          <w:sz w:val="24"/>
          <w:szCs w:val="24"/>
          <w:lang w:eastAsia="en-US"/>
        </w:rPr>
        <w:tab/>
      </w:r>
      <w:r w:rsidRPr="00B84990">
        <w:rPr>
          <w:rFonts w:ascii="Times New Roman" w:eastAsia="Calibri" w:hAnsi="Times New Roman" w:cs="Times New Roman"/>
          <w:i/>
          <w:sz w:val="24"/>
          <w:szCs w:val="24"/>
          <w:lang w:eastAsia="en-US"/>
        </w:rPr>
        <w:tab/>
        <w:t>05 Puntos</w:t>
      </w:r>
      <w:r w:rsidR="007E763F" w:rsidRPr="00B84990">
        <w:rPr>
          <w:rFonts w:ascii="Times New Roman" w:eastAsia="Calibri" w:hAnsi="Times New Roman" w:cs="Times New Roman"/>
          <w:i/>
          <w:sz w:val="24"/>
          <w:szCs w:val="24"/>
          <w:lang w:eastAsia="en-US"/>
        </w:rPr>
        <w:t>”</w:t>
      </w:r>
    </w:p>
    <w:p w:rsidR="007E763F" w:rsidRPr="00B84990" w:rsidRDefault="007E763F" w:rsidP="006F5EB4">
      <w:pPr>
        <w:spacing w:after="0" w:line="240" w:lineRule="auto"/>
        <w:jc w:val="both"/>
        <w:rPr>
          <w:rFonts w:ascii="Times New Roman" w:hAnsi="Times New Roman" w:cs="Times New Roman"/>
          <w:sz w:val="24"/>
          <w:szCs w:val="24"/>
        </w:rPr>
      </w:pPr>
    </w:p>
    <w:p w:rsidR="00441C04" w:rsidRPr="00B84990" w:rsidRDefault="005F15DD" w:rsidP="006F5EB4">
      <w:pPr>
        <w:spacing w:after="0" w:line="240" w:lineRule="auto"/>
        <w:jc w:val="both"/>
        <w:rPr>
          <w:rFonts w:ascii="Times New Roman" w:hAnsi="Times New Roman" w:cs="Times New Roman"/>
          <w:sz w:val="24"/>
          <w:szCs w:val="24"/>
          <w:lang w:val="es-MX"/>
        </w:rPr>
      </w:pPr>
      <w:r w:rsidRPr="00B84990">
        <w:rPr>
          <w:rFonts w:ascii="Times New Roman" w:hAnsi="Times New Roman" w:cs="Times New Roman"/>
          <w:sz w:val="24"/>
          <w:szCs w:val="24"/>
        </w:rPr>
        <w:t xml:space="preserve">Al respecto, </w:t>
      </w:r>
      <w:r w:rsidR="00441C04" w:rsidRPr="00B84990">
        <w:rPr>
          <w:rFonts w:ascii="Times New Roman" w:hAnsi="Times New Roman" w:cs="Times New Roman"/>
          <w:sz w:val="24"/>
          <w:szCs w:val="24"/>
          <w:lang w:val="es-MX"/>
        </w:rPr>
        <w:t xml:space="preserve">en el artículo 43 del Reglamento se establece que es responsabilidad del Comité Especial  la determinación de los factores de evaluación técnicos, los que deben ser objetivos </w:t>
      </w:r>
      <w:r w:rsidR="00441C04" w:rsidRPr="00B84990">
        <w:rPr>
          <w:rFonts w:ascii="Times New Roman" w:hAnsi="Times New Roman" w:cs="Times New Roman"/>
          <w:sz w:val="24"/>
          <w:szCs w:val="24"/>
          <w:lang w:val="es-MX"/>
        </w:rPr>
        <w:lastRenderedPageBreak/>
        <w:t>y congruentes con el objeto de la convocatoria, debiendo sujetarse a criterios de razonabilidad y proporcionalidad.</w:t>
      </w:r>
    </w:p>
    <w:p w:rsidR="00441C04" w:rsidRPr="00B84990" w:rsidRDefault="00441C04" w:rsidP="006F5EB4">
      <w:pPr>
        <w:spacing w:after="0" w:line="240" w:lineRule="auto"/>
        <w:jc w:val="both"/>
        <w:rPr>
          <w:rFonts w:ascii="Times New Roman" w:hAnsi="Times New Roman" w:cs="Times New Roman"/>
          <w:sz w:val="24"/>
          <w:szCs w:val="24"/>
          <w:lang w:val="es-MX"/>
        </w:rPr>
      </w:pPr>
    </w:p>
    <w:p w:rsidR="005F15DD" w:rsidRPr="00B84990" w:rsidRDefault="00441C04" w:rsidP="006F5EB4">
      <w:pPr>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 xml:space="preserve">Asimismo, </w:t>
      </w:r>
      <w:r w:rsidR="005F15DD" w:rsidRPr="00B84990">
        <w:rPr>
          <w:rFonts w:ascii="Times New Roman" w:hAnsi="Times New Roman" w:cs="Times New Roman"/>
          <w:sz w:val="24"/>
          <w:szCs w:val="24"/>
        </w:rPr>
        <w:t>en el artículo  45° del Reglamento se establece que, en caso de la contratación de servicios en general, deberá evaluarse la experiencia del postor considerando el monto facturado acumulado por el postor durante un período determinado de hasta ocho (8) años a</w:t>
      </w:r>
      <w:r w:rsidR="0008035F" w:rsidRPr="00B84990">
        <w:rPr>
          <w:rFonts w:ascii="Times New Roman" w:hAnsi="Times New Roman" w:cs="Times New Roman"/>
          <w:sz w:val="24"/>
          <w:szCs w:val="24"/>
        </w:rPr>
        <w:t xml:space="preserve"> </w:t>
      </w:r>
      <w:r w:rsidR="005F15DD" w:rsidRPr="00B84990">
        <w:rPr>
          <w:rFonts w:ascii="Times New Roman" w:hAnsi="Times New Roman" w:cs="Times New Roman"/>
          <w:sz w:val="24"/>
          <w:szCs w:val="24"/>
        </w:rPr>
        <w:t>la fecha de la presentación de propuestas, por un monto máximo acumulado de hasta cinco (5) veces el valor referencial de la contratación o ítem materia de la convocatoria</w:t>
      </w:r>
      <w:r w:rsidR="0008035F" w:rsidRPr="00B84990">
        <w:rPr>
          <w:rFonts w:ascii="Times New Roman" w:hAnsi="Times New Roman" w:cs="Times New Roman"/>
          <w:sz w:val="24"/>
          <w:szCs w:val="24"/>
        </w:rPr>
        <w:t>.</w:t>
      </w:r>
    </w:p>
    <w:p w:rsidR="0008035F" w:rsidRPr="00B84990" w:rsidRDefault="0008035F" w:rsidP="006F5EB4">
      <w:pPr>
        <w:spacing w:after="0" w:line="240" w:lineRule="auto"/>
        <w:jc w:val="both"/>
        <w:rPr>
          <w:rFonts w:ascii="Times New Roman" w:hAnsi="Times New Roman" w:cs="Times New Roman"/>
          <w:sz w:val="24"/>
          <w:szCs w:val="24"/>
        </w:rPr>
      </w:pPr>
    </w:p>
    <w:p w:rsidR="0008035F" w:rsidRPr="00B84990" w:rsidRDefault="0008035F" w:rsidP="006F5EB4">
      <w:pPr>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 xml:space="preserve">Dicho lo anterior, en el presente caso se advierte que para obtener el máximo puntaje en el factor “Experiencia del Postor” basta que los potenciales postores acrediten montos facturados acumulados equivalentes a cinco (5) veces el valor referencial, por lo que si bien en el referido factor se hace referencia a montos mayores a cinco (5) veces el valor referencial, ello no constituye una contravención a la normativa de contratación pública, dado que el rango de evaluación involucra otorgar el máximo puntaje tanto aquel que acredite montos iguales o superiores a cinco (5) veces el valor referencial. </w:t>
      </w:r>
      <w:r w:rsidR="00441C04" w:rsidRPr="00B84990">
        <w:rPr>
          <w:rFonts w:ascii="Times New Roman" w:hAnsi="Times New Roman" w:cs="Times New Roman"/>
          <w:sz w:val="24"/>
          <w:szCs w:val="24"/>
        </w:rPr>
        <w:t xml:space="preserve">Por lo tanto, considerando que es responsabilidad del Comité Especial la determinación de los factores de evaluación y que lo señalado por el Comité Especial no contravendría la normativa de contratación pública, este Organismo Supervisor ha decidido </w:t>
      </w:r>
      <w:r w:rsidR="00441C04" w:rsidRPr="00B84990">
        <w:rPr>
          <w:rFonts w:ascii="Times New Roman" w:hAnsi="Times New Roman" w:cs="Times New Roman"/>
          <w:b/>
          <w:sz w:val="24"/>
          <w:szCs w:val="24"/>
        </w:rPr>
        <w:t>NO ACOGER</w:t>
      </w:r>
      <w:r w:rsidR="00441C04" w:rsidRPr="00B84990">
        <w:rPr>
          <w:rFonts w:ascii="Times New Roman" w:hAnsi="Times New Roman" w:cs="Times New Roman"/>
          <w:sz w:val="24"/>
          <w:szCs w:val="24"/>
        </w:rPr>
        <w:t xml:space="preserve"> el presente cuestionamiento.  </w:t>
      </w:r>
    </w:p>
    <w:p w:rsidR="00AA46D0" w:rsidRPr="00B84990" w:rsidRDefault="00AA46D0" w:rsidP="006F5EB4">
      <w:pPr>
        <w:pStyle w:val="Sinespaciado"/>
        <w:jc w:val="both"/>
        <w:rPr>
          <w:rFonts w:ascii="Times New Roman" w:hAnsi="Times New Roman" w:cs="Times New Roman"/>
          <w:sz w:val="24"/>
          <w:szCs w:val="24"/>
        </w:rPr>
      </w:pPr>
    </w:p>
    <w:p w:rsidR="00F651BD" w:rsidRPr="00B84990" w:rsidRDefault="00EC59FE" w:rsidP="006F5EB4">
      <w:pPr>
        <w:widowControl w:val="0"/>
        <w:spacing w:after="0" w:line="240" w:lineRule="auto"/>
        <w:ind w:left="3969" w:hanging="3969"/>
        <w:jc w:val="both"/>
        <w:rPr>
          <w:rFonts w:ascii="Times New Roman" w:hAnsi="Times New Roman" w:cs="Times New Roman"/>
          <w:b/>
          <w:sz w:val="24"/>
          <w:szCs w:val="24"/>
        </w:rPr>
      </w:pPr>
      <w:r w:rsidRPr="00B84990">
        <w:rPr>
          <w:rFonts w:ascii="Times New Roman" w:hAnsi="Times New Roman" w:cs="Times New Roman"/>
          <w:b/>
          <w:sz w:val="24"/>
          <w:szCs w:val="24"/>
        </w:rPr>
        <w:t xml:space="preserve">Cuestionamiento N° </w:t>
      </w:r>
      <w:r w:rsidR="005E7E21" w:rsidRPr="00B84990">
        <w:rPr>
          <w:rFonts w:ascii="Times New Roman" w:hAnsi="Times New Roman" w:cs="Times New Roman"/>
          <w:b/>
          <w:sz w:val="24"/>
          <w:szCs w:val="24"/>
        </w:rPr>
        <w:t>4</w:t>
      </w:r>
      <w:r w:rsidR="00F651BD" w:rsidRPr="00B84990">
        <w:rPr>
          <w:rFonts w:ascii="Times New Roman" w:hAnsi="Times New Roman" w:cs="Times New Roman"/>
          <w:b/>
          <w:sz w:val="24"/>
          <w:szCs w:val="24"/>
        </w:rPr>
        <w:t xml:space="preserve">   </w:t>
      </w:r>
      <w:r w:rsidR="00F651BD" w:rsidRPr="00B84990">
        <w:rPr>
          <w:rFonts w:ascii="Times New Roman" w:hAnsi="Times New Roman" w:cs="Times New Roman"/>
          <w:b/>
          <w:sz w:val="24"/>
          <w:szCs w:val="24"/>
        </w:rPr>
        <w:tab/>
        <w:t>Contra</w:t>
      </w:r>
      <w:r w:rsidR="00ED3ECA" w:rsidRPr="00B84990">
        <w:rPr>
          <w:rFonts w:ascii="Times New Roman" w:hAnsi="Times New Roman" w:cs="Times New Roman"/>
          <w:b/>
          <w:sz w:val="24"/>
          <w:szCs w:val="24"/>
        </w:rPr>
        <w:t xml:space="preserve"> el </w:t>
      </w:r>
      <w:r w:rsidR="006422B5" w:rsidRPr="00B84990">
        <w:rPr>
          <w:rFonts w:ascii="Times New Roman" w:hAnsi="Times New Roman" w:cs="Times New Roman"/>
          <w:b/>
          <w:sz w:val="24"/>
          <w:szCs w:val="24"/>
        </w:rPr>
        <w:t xml:space="preserve">Registro Sanitario </w:t>
      </w:r>
    </w:p>
    <w:p w:rsidR="00F651BD" w:rsidRPr="00B84990" w:rsidRDefault="00F651BD" w:rsidP="006F5EB4">
      <w:pPr>
        <w:spacing w:after="0" w:line="240" w:lineRule="auto"/>
        <w:jc w:val="both"/>
        <w:rPr>
          <w:rFonts w:ascii="Times New Roman" w:hAnsi="Times New Roman" w:cs="Times New Roman"/>
          <w:sz w:val="24"/>
          <w:szCs w:val="24"/>
        </w:rPr>
      </w:pPr>
    </w:p>
    <w:p w:rsidR="00C53F60" w:rsidRPr="00B84990" w:rsidRDefault="00EC5172" w:rsidP="006F5EB4">
      <w:pPr>
        <w:pStyle w:val="Sinespaciado"/>
        <w:jc w:val="both"/>
        <w:rPr>
          <w:rFonts w:ascii="Times New Roman" w:hAnsi="Times New Roman" w:cs="Times New Roman"/>
          <w:sz w:val="24"/>
          <w:szCs w:val="24"/>
        </w:rPr>
      </w:pPr>
      <w:r w:rsidRPr="00B84990">
        <w:rPr>
          <w:rFonts w:ascii="Times New Roman" w:hAnsi="Times New Roman" w:cs="Times New Roman"/>
          <w:sz w:val="24"/>
          <w:szCs w:val="24"/>
        </w:rPr>
        <w:t xml:space="preserve">El </w:t>
      </w:r>
      <w:r w:rsidR="00203D01" w:rsidRPr="00B84990">
        <w:rPr>
          <w:rFonts w:ascii="Times New Roman" w:hAnsi="Times New Roman" w:cs="Times New Roman"/>
          <w:sz w:val="24"/>
          <w:szCs w:val="24"/>
        </w:rPr>
        <w:t>recurrente cuestiona que con ocasión  de la absolución  de la Observación N° 7 formulada por el participante  SOLUCIONES ALIMENTICIAS SAC, pues sostiene que</w:t>
      </w:r>
      <w:r w:rsidR="00C53F60" w:rsidRPr="00B84990">
        <w:rPr>
          <w:rFonts w:ascii="Times New Roman" w:hAnsi="Times New Roman" w:cs="Times New Roman"/>
          <w:sz w:val="24"/>
          <w:szCs w:val="24"/>
        </w:rPr>
        <w:t xml:space="preserve">, en la medida que </w:t>
      </w:r>
      <w:r w:rsidR="00974392" w:rsidRPr="00B84990">
        <w:rPr>
          <w:rFonts w:ascii="Times New Roman" w:hAnsi="Times New Roman" w:cs="Times New Roman"/>
          <w:sz w:val="24"/>
          <w:szCs w:val="24"/>
        </w:rPr>
        <w:t xml:space="preserve">la acreditación del registro sanitario debe generar certeza al Comité Especial respecto de la composición </w:t>
      </w:r>
      <w:r w:rsidR="006422B5" w:rsidRPr="00B84990">
        <w:rPr>
          <w:rFonts w:ascii="Times New Roman" w:hAnsi="Times New Roman" w:cs="Times New Roman"/>
          <w:sz w:val="24"/>
          <w:szCs w:val="24"/>
        </w:rPr>
        <w:t>cualitativa de los ingredientes básicos y de la composición cuantitativa de los aditivos alimentarios, no resulta razonable que dicho colegiado exija que el registro sanitario comparta la misma composición cualitativa de ingredientes básicos y los mismos aditivos alimentarios</w:t>
      </w:r>
      <w:r w:rsidR="007E763F" w:rsidRPr="00B84990">
        <w:rPr>
          <w:rFonts w:ascii="Times New Roman" w:hAnsi="Times New Roman" w:cs="Times New Roman"/>
          <w:sz w:val="24"/>
          <w:szCs w:val="24"/>
        </w:rPr>
        <w:t xml:space="preserve"> solicitado en las Bases</w:t>
      </w:r>
      <w:r w:rsidR="006422B5" w:rsidRPr="00B84990">
        <w:rPr>
          <w:rFonts w:ascii="Times New Roman" w:hAnsi="Times New Roman" w:cs="Times New Roman"/>
          <w:sz w:val="24"/>
          <w:szCs w:val="24"/>
        </w:rPr>
        <w:t xml:space="preserve">. Por lo tanto, solicita aclarar dicho requerimiento. </w:t>
      </w:r>
    </w:p>
    <w:p w:rsidR="00F651BD" w:rsidRPr="00B84990" w:rsidRDefault="00F651BD" w:rsidP="006F5EB4">
      <w:pPr>
        <w:pStyle w:val="Sinespaciado"/>
        <w:jc w:val="both"/>
        <w:rPr>
          <w:rFonts w:ascii="Times New Roman" w:hAnsi="Times New Roman" w:cs="Times New Roman"/>
          <w:sz w:val="24"/>
          <w:szCs w:val="24"/>
        </w:rPr>
      </w:pPr>
    </w:p>
    <w:p w:rsidR="00F651BD" w:rsidRPr="00B84990" w:rsidRDefault="00F651BD" w:rsidP="006F5EB4">
      <w:pPr>
        <w:pStyle w:val="Sinespaciado"/>
        <w:jc w:val="both"/>
        <w:rPr>
          <w:rFonts w:ascii="Times New Roman" w:hAnsi="Times New Roman" w:cs="Times New Roman"/>
          <w:b/>
          <w:sz w:val="24"/>
          <w:szCs w:val="24"/>
        </w:rPr>
      </w:pPr>
      <w:r w:rsidRPr="00B84990">
        <w:rPr>
          <w:rFonts w:ascii="Times New Roman" w:hAnsi="Times New Roman" w:cs="Times New Roman"/>
          <w:b/>
          <w:sz w:val="24"/>
          <w:szCs w:val="24"/>
        </w:rPr>
        <w:t xml:space="preserve">Pronunciamiento </w:t>
      </w:r>
    </w:p>
    <w:p w:rsidR="00F651BD" w:rsidRPr="00B84990" w:rsidRDefault="00F651BD" w:rsidP="006F5EB4">
      <w:pPr>
        <w:pStyle w:val="Sinespaciado"/>
        <w:jc w:val="both"/>
        <w:rPr>
          <w:rFonts w:ascii="Times New Roman" w:hAnsi="Times New Roman" w:cs="Times New Roman"/>
          <w:sz w:val="24"/>
          <w:szCs w:val="24"/>
        </w:rPr>
      </w:pPr>
    </w:p>
    <w:p w:rsidR="00142AB4" w:rsidRPr="00B84990" w:rsidRDefault="00142AB4" w:rsidP="006F5EB4">
      <w:pPr>
        <w:pStyle w:val="Sinespaciado"/>
        <w:jc w:val="both"/>
        <w:rPr>
          <w:rFonts w:ascii="Times New Roman" w:hAnsi="Times New Roman" w:cs="Times New Roman"/>
          <w:i/>
          <w:sz w:val="24"/>
          <w:szCs w:val="24"/>
        </w:rPr>
      </w:pPr>
      <w:r w:rsidRPr="00B84990">
        <w:rPr>
          <w:rFonts w:ascii="Times New Roman" w:hAnsi="Times New Roman" w:cs="Times New Roman"/>
          <w:sz w:val="24"/>
          <w:szCs w:val="24"/>
        </w:rPr>
        <w:t>De la revisión de las Bases se advierte que en el literal i) de la documentación de presentación obligatoria se</w:t>
      </w:r>
      <w:r w:rsidR="007E763F" w:rsidRPr="00B84990">
        <w:rPr>
          <w:rFonts w:ascii="Times New Roman" w:hAnsi="Times New Roman" w:cs="Times New Roman"/>
          <w:sz w:val="24"/>
          <w:szCs w:val="24"/>
        </w:rPr>
        <w:t xml:space="preserve"> señala lo siguiente: </w:t>
      </w:r>
    </w:p>
    <w:p w:rsidR="007E763F" w:rsidRPr="00B84990" w:rsidRDefault="007E763F" w:rsidP="006F5EB4">
      <w:pPr>
        <w:pStyle w:val="Sinespaciado"/>
        <w:jc w:val="both"/>
        <w:rPr>
          <w:rFonts w:ascii="Times New Roman" w:hAnsi="Times New Roman" w:cs="Times New Roman"/>
          <w:i/>
          <w:sz w:val="24"/>
          <w:szCs w:val="24"/>
        </w:rPr>
      </w:pPr>
    </w:p>
    <w:p w:rsidR="007E763F" w:rsidRPr="00B84990" w:rsidRDefault="007E763F" w:rsidP="006F5EB4">
      <w:pPr>
        <w:widowControl w:val="0"/>
        <w:tabs>
          <w:tab w:val="center" w:pos="1560"/>
          <w:tab w:val="left" w:pos="1800"/>
        </w:tabs>
        <w:autoSpaceDE w:val="0"/>
        <w:autoSpaceDN w:val="0"/>
        <w:adjustRightInd w:val="0"/>
        <w:spacing w:after="0" w:line="240" w:lineRule="auto"/>
        <w:ind w:left="709" w:right="474"/>
        <w:jc w:val="both"/>
        <w:rPr>
          <w:rFonts w:ascii="Times New Roman" w:hAnsi="Times New Roman" w:cs="Times New Roman"/>
          <w:i/>
          <w:sz w:val="24"/>
          <w:szCs w:val="24"/>
          <w:lang w:val="es-ES"/>
        </w:rPr>
      </w:pPr>
      <w:r w:rsidRPr="00B84990">
        <w:rPr>
          <w:rFonts w:ascii="Times New Roman" w:hAnsi="Times New Roman" w:cs="Times New Roman"/>
          <w:i/>
          <w:sz w:val="24"/>
          <w:szCs w:val="24"/>
          <w:lang w:eastAsia="en-US"/>
        </w:rPr>
        <w:t>“</w:t>
      </w:r>
      <w:r w:rsidRPr="00B84990">
        <w:rPr>
          <w:rFonts w:ascii="Times New Roman" w:hAnsi="Times New Roman" w:cs="Times New Roman"/>
          <w:i/>
          <w:sz w:val="24"/>
          <w:szCs w:val="24"/>
          <w:lang w:val="es-ES"/>
        </w:rPr>
        <w:t>Copia del Registro Sanitario del Producto requerido expedido por DIGESA, a nombre del fabricante y consignando el establecimiento donde se elabora el producto, deberá estar vigente a la fecha de presentación de propuestas.</w:t>
      </w:r>
    </w:p>
    <w:p w:rsidR="007E763F" w:rsidRPr="00B84990" w:rsidRDefault="007E763F" w:rsidP="006F5EB4">
      <w:pPr>
        <w:widowControl w:val="0"/>
        <w:tabs>
          <w:tab w:val="center" w:pos="1560"/>
          <w:tab w:val="left" w:pos="1800"/>
        </w:tabs>
        <w:autoSpaceDE w:val="0"/>
        <w:autoSpaceDN w:val="0"/>
        <w:adjustRightInd w:val="0"/>
        <w:spacing w:after="0" w:line="240" w:lineRule="auto"/>
        <w:ind w:left="709" w:right="474"/>
        <w:jc w:val="both"/>
        <w:rPr>
          <w:rFonts w:ascii="Times New Roman" w:hAnsi="Times New Roman" w:cs="Times New Roman"/>
          <w:i/>
          <w:sz w:val="24"/>
          <w:szCs w:val="24"/>
          <w:lang w:val="es-ES"/>
        </w:rPr>
      </w:pPr>
      <w:r w:rsidRPr="00B84990">
        <w:rPr>
          <w:rFonts w:ascii="Times New Roman" w:hAnsi="Times New Roman" w:cs="Times New Roman"/>
          <w:i/>
          <w:sz w:val="24"/>
          <w:szCs w:val="24"/>
          <w:lang w:val="es-ES"/>
        </w:rPr>
        <w:t xml:space="preserve">El registro sanitario a presentar deberá tener la siguiente información mínima: Nombre de la empresa, Dirección del establecimiento, RUC, nombre del producto, tipo de envase, presentación, Código de registro sanitario. Los postores deberán presentar la solicitud presentada a DIGESA para la obtención del Registro sanitario debe estar concordante con el artículo 105 del Decreto Supremo Nº 007-98/SA que indica en el numeral e) </w:t>
      </w:r>
      <w:r w:rsidRPr="00B84990">
        <w:rPr>
          <w:rFonts w:ascii="Times New Roman" w:hAnsi="Times New Roman" w:cs="Times New Roman"/>
          <w:i/>
          <w:sz w:val="24"/>
          <w:szCs w:val="24"/>
          <w:u w:val="single"/>
          <w:lang w:val="es-ES"/>
        </w:rPr>
        <w:t>que se debe consignar la Relación de ingredientes y composición cuantitativa de los aditivos, identificando a estos últimos por su nombre genérico y su referencia numérica internacional</w:t>
      </w:r>
      <w:r w:rsidRPr="00B84990">
        <w:rPr>
          <w:rFonts w:ascii="Times New Roman" w:hAnsi="Times New Roman" w:cs="Times New Roman"/>
          <w:i/>
          <w:sz w:val="24"/>
          <w:szCs w:val="24"/>
          <w:lang w:val="es-ES"/>
        </w:rPr>
        <w:t>”.</w:t>
      </w:r>
    </w:p>
    <w:p w:rsidR="00142AB4" w:rsidRPr="00B84990" w:rsidRDefault="00142AB4" w:rsidP="006F5EB4">
      <w:pPr>
        <w:pStyle w:val="Sinespaciado"/>
        <w:jc w:val="both"/>
        <w:rPr>
          <w:rFonts w:ascii="Times New Roman" w:hAnsi="Times New Roman" w:cs="Times New Roman"/>
          <w:sz w:val="24"/>
          <w:szCs w:val="24"/>
        </w:rPr>
      </w:pPr>
    </w:p>
    <w:p w:rsidR="00441C04" w:rsidRPr="00B84990" w:rsidRDefault="00441C04" w:rsidP="006F5EB4">
      <w:pPr>
        <w:pStyle w:val="Sinespaciado"/>
        <w:jc w:val="both"/>
        <w:rPr>
          <w:rFonts w:ascii="Times New Roman" w:eastAsia="Calibri" w:hAnsi="Times New Roman" w:cs="Times New Roman"/>
          <w:sz w:val="24"/>
          <w:szCs w:val="24"/>
        </w:rPr>
      </w:pPr>
      <w:r w:rsidRPr="00B84990">
        <w:rPr>
          <w:rFonts w:ascii="Times New Roman" w:hAnsi="Times New Roman" w:cs="Times New Roman"/>
          <w:sz w:val="24"/>
          <w:szCs w:val="24"/>
        </w:rPr>
        <w:t xml:space="preserve">De la revisión del pliego absolutorio de </w:t>
      </w:r>
      <w:r w:rsidR="00142AB4" w:rsidRPr="00B84990">
        <w:rPr>
          <w:rFonts w:ascii="Times New Roman" w:hAnsi="Times New Roman" w:cs="Times New Roman"/>
          <w:sz w:val="24"/>
          <w:szCs w:val="24"/>
        </w:rPr>
        <w:t xml:space="preserve">observaciones se advierte que el participante  SOLUCIONES ALIMENTICIAS SAC solicitó se </w:t>
      </w:r>
      <w:r w:rsidR="00142AB4" w:rsidRPr="00B84990">
        <w:rPr>
          <w:rFonts w:ascii="Times New Roman" w:eastAsia="Calibri" w:hAnsi="Times New Roman" w:cs="Times New Roman"/>
          <w:sz w:val="24"/>
          <w:szCs w:val="24"/>
        </w:rPr>
        <w:t xml:space="preserve">permita presentar un registro sanitario con denominación distinta.  Al respecto, el Comité Especial manifestó: </w:t>
      </w:r>
    </w:p>
    <w:p w:rsidR="00142AB4" w:rsidRPr="00B84990" w:rsidRDefault="00142AB4" w:rsidP="006F5EB4">
      <w:pPr>
        <w:pStyle w:val="Sinespaciado"/>
        <w:jc w:val="both"/>
        <w:rPr>
          <w:rFonts w:ascii="Times New Roman" w:eastAsia="Calibri" w:hAnsi="Times New Roman" w:cs="Times New Roman"/>
          <w:sz w:val="24"/>
          <w:szCs w:val="24"/>
        </w:rPr>
      </w:pPr>
    </w:p>
    <w:p w:rsidR="00142AB4" w:rsidRPr="00B84990" w:rsidRDefault="00142AB4" w:rsidP="006F5EB4">
      <w:pPr>
        <w:spacing w:after="0" w:line="240" w:lineRule="auto"/>
        <w:ind w:left="993" w:right="900"/>
        <w:jc w:val="both"/>
        <w:rPr>
          <w:rFonts w:ascii="Times New Roman" w:eastAsia="Batang" w:hAnsi="Times New Roman" w:cs="Times New Roman"/>
          <w:i/>
          <w:sz w:val="24"/>
          <w:szCs w:val="24"/>
        </w:rPr>
      </w:pPr>
      <w:r w:rsidRPr="00B84990">
        <w:rPr>
          <w:rFonts w:ascii="Times New Roman" w:eastAsia="Batang" w:hAnsi="Times New Roman" w:cs="Times New Roman"/>
          <w:i/>
          <w:sz w:val="24"/>
          <w:szCs w:val="24"/>
        </w:rPr>
        <w:t>“Se acoge su observación, Al respecto, de conformidad con el artículo 104° del Reglamento sobre Vigilancia y Control Sanitario de Alimentos y Bebidas, aprobado mediante Decreto Supremo Nº 007-98-SA, el Registro Sanitario de un producto faculta a su fabricación o importación y su comercialización por el titular del mismo, quien es responsable por la calidad sanitaria e inocuidad del alimento o bebida a ser comercializado.</w:t>
      </w:r>
    </w:p>
    <w:p w:rsidR="00142AB4" w:rsidRPr="00B84990" w:rsidRDefault="00142AB4" w:rsidP="006F5EB4">
      <w:pPr>
        <w:widowControl w:val="0"/>
        <w:spacing w:after="0" w:line="240" w:lineRule="auto"/>
        <w:ind w:left="993" w:right="900"/>
        <w:jc w:val="both"/>
        <w:rPr>
          <w:rFonts w:ascii="Times New Roman" w:eastAsia="Batang" w:hAnsi="Times New Roman" w:cs="Times New Roman"/>
          <w:i/>
          <w:sz w:val="24"/>
          <w:szCs w:val="24"/>
        </w:rPr>
      </w:pPr>
      <w:r w:rsidRPr="00B84990">
        <w:rPr>
          <w:rFonts w:ascii="Times New Roman" w:eastAsia="Batang" w:hAnsi="Times New Roman" w:cs="Times New Roman"/>
          <w:i/>
          <w:sz w:val="24"/>
          <w:szCs w:val="24"/>
        </w:rPr>
        <w:t>El segundo párrafo del artículo citado señala que el Registro Sanitario puede ser otorgado por un producto determinado o un grupo de productos, considerándose como un grupo de productos aquéllos elaborados por un mismo fabricante, que tienen la misma composición cualitativa de ingredientes básicos que identifica al grupo y que comparten los mismos aditivos alimentarios.</w:t>
      </w:r>
    </w:p>
    <w:p w:rsidR="00142AB4" w:rsidRPr="00B84990" w:rsidRDefault="00142AB4" w:rsidP="006F5EB4">
      <w:pPr>
        <w:widowControl w:val="0"/>
        <w:spacing w:after="0" w:line="240" w:lineRule="auto"/>
        <w:ind w:left="993" w:right="900"/>
        <w:jc w:val="both"/>
        <w:rPr>
          <w:rFonts w:ascii="Times New Roman" w:eastAsia="Batang" w:hAnsi="Times New Roman" w:cs="Times New Roman"/>
          <w:i/>
          <w:sz w:val="24"/>
          <w:szCs w:val="24"/>
        </w:rPr>
      </w:pPr>
    </w:p>
    <w:p w:rsidR="00142AB4" w:rsidRPr="00B84990" w:rsidRDefault="00142AB4" w:rsidP="006F5EB4">
      <w:pPr>
        <w:widowControl w:val="0"/>
        <w:spacing w:after="0" w:line="240" w:lineRule="auto"/>
        <w:ind w:left="993" w:right="900"/>
        <w:jc w:val="both"/>
        <w:rPr>
          <w:rFonts w:ascii="Times New Roman" w:eastAsia="Batang" w:hAnsi="Times New Roman" w:cs="Times New Roman"/>
          <w:i/>
          <w:sz w:val="24"/>
          <w:szCs w:val="24"/>
        </w:rPr>
      </w:pPr>
      <w:r w:rsidRPr="00B84990">
        <w:rPr>
          <w:rFonts w:ascii="Times New Roman" w:eastAsia="Batang" w:hAnsi="Times New Roman" w:cs="Times New Roman"/>
          <w:i/>
          <w:sz w:val="24"/>
          <w:szCs w:val="24"/>
        </w:rPr>
        <w:t xml:space="preserve">En tal sentido,  considerando lo dispuesto por las normas sanitarias acotadas, no debería existir impedimento para que los postores puedan presentar el Registro Sanitario de un producto con diferente denominación a la requerida en las Bases, en tanto se pueda demostrar que corresponde a un grupo de productos que efectivamente </w:t>
      </w:r>
      <w:r w:rsidRPr="00B84990">
        <w:rPr>
          <w:rFonts w:ascii="Times New Roman" w:eastAsia="Batang" w:hAnsi="Times New Roman" w:cs="Times New Roman"/>
          <w:i/>
          <w:sz w:val="24"/>
          <w:szCs w:val="24"/>
          <w:u w:val="single"/>
        </w:rPr>
        <w:t>comparten la misma composición cualitativa de ingredientes básicos y los mismos aditivos alimentarios que el producto solicitado en las Bases</w:t>
      </w:r>
      <w:r w:rsidRPr="00B84990">
        <w:rPr>
          <w:rFonts w:ascii="Times New Roman" w:eastAsia="Batang" w:hAnsi="Times New Roman" w:cs="Times New Roman"/>
          <w:i/>
          <w:sz w:val="24"/>
          <w:szCs w:val="24"/>
        </w:rPr>
        <w:t>”.</w:t>
      </w:r>
    </w:p>
    <w:p w:rsidR="00142AB4" w:rsidRPr="00B84990" w:rsidRDefault="00142AB4" w:rsidP="006F5EB4">
      <w:pPr>
        <w:pStyle w:val="Sinespaciado"/>
        <w:jc w:val="both"/>
        <w:rPr>
          <w:rFonts w:ascii="Times New Roman" w:eastAsia="Calibri" w:hAnsi="Times New Roman" w:cs="Times New Roman"/>
          <w:sz w:val="24"/>
          <w:szCs w:val="24"/>
        </w:rPr>
      </w:pPr>
    </w:p>
    <w:p w:rsidR="00142AB4" w:rsidRPr="00B84990" w:rsidRDefault="00142AB4" w:rsidP="006F5EB4">
      <w:pPr>
        <w:widowControl w:val="0"/>
        <w:spacing w:after="0" w:line="240" w:lineRule="auto"/>
        <w:jc w:val="both"/>
        <w:rPr>
          <w:rFonts w:ascii="Times New Roman" w:hAnsi="Times New Roman" w:cs="Times New Roman"/>
          <w:snapToGrid w:val="0"/>
          <w:sz w:val="24"/>
          <w:szCs w:val="24"/>
        </w:rPr>
      </w:pPr>
      <w:r w:rsidRPr="00B84990">
        <w:rPr>
          <w:rFonts w:ascii="Times New Roman" w:hAnsi="Times New Roman" w:cs="Times New Roman"/>
          <w:sz w:val="24"/>
          <w:szCs w:val="24"/>
        </w:rPr>
        <w:t>Sobre el particular, cabe resaltar que en el artículo 104 del Reglamento sobre Vigilancia y Control Sanitario de Alimentos y Bebidas, aprobado mediante Decreto Supremo Nº 007-98-SA, dispone que el Registro Sanitario de un producto faculta a su fabricación o importación y su comercialización por el titular del mismo, quien es responsable por la calidad sanitaria e inocuidad del alimento o bebida a ser comercializado.</w:t>
      </w:r>
    </w:p>
    <w:p w:rsidR="00142AB4" w:rsidRPr="00B84990" w:rsidRDefault="00142AB4" w:rsidP="006F5EB4">
      <w:pPr>
        <w:pStyle w:val="Prrafodelista"/>
        <w:spacing w:after="0" w:line="240" w:lineRule="auto"/>
        <w:rPr>
          <w:rFonts w:ascii="Times New Roman" w:hAnsi="Times New Roman" w:cs="Times New Roman"/>
          <w:sz w:val="24"/>
          <w:szCs w:val="24"/>
        </w:rPr>
      </w:pPr>
    </w:p>
    <w:p w:rsidR="00142AB4" w:rsidRPr="00B84990" w:rsidRDefault="00142AB4" w:rsidP="006F5EB4">
      <w:pPr>
        <w:widowControl w:val="0"/>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 xml:space="preserve">Adicionalmente, el segundo párrafo del citado artículo señala que el Registro Sanitario puede ser otorgado por un producto determinado </w:t>
      </w:r>
      <w:r w:rsidRPr="00B84990">
        <w:rPr>
          <w:rFonts w:ascii="Times New Roman" w:hAnsi="Times New Roman" w:cs="Times New Roman"/>
          <w:sz w:val="24"/>
          <w:szCs w:val="24"/>
          <w:u w:val="single"/>
        </w:rPr>
        <w:t>o un grupo de productos</w:t>
      </w:r>
      <w:r w:rsidRPr="00B84990">
        <w:rPr>
          <w:rFonts w:ascii="Times New Roman" w:hAnsi="Times New Roman" w:cs="Times New Roman"/>
          <w:sz w:val="24"/>
          <w:szCs w:val="24"/>
        </w:rPr>
        <w:t xml:space="preserve">, considerándose como un grupo de productos a </w:t>
      </w:r>
      <w:r w:rsidRPr="00B84990">
        <w:rPr>
          <w:rFonts w:ascii="Times New Roman" w:hAnsi="Times New Roman" w:cs="Times New Roman"/>
          <w:sz w:val="24"/>
          <w:szCs w:val="24"/>
          <w:u w:val="single"/>
        </w:rPr>
        <w:t>aquellos elaborados por un mismo fabricante, que tienen la misma composición cualitativa de ingredientes básicos que identifica al grupo y que comparten los mismos aditivos alimentarios</w:t>
      </w:r>
      <w:r w:rsidRPr="00B84990">
        <w:rPr>
          <w:rFonts w:ascii="Times New Roman" w:hAnsi="Times New Roman" w:cs="Times New Roman"/>
          <w:sz w:val="24"/>
          <w:szCs w:val="24"/>
        </w:rPr>
        <w:t>.</w:t>
      </w:r>
    </w:p>
    <w:p w:rsidR="00142AB4" w:rsidRPr="00B84990" w:rsidRDefault="00142AB4" w:rsidP="006F5EB4">
      <w:pPr>
        <w:pStyle w:val="Sinespaciado"/>
        <w:jc w:val="both"/>
        <w:rPr>
          <w:rFonts w:ascii="Times New Roman" w:hAnsi="Times New Roman" w:cs="Times New Roman"/>
          <w:sz w:val="24"/>
          <w:szCs w:val="24"/>
        </w:rPr>
      </w:pPr>
    </w:p>
    <w:p w:rsidR="00441C04" w:rsidRPr="00B84990" w:rsidRDefault="007E763F" w:rsidP="006F5EB4">
      <w:pPr>
        <w:pStyle w:val="Sinespaciado"/>
        <w:jc w:val="both"/>
        <w:rPr>
          <w:rFonts w:ascii="Times New Roman" w:hAnsi="Times New Roman" w:cs="Times New Roman"/>
          <w:sz w:val="24"/>
          <w:szCs w:val="24"/>
        </w:rPr>
      </w:pPr>
      <w:r w:rsidRPr="00B84990">
        <w:rPr>
          <w:rFonts w:ascii="Times New Roman" w:hAnsi="Times New Roman" w:cs="Times New Roman"/>
          <w:sz w:val="24"/>
          <w:szCs w:val="24"/>
        </w:rPr>
        <w:t xml:space="preserve">De lo expuesto se advierte que lo señalado por dicho colegiado al absolver la referida observación se ajusta con lo señalado en el artículo  104 del Reglamento sobre Vigilancia y Control Sanitario de Alimentos y Bebidas, aprobado mediante Decreto Supremo Nº 007-98-SA, por lo que, este Organismo Supervisor ha decidido </w:t>
      </w:r>
      <w:r w:rsidRPr="00B84990">
        <w:rPr>
          <w:rFonts w:ascii="Times New Roman" w:hAnsi="Times New Roman" w:cs="Times New Roman"/>
          <w:b/>
          <w:sz w:val="24"/>
          <w:szCs w:val="24"/>
        </w:rPr>
        <w:t xml:space="preserve">NO ACOGER </w:t>
      </w:r>
      <w:r w:rsidRPr="00B84990">
        <w:rPr>
          <w:rFonts w:ascii="Times New Roman" w:hAnsi="Times New Roman" w:cs="Times New Roman"/>
          <w:sz w:val="24"/>
          <w:szCs w:val="24"/>
        </w:rPr>
        <w:t xml:space="preserve">el presente cuestionamiento. </w:t>
      </w:r>
    </w:p>
    <w:p w:rsidR="007E763F" w:rsidRPr="00B84990" w:rsidRDefault="007E763F" w:rsidP="006F5EB4">
      <w:pPr>
        <w:pStyle w:val="Sinespaciado"/>
        <w:jc w:val="both"/>
        <w:rPr>
          <w:rFonts w:ascii="Times New Roman" w:hAnsi="Times New Roman" w:cs="Times New Roman"/>
          <w:sz w:val="24"/>
          <w:szCs w:val="24"/>
        </w:rPr>
      </w:pPr>
    </w:p>
    <w:p w:rsidR="007E763F" w:rsidRPr="00B84990" w:rsidRDefault="007E763F" w:rsidP="006F5EB4">
      <w:pPr>
        <w:pStyle w:val="Sinespaciado"/>
        <w:jc w:val="both"/>
        <w:rPr>
          <w:rFonts w:ascii="Times New Roman" w:hAnsi="Times New Roman" w:cs="Times New Roman"/>
          <w:sz w:val="24"/>
          <w:szCs w:val="24"/>
        </w:rPr>
      </w:pPr>
      <w:r w:rsidRPr="00B84990">
        <w:rPr>
          <w:rFonts w:ascii="Times New Roman" w:hAnsi="Times New Roman" w:cs="Times New Roman"/>
          <w:sz w:val="24"/>
          <w:szCs w:val="24"/>
        </w:rPr>
        <w:t xml:space="preserve">Sin perjuicio de lo señalado,  </w:t>
      </w:r>
      <w:r w:rsidRPr="00B84990">
        <w:rPr>
          <w:rFonts w:ascii="Times New Roman" w:hAnsi="Times New Roman" w:cs="Times New Roman"/>
          <w:b/>
          <w:sz w:val="24"/>
          <w:szCs w:val="24"/>
          <w:u w:val="single"/>
        </w:rPr>
        <w:t>deberá precisarse</w:t>
      </w:r>
      <w:r w:rsidRPr="00B84990">
        <w:rPr>
          <w:rFonts w:ascii="Times New Roman" w:hAnsi="Times New Roman" w:cs="Times New Roman"/>
          <w:sz w:val="24"/>
          <w:szCs w:val="24"/>
        </w:rPr>
        <w:t xml:space="preserve"> en el referido literal lo siguiente: “</w:t>
      </w:r>
      <w:r w:rsidRPr="00B84990">
        <w:rPr>
          <w:rFonts w:ascii="Times New Roman" w:hAnsi="Times New Roman" w:cs="Times New Roman"/>
          <w:i/>
          <w:sz w:val="24"/>
          <w:szCs w:val="24"/>
        </w:rPr>
        <w:t xml:space="preserve">En el supuesto que </w:t>
      </w:r>
      <w:r w:rsidRPr="00B84990">
        <w:rPr>
          <w:rFonts w:ascii="Times New Roman" w:hAnsi="Times New Roman" w:cs="Times New Roman"/>
          <w:b/>
          <w:i/>
          <w:sz w:val="24"/>
          <w:szCs w:val="24"/>
          <w:u w:val="single"/>
        </w:rPr>
        <w:t>no</w:t>
      </w:r>
      <w:r w:rsidRPr="00B84990">
        <w:rPr>
          <w:rFonts w:ascii="Times New Roman" w:hAnsi="Times New Roman" w:cs="Times New Roman"/>
          <w:i/>
          <w:sz w:val="24"/>
          <w:szCs w:val="24"/>
        </w:rPr>
        <w:t xml:space="preserve"> se pueda verificar </w:t>
      </w:r>
      <w:r w:rsidRPr="00B84990">
        <w:rPr>
          <w:rFonts w:ascii="Times New Roman" w:hAnsi="Times New Roman" w:cs="Times New Roman"/>
          <w:i/>
          <w:snapToGrid w:val="0"/>
          <w:sz w:val="24"/>
          <w:szCs w:val="24"/>
        </w:rPr>
        <w:t xml:space="preserve">la composición cualitativa y cuantitativa del producto </w:t>
      </w:r>
      <w:r w:rsidRPr="00B84990">
        <w:rPr>
          <w:rFonts w:ascii="Times New Roman" w:hAnsi="Times New Roman" w:cs="Times New Roman"/>
          <w:i/>
          <w:sz w:val="24"/>
          <w:szCs w:val="24"/>
        </w:rPr>
        <w:lastRenderedPageBreak/>
        <w:t>requerido en las Bases sólo a través de la copia del Registro Sanitario</w:t>
      </w:r>
      <w:r w:rsidRPr="00B84990">
        <w:rPr>
          <w:rFonts w:ascii="Times New Roman" w:hAnsi="Times New Roman" w:cs="Times New Roman"/>
          <w:i/>
          <w:snapToGrid w:val="0"/>
          <w:sz w:val="24"/>
          <w:szCs w:val="24"/>
        </w:rPr>
        <w:t>, deberá presentarse la copia de la solicitud y/o anexos (asientos) y/o declaración jurada presentada ante DIGESA y/o impresión de la página del VUCE donde se detalla la composición cualitativa y cuantitativa del producto.”</w:t>
      </w:r>
    </w:p>
    <w:p w:rsidR="007E763F" w:rsidRPr="00B84990" w:rsidRDefault="007E763F" w:rsidP="006F5EB4">
      <w:pPr>
        <w:pStyle w:val="Sinespaciado"/>
        <w:jc w:val="both"/>
        <w:rPr>
          <w:rFonts w:ascii="Times New Roman" w:hAnsi="Times New Roman" w:cs="Times New Roman"/>
          <w:sz w:val="24"/>
          <w:szCs w:val="24"/>
        </w:rPr>
      </w:pPr>
    </w:p>
    <w:p w:rsidR="00441C04" w:rsidRPr="00B84990" w:rsidRDefault="007E763F" w:rsidP="006F5EB4">
      <w:pPr>
        <w:pStyle w:val="Sinespaciado"/>
        <w:jc w:val="both"/>
        <w:rPr>
          <w:rFonts w:ascii="Times New Roman" w:hAnsi="Times New Roman" w:cs="Times New Roman"/>
          <w:i/>
          <w:snapToGrid w:val="0"/>
          <w:sz w:val="24"/>
          <w:szCs w:val="24"/>
          <w:u w:val="single"/>
        </w:rPr>
      </w:pPr>
      <w:r w:rsidRPr="00B84990">
        <w:rPr>
          <w:rFonts w:ascii="Times New Roman" w:hAnsi="Times New Roman" w:cs="Times New Roman"/>
          <w:sz w:val="24"/>
          <w:szCs w:val="24"/>
        </w:rPr>
        <w:t xml:space="preserve">Asimismo, </w:t>
      </w:r>
      <w:r w:rsidRPr="00B84990">
        <w:rPr>
          <w:rFonts w:ascii="Times New Roman" w:hAnsi="Times New Roman" w:cs="Times New Roman"/>
          <w:snapToGrid w:val="0"/>
          <w:sz w:val="24"/>
          <w:szCs w:val="24"/>
        </w:rPr>
        <w:t xml:space="preserve">al evaluar las propuestas, el Comité Especial,  </w:t>
      </w:r>
      <w:r w:rsidRPr="00B84990">
        <w:rPr>
          <w:rFonts w:ascii="Times New Roman" w:hAnsi="Times New Roman" w:cs="Times New Roman"/>
          <w:b/>
          <w:snapToGrid w:val="0"/>
          <w:sz w:val="24"/>
          <w:szCs w:val="24"/>
          <w:u w:val="single"/>
        </w:rPr>
        <w:t>deberá tener que cuenta que</w:t>
      </w:r>
      <w:r w:rsidRPr="00B84990">
        <w:rPr>
          <w:rFonts w:ascii="Times New Roman" w:hAnsi="Times New Roman" w:cs="Times New Roman"/>
          <w:snapToGrid w:val="0"/>
          <w:sz w:val="24"/>
          <w:szCs w:val="24"/>
        </w:rPr>
        <w:t xml:space="preserve"> a través del Informe N° 00380-2014/DHAZ/DIGESA, remitido a través del Oficio N° 00208-2014/DHAZ/DIGESA, la Dirección General de Salud Ambiental (DIGESA), señaló que el premix vitamínico y el fosfato tricalcico son considerado ingredientes para la tramitación del Registro Sanitario. Por lo tanto, </w:t>
      </w:r>
      <w:r w:rsidRPr="00B84990">
        <w:rPr>
          <w:rFonts w:ascii="Times New Roman" w:hAnsi="Times New Roman" w:cs="Times New Roman"/>
          <w:snapToGrid w:val="0"/>
          <w:sz w:val="24"/>
          <w:szCs w:val="24"/>
          <w:u w:val="single"/>
        </w:rPr>
        <w:t>“</w:t>
      </w:r>
      <w:r w:rsidRPr="00B84990">
        <w:rPr>
          <w:rFonts w:ascii="Times New Roman" w:hAnsi="Times New Roman" w:cs="Times New Roman"/>
          <w:i/>
          <w:snapToGrid w:val="0"/>
          <w:sz w:val="24"/>
          <w:szCs w:val="24"/>
          <w:u w:val="single"/>
        </w:rPr>
        <w:t>al considerar el premix vitamínico y el fosfato tricálcico como ingredientes el administrado en el trámite de registro sanitario no está obligado a declarar la composición cuantitativa de estos ingredientes sino solo cualitativa (SIC)”.</w:t>
      </w:r>
    </w:p>
    <w:p w:rsidR="007E763F" w:rsidRPr="00B84990" w:rsidRDefault="007E763F" w:rsidP="006F5EB4">
      <w:pPr>
        <w:pStyle w:val="Sinespaciado"/>
        <w:jc w:val="both"/>
        <w:rPr>
          <w:rFonts w:ascii="Times New Roman" w:hAnsi="Times New Roman" w:cs="Times New Roman"/>
          <w:sz w:val="24"/>
          <w:szCs w:val="24"/>
        </w:rPr>
      </w:pPr>
    </w:p>
    <w:p w:rsidR="00F814B0" w:rsidRPr="00B84990" w:rsidRDefault="00F814B0" w:rsidP="006F5EB4">
      <w:pPr>
        <w:widowControl w:val="0"/>
        <w:spacing w:after="0" w:line="240" w:lineRule="auto"/>
        <w:ind w:left="3969" w:hanging="3969"/>
        <w:jc w:val="both"/>
        <w:rPr>
          <w:rFonts w:ascii="Times New Roman" w:hAnsi="Times New Roman" w:cs="Times New Roman"/>
          <w:b/>
          <w:sz w:val="24"/>
          <w:szCs w:val="24"/>
        </w:rPr>
      </w:pPr>
      <w:r w:rsidRPr="00B84990">
        <w:rPr>
          <w:rFonts w:ascii="Times New Roman" w:hAnsi="Times New Roman" w:cs="Times New Roman"/>
          <w:b/>
          <w:sz w:val="24"/>
          <w:szCs w:val="24"/>
        </w:rPr>
        <w:t xml:space="preserve">Cuestionamiento N° 6   </w:t>
      </w:r>
      <w:r w:rsidRPr="00B84990">
        <w:rPr>
          <w:rFonts w:ascii="Times New Roman" w:hAnsi="Times New Roman" w:cs="Times New Roman"/>
          <w:b/>
          <w:sz w:val="24"/>
          <w:szCs w:val="24"/>
        </w:rPr>
        <w:tab/>
        <w:t>Contra el factor “Carta de Representación de la marca”</w:t>
      </w:r>
    </w:p>
    <w:p w:rsidR="00F814B0" w:rsidRPr="00B84990" w:rsidRDefault="00F814B0" w:rsidP="006F5EB4">
      <w:pPr>
        <w:spacing w:after="0" w:line="240" w:lineRule="auto"/>
        <w:jc w:val="both"/>
        <w:rPr>
          <w:rFonts w:ascii="Times New Roman" w:hAnsi="Times New Roman" w:cs="Times New Roman"/>
          <w:sz w:val="24"/>
          <w:szCs w:val="24"/>
        </w:rPr>
      </w:pPr>
    </w:p>
    <w:p w:rsidR="00F814B0" w:rsidRPr="00B84990" w:rsidRDefault="00F814B0" w:rsidP="006F5EB4">
      <w:pPr>
        <w:pStyle w:val="Sinespaciado"/>
        <w:jc w:val="both"/>
        <w:rPr>
          <w:rFonts w:ascii="Times New Roman" w:hAnsi="Times New Roman" w:cs="Times New Roman"/>
          <w:sz w:val="24"/>
          <w:szCs w:val="24"/>
        </w:rPr>
      </w:pPr>
      <w:r w:rsidRPr="00B84990">
        <w:rPr>
          <w:rFonts w:ascii="Times New Roman" w:hAnsi="Times New Roman" w:cs="Times New Roman"/>
          <w:sz w:val="24"/>
          <w:szCs w:val="24"/>
        </w:rPr>
        <w:t>El recurrente cuestiona la ab</w:t>
      </w:r>
      <w:r w:rsidR="00441C04" w:rsidRPr="00B84990">
        <w:rPr>
          <w:rFonts w:ascii="Times New Roman" w:hAnsi="Times New Roman" w:cs="Times New Roman"/>
          <w:sz w:val="24"/>
          <w:szCs w:val="24"/>
        </w:rPr>
        <w:t>solución de la Observación N° 14</w:t>
      </w:r>
      <w:r w:rsidRPr="00B84990">
        <w:rPr>
          <w:rFonts w:ascii="Times New Roman" w:hAnsi="Times New Roman" w:cs="Times New Roman"/>
          <w:sz w:val="24"/>
          <w:szCs w:val="24"/>
        </w:rPr>
        <w:t xml:space="preserve"> formulada por el participante SOLUCIONES ALIMENTICIAS SAC, pues sostiene que prever otorgar puntaje aquellos postores que presenten una carta de representación de la marca ofertada otorgada por el fabricante contraviene el Principio de Trato Justo e Igualitario,  dado que ello no </w:t>
      </w:r>
      <w:r w:rsidR="00C95D61" w:rsidRPr="00B84990">
        <w:rPr>
          <w:rFonts w:ascii="Times New Roman" w:hAnsi="Times New Roman" w:cs="Times New Roman"/>
          <w:sz w:val="24"/>
          <w:szCs w:val="24"/>
        </w:rPr>
        <w:t>constituye una mejora para el producto; por lo que, solicita suprimir dicho factor de</w:t>
      </w:r>
      <w:r w:rsidR="005C5587" w:rsidRPr="00B84990">
        <w:rPr>
          <w:rFonts w:ascii="Times New Roman" w:hAnsi="Times New Roman" w:cs="Times New Roman"/>
          <w:sz w:val="24"/>
          <w:szCs w:val="24"/>
        </w:rPr>
        <w:t xml:space="preserve"> evaluación</w:t>
      </w:r>
      <w:r w:rsidR="00C95D61" w:rsidRPr="00B84990">
        <w:rPr>
          <w:rFonts w:ascii="Times New Roman" w:hAnsi="Times New Roman" w:cs="Times New Roman"/>
          <w:sz w:val="24"/>
          <w:szCs w:val="24"/>
        </w:rPr>
        <w:t xml:space="preserve">. </w:t>
      </w:r>
    </w:p>
    <w:p w:rsidR="00DB5900" w:rsidRPr="00B84990" w:rsidRDefault="00DB5900" w:rsidP="006F5EB4">
      <w:pPr>
        <w:pStyle w:val="Sinespaciado"/>
        <w:jc w:val="both"/>
        <w:rPr>
          <w:rFonts w:ascii="Times New Roman" w:hAnsi="Times New Roman" w:cs="Times New Roman"/>
          <w:sz w:val="24"/>
          <w:szCs w:val="24"/>
        </w:rPr>
      </w:pPr>
    </w:p>
    <w:p w:rsidR="00C95D61" w:rsidRPr="00B84990" w:rsidRDefault="00C95D61" w:rsidP="006F5EB4">
      <w:pPr>
        <w:pStyle w:val="Sinespaciado"/>
        <w:jc w:val="both"/>
        <w:rPr>
          <w:rFonts w:ascii="Times New Roman" w:hAnsi="Times New Roman" w:cs="Times New Roman"/>
          <w:b/>
          <w:sz w:val="24"/>
          <w:szCs w:val="24"/>
        </w:rPr>
      </w:pPr>
      <w:r w:rsidRPr="00B84990">
        <w:rPr>
          <w:rFonts w:ascii="Times New Roman" w:hAnsi="Times New Roman" w:cs="Times New Roman"/>
          <w:b/>
          <w:sz w:val="24"/>
          <w:szCs w:val="24"/>
        </w:rPr>
        <w:t xml:space="preserve">Pronunciamiento </w:t>
      </w:r>
    </w:p>
    <w:p w:rsidR="00C95D61" w:rsidRPr="00B84990" w:rsidRDefault="00C95D61" w:rsidP="006F5EB4">
      <w:pPr>
        <w:pStyle w:val="Sinespaciado"/>
        <w:jc w:val="both"/>
        <w:rPr>
          <w:rFonts w:ascii="Times New Roman" w:hAnsi="Times New Roman" w:cs="Times New Roman"/>
          <w:sz w:val="24"/>
          <w:szCs w:val="24"/>
        </w:rPr>
      </w:pPr>
    </w:p>
    <w:p w:rsidR="00981638" w:rsidRPr="00B84990" w:rsidRDefault="00981638" w:rsidP="006F5EB4">
      <w:pPr>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 xml:space="preserve">De la revisión de las Bases se advierte que, tanto para el ítem 1 como para el ítem 2, se solicita,  como parte de la documentación de presentación obligatoria, la presentación de una </w:t>
      </w:r>
      <w:r w:rsidRPr="00B84990">
        <w:rPr>
          <w:rFonts w:ascii="Times New Roman" w:hAnsi="Times New Roman" w:cs="Times New Roman"/>
          <w:i/>
          <w:sz w:val="24"/>
          <w:szCs w:val="24"/>
        </w:rPr>
        <w:t>“Declaración jurada si es fabricante o distribuidor”.</w:t>
      </w:r>
      <w:r w:rsidRPr="00B84990">
        <w:rPr>
          <w:rFonts w:ascii="Times New Roman" w:hAnsi="Times New Roman" w:cs="Times New Roman"/>
          <w:sz w:val="24"/>
          <w:szCs w:val="24"/>
        </w:rPr>
        <w:t xml:space="preserve">  </w:t>
      </w:r>
    </w:p>
    <w:p w:rsidR="00981638" w:rsidRPr="00B84990" w:rsidRDefault="00981638" w:rsidP="006F5EB4">
      <w:pPr>
        <w:spacing w:after="0" w:line="240" w:lineRule="auto"/>
        <w:jc w:val="both"/>
        <w:rPr>
          <w:rFonts w:ascii="Times New Roman" w:hAnsi="Times New Roman" w:cs="Times New Roman"/>
          <w:sz w:val="24"/>
          <w:szCs w:val="24"/>
        </w:rPr>
      </w:pPr>
    </w:p>
    <w:p w:rsidR="00981638" w:rsidRPr="00B84990" w:rsidRDefault="00AC34F8" w:rsidP="006F5EB4">
      <w:pPr>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 xml:space="preserve">Por su parte, como parte de los factores de evaluación del ítem 2, se advierte que se ha previsto considerar el factor “Plazo de Entrega”, cuyo máximo puntaje es equivalente a seis (6) puntos.  </w:t>
      </w:r>
    </w:p>
    <w:p w:rsidR="00981638" w:rsidRPr="00B84990" w:rsidRDefault="00981638" w:rsidP="006F5EB4">
      <w:pPr>
        <w:spacing w:after="0" w:line="240" w:lineRule="auto"/>
        <w:jc w:val="both"/>
        <w:rPr>
          <w:rFonts w:ascii="Times New Roman" w:hAnsi="Times New Roman" w:cs="Times New Roman"/>
          <w:sz w:val="24"/>
          <w:szCs w:val="24"/>
        </w:rPr>
      </w:pPr>
    </w:p>
    <w:p w:rsidR="00AC34F8" w:rsidRPr="00B84990" w:rsidRDefault="00AC34F8" w:rsidP="00AC34F8">
      <w:pPr>
        <w:autoSpaceDE w:val="0"/>
        <w:autoSpaceDN w:val="0"/>
        <w:adjustRightInd w:val="0"/>
        <w:spacing w:after="0" w:line="240" w:lineRule="auto"/>
        <w:jc w:val="both"/>
        <w:rPr>
          <w:rFonts w:ascii="Times New Roman" w:hAnsi="Times New Roman" w:cs="Times New Roman"/>
          <w:i/>
          <w:sz w:val="24"/>
          <w:szCs w:val="24"/>
        </w:rPr>
      </w:pPr>
      <w:r w:rsidRPr="00B84990">
        <w:rPr>
          <w:rFonts w:ascii="Times New Roman" w:hAnsi="Times New Roman" w:cs="Times New Roman"/>
          <w:sz w:val="24"/>
          <w:szCs w:val="24"/>
        </w:rPr>
        <w:t xml:space="preserve">De la revisión del pliego absolutorio de consultas se advierte que el participante SOLUCIONES ALIMENTICIAS SAC a través de su Consulta N° 3 consultó lo siguiente: </w:t>
      </w:r>
      <w:r w:rsidRPr="00B84990">
        <w:rPr>
          <w:rFonts w:ascii="Times New Roman" w:hAnsi="Times New Roman" w:cs="Times New Roman"/>
          <w:i/>
          <w:sz w:val="24"/>
          <w:szCs w:val="24"/>
        </w:rPr>
        <w:t xml:space="preserve">“En el inciso f) de la documentación de presentación obligatoria de las Bases para los ítems 1 y 2 solicitan una Declaración Jurada si es fabricante o Distribuidor. (…), ¿en caso de ser distribuidor será necesario una carta de acreditación expedida por el fabricante autorizando al postor como distribuidor para el presente proceso?”. </w:t>
      </w:r>
      <w:r w:rsidRPr="00B84990">
        <w:rPr>
          <w:rFonts w:ascii="Times New Roman" w:hAnsi="Times New Roman" w:cs="Times New Roman"/>
          <w:sz w:val="24"/>
          <w:szCs w:val="24"/>
        </w:rPr>
        <w:t xml:space="preserve">Al respecto, el Comité Especial manifestó: </w:t>
      </w:r>
      <w:r w:rsidRPr="00B84990">
        <w:rPr>
          <w:rFonts w:ascii="Times New Roman" w:hAnsi="Times New Roman" w:cs="Times New Roman"/>
          <w:i/>
          <w:sz w:val="24"/>
          <w:szCs w:val="24"/>
        </w:rPr>
        <w:t xml:space="preserve">“El Comité aclara que en caso de ser Distribuidor, </w:t>
      </w:r>
      <w:r w:rsidRPr="00B84990">
        <w:rPr>
          <w:rFonts w:ascii="Times New Roman" w:hAnsi="Times New Roman" w:cs="Times New Roman"/>
          <w:i/>
          <w:sz w:val="24"/>
          <w:szCs w:val="24"/>
          <w:u w:val="single"/>
        </w:rPr>
        <w:t>el postor deberá adjuntar una carta de acreditación de su proveedor fabricante autorizándolo como proveedor para el presente proceso de selección</w:t>
      </w:r>
      <w:r w:rsidRPr="00B84990">
        <w:rPr>
          <w:rFonts w:ascii="Times New Roman" w:hAnsi="Times New Roman" w:cs="Times New Roman"/>
          <w:i/>
          <w:sz w:val="24"/>
          <w:szCs w:val="24"/>
        </w:rPr>
        <w:t>”.</w:t>
      </w:r>
    </w:p>
    <w:p w:rsidR="00AC34F8" w:rsidRPr="00B84990" w:rsidRDefault="00AC34F8" w:rsidP="006F5EB4">
      <w:pPr>
        <w:spacing w:after="0" w:line="240" w:lineRule="auto"/>
        <w:jc w:val="both"/>
        <w:rPr>
          <w:rFonts w:ascii="Times New Roman" w:hAnsi="Times New Roman" w:cs="Times New Roman"/>
          <w:sz w:val="24"/>
          <w:szCs w:val="24"/>
        </w:rPr>
      </w:pPr>
    </w:p>
    <w:p w:rsidR="005F69DA" w:rsidRDefault="005F69DA" w:rsidP="006F5EB4">
      <w:pPr>
        <w:spacing w:after="0" w:line="240" w:lineRule="auto"/>
        <w:jc w:val="both"/>
        <w:rPr>
          <w:rFonts w:ascii="Times New Roman" w:eastAsia="Calibri" w:hAnsi="Times New Roman" w:cs="Times New Roman"/>
          <w:i/>
          <w:sz w:val="24"/>
          <w:szCs w:val="24"/>
          <w:lang w:eastAsia="en-US"/>
        </w:rPr>
      </w:pPr>
      <w:r w:rsidRPr="00B84990">
        <w:rPr>
          <w:rFonts w:ascii="Times New Roman" w:hAnsi="Times New Roman" w:cs="Times New Roman"/>
          <w:sz w:val="24"/>
          <w:szCs w:val="24"/>
        </w:rPr>
        <w:t xml:space="preserve">De la revisión del pliego absolutorio de observaciones se advierte que </w:t>
      </w:r>
      <w:r w:rsidR="00AC34F8" w:rsidRPr="00B84990">
        <w:rPr>
          <w:rFonts w:ascii="Times New Roman" w:hAnsi="Times New Roman" w:cs="Times New Roman"/>
          <w:sz w:val="24"/>
          <w:szCs w:val="24"/>
        </w:rPr>
        <w:t xml:space="preserve">el participante SOLUCIONES ALIMENTICIAS SAC a través de su </w:t>
      </w:r>
      <w:r w:rsidRPr="00B84990">
        <w:rPr>
          <w:rFonts w:ascii="Times New Roman" w:hAnsi="Times New Roman" w:cs="Times New Roman"/>
          <w:sz w:val="24"/>
          <w:szCs w:val="24"/>
        </w:rPr>
        <w:t xml:space="preserve">Observación N° 14 </w:t>
      </w:r>
      <w:r w:rsidR="00AC34F8" w:rsidRPr="00B84990">
        <w:rPr>
          <w:rFonts w:ascii="Times New Roman" w:hAnsi="Times New Roman" w:cs="Times New Roman"/>
          <w:sz w:val="24"/>
          <w:szCs w:val="24"/>
        </w:rPr>
        <w:t xml:space="preserve">solicitó suprimir el factor “Plazo de Entrega”, </w:t>
      </w:r>
      <w:r w:rsidRPr="00B84990">
        <w:rPr>
          <w:rFonts w:ascii="Times New Roman" w:hAnsi="Times New Roman" w:cs="Times New Roman"/>
          <w:sz w:val="24"/>
          <w:szCs w:val="24"/>
        </w:rPr>
        <w:t xml:space="preserve">por </w:t>
      </w:r>
      <w:r w:rsidR="00AC34F8" w:rsidRPr="00B84990">
        <w:rPr>
          <w:rFonts w:ascii="Times New Roman" w:hAnsi="Times New Roman" w:cs="Times New Roman"/>
          <w:sz w:val="24"/>
          <w:szCs w:val="24"/>
        </w:rPr>
        <w:t xml:space="preserve">el Comité Especial </w:t>
      </w:r>
      <w:r w:rsidRPr="00B84990">
        <w:rPr>
          <w:rFonts w:ascii="Times New Roman" w:hAnsi="Times New Roman" w:cs="Times New Roman"/>
          <w:sz w:val="24"/>
          <w:szCs w:val="24"/>
        </w:rPr>
        <w:t xml:space="preserve">manifestó lo siguiente: </w:t>
      </w:r>
      <w:r w:rsidRPr="00B84990">
        <w:rPr>
          <w:rFonts w:ascii="Times New Roman" w:hAnsi="Times New Roman" w:cs="Times New Roman"/>
          <w:i/>
          <w:sz w:val="24"/>
          <w:szCs w:val="24"/>
        </w:rPr>
        <w:t>“</w:t>
      </w:r>
      <w:r w:rsidRPr="00B84990">
        <w:rPr>
          <w:rFonts w:ascii="Times New Roman" w:eastAsia="Calibri" w:hAnsi="Times New Roman" w:cs="Times New Roman"/>
          <w:i/>
          <w:sz w:val="24"/>
          <w:szCs w:val="24"/>
          <w:lang w:eastAsia="en-US"/>
        </w:rPr>
        <w:t xml:space="preserve">Se acoge su observación, se suprime la calificación del plazo de entrega para el ítem II, calificando en </w:t>
      </w:r>
      <w:r w:rsidRPr="00B84990">
        <w:rPr>
          <w:rFonts w:ascii="Times New Roman" w:eastAsia="Calibri" w:hAnsi="Times New Roman" w:cs="Times New Roman"/>
          <w:i/>
          <w:sz w:val="24"/>
          <w:szCs w:val="24"/>
          <w:u w:val="single"/>
          <w:lang w:eastAsia="en-US"/>
        </w:rPr>
        <w:lastRenderedPageBreak/>
        <w:t>su lugar la carta de representación de la marca ofertada otorgada por el fabricante o dueño de la marca como una mejora, cuyo puntaje será de 06 puntos</w:t>
      </w:r>
      <w:r w:rsidRPr="00B84990">
        <w:rPr>
          <w:rFonts w:ascii="Times New Roman" w:eastAsia="Calibri" w:hAnsi="Times New Roman" w:cs="Times New Roman"/>
          <w:i/>
          <w:sz w:val="24"/>
          <w:szCs w:val="24"/>
          <w:lang w:eastAsia="en-US"/>
        </w:rPr>
        <w:t>”.</w:t>
      </w:r>
    </w:p>
    <w:p w:rsidR="00307EF1" w:rsidRPr="00B84990" w:rsidRDefault="00307EF1" w:rsidP="006F5EB4">
      <w:pPr>
        <w:spacing w:after="0" w:line="240" w:lineRule="auto"/>
        <w:jc w:val="both"/>
        <w:rPr>
          <w:rFonts w:ascii="Times New Roman" w:eastAsia="Calibri" w:hAnsi="Times New Roman" w:cs="Times New Roman"/>
          <w:i/>
          <w:sz w:val="24"/>
          <w:szCs w:val="24"/>
          <w:lang w:eastAsia="en-US"/>
        </w:rPr>
      </w:pPr>
    </w:p>
    <w:p w:rsidR="002841CB" w:rsidRPr="00B84990" w:rsidRDefault="002841CB" w:rsidP="002841CB">
      <w:pPr>
        <w:autoSpaceDE w:val="0"/>
        <w:autoSpaceDN w:val="0"/>
        <w:adjustRightInd w:val="0"/>
        <w:spacing w:after="0" w:line="240" w:lineRule="auto"/>
        <w:jc w:val="both"/>
        <w:rPr>
          <w:rFonts w:ascii="Times New Roman" w:eastAsia="Calibri" w:hAnsi="Times New Roman" w:cs="Times New Roman"/>
          <w:sz w:val="24"/>
          <w:szCs w:val="24"/>
          <w:u w:val="single"/>
          <w:lang w:eastAsia="en-US"/>
        </w:rPr>
      </w:pPr>
      <w:r w:rsidRPr="00B84990">
        <w:rPr>
          <w:rFonts w:ascii="Times New Roman" w:hAnsi="Times New Roman" w:cs="Times New Roman"/>
          <w:sz w:val="24"/>
          <w:szCs w:val="24"/>
        </w:rPr>
        <w:t>De lo expuesto se advierte que el Comité Especial, como parte de la documentación de presentación obligatoria, se requerirá que los potenciales postores presenten, en caso de ser distribuidor, carta de acreditación de su proveedor fabricante autorizándolo como proveedor para el presente proceso de selección</w:t>
      </w:r>
      <w:r w:rsidR="00101137" w:rsidRPr="00B84990">
        <w:rPr>
          <w:rFonts w:ascii="Times New Roman" w:hAnsi="Times New Roman" w:cs="Times New Roman"/>
          <w:sz w:val="24"/>
          <w:szCs w:val="24"/>
        </w:rPr>
        <w:t>; y</w:t>
      </w:r>
      <w:r w:rsidRPr="00B84990">
        <w:rPr>
          <w:rFonts w:ascii="Times New Roman" w:hAnsi="Times New Roman" w:cs="Times New Roman"/>
          <w:sz w:val="24"/>
          <w:szCs w:val="24"/>
        </w:rPr>
        <w:t xml:space="preserve">, en el caso del ítem 2, se otorgará puntaje aquel postor que presente </w:t>
      </w:r>
      <w:r w:rsidRPr="00B84990">
        <w:rPr>
          <w:rFonts w:ascii="Times New Roman" w:eastAsia="Calibri" w:hAnsi="Times New Roman" w:cs="Times New Roman"/>
          <w:sz w:val="24"/>
          <w:szCs w:val="24"/>
          <w:lang w:eastAsia="en-US"/>
        </w:rPr>
        <w:t>carta de representación de la marca ofertada otorgada por el</w:t>
      </w:r>
      <w:r w:rsidR="00101137" w:rsidRPr="00B84990">
        <w:rPr>
          <w:rFonts w:ascii="Times New Roman" w:eastAsia="Calibri" w:hAnsi="Times New Roman" w:cs="Times New Roman"/>
          <w:sz w:val="24"/>
          <w:szCs w:val="24"/>
          <w:lang w:eastAsia="en-US"/>
        </w:rPr>
        <w:t xml:space="preserve"> fabricante o dueño de la marca, lo cual no se ajusta con lo señalado en la normativa de contratación pública. </w:t>
      </w:r>
      <w:r w:rsidRPr="00B84990">
        <w:rPr>
          <w:rFonts w:ascii="Times New Roman" w:eastAsia="Calibri" w:hAnsi="Times New Roman" w:cs="Times New Roman"/>
          <w:sz w:val="24"/>
          <w:szCs w:val="24"/>
          <w:lang w:eastAsia="en-US"/>
        </w:rPr>
        <w:t xml:space="preserve"> </w:t>
      </w:r>
    </w:p>
    <w:p w:rsidR="00101137" w:rsidRPr="00B84990" w:rsidRDefault="00101137" w:rsidP="002841CB">
      <w:pPr>
        <w:autoSpaceDE w:val="0"/>
        <w:autoSpaceDN w:val="0"/>
        <w:adjustRightInd w:val="0"/>
        <w:spacing w:after="0" w:line="240" w:lineRule="auto"/>
        <w:jc w:val="both"/>
        <w:rPr>
          <w:rFonts w:ascii="Times New Roman" w:eastAsia="Calibri" w:hAnsi="Times New Roman" w:cs="Times New Roman"/>
          <w:sz w:val="24"/>
          <w:szCs w:val="24"/>
          <w:u w:val="single"/>
          <w:lang w:eastAsia="en-US"/>
        </w:rPr>
      </w:pPr>
    </w:p>
    <w:p w:rsidR="002841CB" w:rsidRPr="00B84990" w:rsidRDefault="00101137" w:rsidP="002841CB">
      <w:pPr>
        <w:autoSpaceDE w:val="0"/>
        <w:autoSpaceDN w:val="0"/>
        <w:adjustRightInd w:val="0"/>
        <w:spacing w:after="0" w:line="240" w:lineRule="auto"/>
        <w:jc w:val="both"/>
        <w:rPr>
          <w:rFonts w:ascii="Times New Roman" w:hAnsi="Times New Roman" w:cs="Times New Roman"/>
          <w:b/>
          <w:sz w:val="24"/>
          <w:szCs w:val="24"/>
          <w:u w:val="single"/>
        </w:rPr>
      </w:pPr>
      <w:r w:rsidRPr="00B84990">
        <w:rPr>
          <w:rFonts w:ascii="Times New Roman" w:hAnsi="Times New Roman" w:cs="Times New Roman"/>
          <w:sz w:val="24"/>
          <w:szCs w:val="24"/>
        </w:rPr>
        <w:t>Sobre el particular, es preciso aclarar</w:t>
      </w:r>
      <w:r w:rsidR="002841CB" w:rsidRPr="00B84990">
        <w:rPr>
          <w:rFonts w:ascii="Times New Roman" w:hAnsi="Times New Roman" w:cs="Times New Roman"/>
          <w:sz w:val="24"/>
          <w:szCs w:val="24"/>
        </w:rPr>
        <w:t xml:space="preserve">, </w:t>
      </w:r>
      <w:r w:rsidR="002841CB" w:rsidRPr="00B84990">
        <w:rPr>
          <w:rFonts w:ascii="Times New Roman" w:hAnsi="Times New Roman" w:cs="Times New Roman"/>
          <w:sz w:val="24"/>
          <w:szCs w:val="24"/>
          <w:u w:val="single"/>
        </w:rPr>
        <w:t>respecto de la documentación de presentación obligatoria</w:t>
      </w:r>
      <w:r w:rsidR="002841CB" w:rsidRPr="00B84990">
        <w:rPr>
          <w:rFonts w:ascii="Times New Roman" w:hAnsi="Times New Roman" w:cs="Times New Roman"/>
          <w:sz w:val="24"/>
          <w:szCs w:val="24"/>
        </w:rPr>
        <w:t>, que, en la medida que el único obligado a cumplir con sus obligaciones en lo</w:t>
      </w:r>
      <w:r w:rsidR="002841CB" w:rsidRPr="00B84990">
        <w:rPr>
          <w:rFonts w:ascii="Times New Roman" w:hAnsi="Times New Roman" w:cs="Times New Roman"/>
          <w:sz w:val="24"/>
          <w:szCs w:val="24"/>
          <w:lang w:val="es-ES"/>
        </w:rPr>
        <w:t xml:space="preserve">s </w:t>
      </w:r>
      <w:r w:rsidR="002841CB" w:rsidRPr="00B84990">
        <w:rPr>
          <w:rFonts w:ascii="Times New Roman" w:hAnsi="Times New Roman" w:cs="Times New Roman"/>
          <w:sz w:val="24"/>
          <w:szCs w:val="24"/>
        </w:rPr>
        <w:t xml:space="preserve">términos y condiciones ofertados en el proceso de selección es el contratista, independientemente de su calidad de representante, distribuidor, importador o fabricante, </w:t>
      </w:r>
      <w:r w:rsidR="00672B4C" w:rsidRPr="00B84990">
        <w:rPr>
          <w:rFonts w:ascii="Times New Roman" w:hAnsi="Times New Roman" w:cs="Times New Roman"/>
          <w:sz w:val="24"/>
          <w:szCs w:val="24"/>
        </w:rPr>
        <w:t xml:space="preserve">y que la documentación que se requiere en el referido acápite tiene por finalidad la acreditación del cumplimiento de los requerimientos técnicos mínimos, </w:t>
      </w:r>
      <w:r w:rsidR="002841CB" w:rsidRPr="00B84990">
        <w:rPr>
          <w:rFonts w:ascii="Times New Roman" w:hAnsi="Times New Roman" w:cs="Times New Roman"/>
          <w:sz w:val="24"/>
          <w:szCs w:val="24"/>
        </w:rPr>
        <w:t xml:space="preserve">no se advierte la razonabilidad de requerir que, en caso el postor sea distribuidor, deberá adjuntar una carta de acreditación de su proveedor fabricante autorizándolo como proveedor para el presente proceso de selección; </w:t>
      </w:r>
      <w:r w:rsidR="002841CB" w:rsidRPr="00B84990">
        <w:rPr>
          <w:rFonts w:ascii="Times New Roman" w:hAnsi="Times New Roman" w:cs="Times New Roman"/>
          <w:b/>
          <w:sz w:val="24"/>
          <w:szCs w:val="24"/>
          <w:u w:val="single"/>
        </w:rPr>
        <w:t>por lo que, con ocasión de la integración de las Bases, deberá dejarse sin efecto</w:t>
      </w:r>
      <w:r w:rsidR="00CF5CAE">
        <w:rPr>
          <w:rFonts w:ascii="Times New Roman" w:hAnsi="Times New Roman" w:cs="Times New Roman"/>
          <w:b/>
          <w:sz w:val="24"/>
          <w:szCs w:val="24"/>
          <w:u w:val="single"/>
        </w:rPr>
        <w:t xml:space="preserve"> lo manifestado al absolver la </w:t>
      </w:r>
      <w:r w:rsidR="002841CB" w:rsidRPr="00B84990">
        <w:rPr>
          <w:rFonts w:ascii="Times New Roman" w:hAnsi="Times New Roman" w:cs="Times New Roman"/>
          <w:b/>
          <w:sz w:val="24"/>
          <w:szCs w:val="24"/>
          <w:u w:val="single"/>
        </w:rPr>
        <w:t xml:space="preserve">Consulta N° 3 SOLUCIONES ALIMENTICIAS SAC, es decir, no deberá exigir la referida carta de acreditación como parte de la documentación obligatoria. </w:t>
      </w:r>
    </w:p>
    <w:p w:rsidR="00101137" w:rsidRPr="00B84990" w:rsidRDefault="00101137" w:rsidP="006F5EB4">
      <w:pPr>
        <w:pStyle w:val="Sinespaciado"/>
        <w:jc w:val="both"/>
        <w:rPr>
          <w:rFonts w:ascii="Times New Roman" w:hAnsi="Times New Roman" w:cs="Times New Roman"/>
          <w:sz w:val="24"/>
          <w:szCs w:val="24"/>
        </w:rPr>
      </w:pPr>
    </w:p>
    <w:p w:rsidR="00640D1D" w:rsidRPr="00B84990" w:rsidRDefault="00672B4C" w:rsidP="00672B4C">
      <w:pPr>
        <w:pStyle w:val="Sinespaciado"/>
        <w:jc w:val="both"/>
        <w:rPr>
          <w:rFonts w:ascii="Times New Roman" w:hAnsi="Times New Roman" w:cs="Times New Roman"/>
          <w:sz w:val="24"/>
          <w:szCs w:val="24"/>
        </w:rPr>
      </w:pPr>
      <w:r w:rsidRPr="00B84990">
        <w:rPr>
          <w:rFonts w:ascii="Times New Roman" w:hAnsi="Times New Roman" w:cs="Times New Roman"/>
          <w:sz w:val="24"/>
          <w:szCs w:val="24"/>
        </w:rPr>
        <w:t>Dicho lo anterior</w:t>
      </w:r>
      <w:r w:rsidR="002841CB" w:rsidRPr="00B84990">
        <w:rPr>
          <w:rFonts w:ascii="Times New Roman" w:hAnsi="Times New Roman" w:cs="Times New Roman"/>
          <w:sz w:val="24"/>
          <w:szCs w:val="24"/>
        </w:rPr>
        <w:t xml:space="preserve">, </w:t>
      </w:r>
      <w:r w:rsidR="002841CB" w:rsidRPr="00307EF1">
        <w:rPr>
          <w:rFonts w:ascii="Times New Roman" w:hAnsi="Times New Roman" w:cs="Times New Roman"/>
          <w:sz w:val="24"/>
          <w:szCs w:val="24"/>
          <w:u w:val="single"/>
        </w:rPr>
        <w:t>respecto del factor de evaluación “Carta de Representación de la marca”,</w:t>
      </w:r>
      <w:r w:rsidR="002841CB" w:rsidRPr="00B84990">
        <w:rPr>
          <w:rFonts w:ascii="Times New Roman" w:hAnsi="Times New Roman" w:cs="Times New Roman"/>
          <w:sz w:val="24"/>
          <w:szCs w:val="24"/>
        </w:rPr>
        <w:t xml:space="preserve"> </w:t>
      </w:r>
      <w:r w:rsidR="00640D1D" w:rsidRPr="00B84990">
        <w:rPr>
          <w:rFonts w:ascii="Times New Roman" w:hAnsi="Times New Roman" w:cs="Times New Roman"/>
          <w:sz w:val="24"/>
          <w:szCs w:val="24"/>
        </w:rPr>
        <w:t>debe tenerse en cuenta que el no cumplimiento de alguno de los factores de evaluación no implicará, a diferencia de los requerimientos técnicos mínimos, la descalificación del postor, pues la única consecuencia que tiene es la no obtención del puntaje asignado.</w:t>
      </w:r>
    </w:p>
    <w:p w:rsidR="00672B4C" w:rsidRPr="00B84990" w:rsidRDefault="00672B4C" w:rsidP="00672B4C">
      <w:pPr>
        <w:pStyle w:val="Sinespaciado"/>
        <w:jc w:val="both"/>
        <w:rPr>
          <w:rFonts w:ascii="Times New Roman" w:hAnsi="Times New Roman" w:cs="Times New Roman"/>
          <w:sz w:val="24"/>
          <w:szCs w:val="24"/>
        </w:rPr>
      </w:pPr>
    </w:p>
    <w:p w:rsidR="00672B4C" w:rsidRPr="00B84990" w:rsidRDefault="00672B4C" w:rsidP="00672B4C">
      <w:pPr>
        <w:pStyle w:val="Sinespaciado"/>
        <w:jc w:val="both"/>
        <w:rPr>
          <w:rFonts w:ascii="Times New Roman" w:hAnsi="Times New Roman" w:cs="Times New Roman"/>
          <w:sz w:val="24"/>
          <w:szCs w:val="24"/>
          <w:u w:val="single"/>
        </w:rPr>
      </w:pPr>
      <w:r w:rsidRPr="00B84990">
        <w:rPr>
          <w:rFonts w:ascii="Times New Roman" w:hAnsi="Times New Roman" w:cs="Times New Roman"/>
          <w:sz w:val="24"/>
          <w:szCs w:val="24"/>
        </w:rPr>
        <w:t xml:space="preserve">En ese sentido, </w:t>
      </w:r>
      <w:r w:rsidRPr="00B84990">
        <w:rPr>
          <w:rFonts w:ascii="Times New Roman" w:hAnsi="Times New Roman" w:cs="Times New Roman"/>
          <w:sz w:val="24"/>
          <w:szCs w:val="24"/>
          <w:lang w:eastAsia="es-PE"/>
        </w:rPr>
        <w:t xml:space="preserve">cabe precisar que de acuerdo con la normativa los factores de evaluación tienen como principal objetivo permitirle al Comité Especial comparar las propuestas presentadas y elegir la mejor; razón por la cual, a partir del conocimiento de las reales necesidades de la Entidad, el Comité Especial determina los factores de evaluación que le permitirán elegir la mejor propuesta a efectos de no sólo satisfacer oportunamente las necesidades del área usuaria sino también </w:t>
      </w:r>
      <w:r w:rsidRPr="00B84990">
        <w:rPr>
          <w:rFonts w:ascii="Times New Roman" w:hAnsi="Times New Roman" w:cs="Times New Roman"/>
          <w:sz w:val="24"/>
          <w:szCs w:val="24"/>
          <w:u w:val="single"/>
          <w:lang w:eastAsia="es-PE"/>
        </w:rPr>
        <w:t>mejorar las condiciones de la prestación objeto de la convocatoria.</w:t>
      </w:r>
    </w:p>
    <w:p w:rsidR="00640D1D" w:rsidRPr="00B84990" w:rsidRDefault="00640D1D" w:rsidP="006F5EB4">
      <w:pPr>
        <w:pStyle w:val="Textoindependiente2"/>
        <w:tabs>
          <w:tab w:val="left" w:pos="426"/>
          <w:tab w:val="left" w:pos="567"/>
        </w:tabs>
        <w:spacing w:after="0" w:line="240" w:lineRule="auto"/>
        <w:jc w:val="both"/>
        <w:rPr>
          <w:rFonts w:ascii="Times New Roman" w:hAnsi="Times New Roman" w:cs="Times New Roman"/>
          <w:sz w:val="24"/>
          <w:szCs w:val="24"/>
        </w:rPr>
      </w:pPr>
    </w:p>
    <w:p w:rsidR="005F69DA" w:rsidRPr="00B84990" w:rsidRDefault="00640D1D" w:rsidP="006F5EB4">
      <w:pPr>
        <w:pStyle w:val="Textoindependiente2"/>
        <w:tabs>
          <w:tab w:val="left" w:pos="426"/>
          <w:tab w:val="left" w:pos="567"/>
        </w:tabs>
        <w:spacing w:after="0" w:line="240" w:lineRule="auto"/>
        <w:jc w:val="both"/>
        <w:rPr>
          <w:rFonts w:ascii="Times New Roman" w:hAnsi="Times New Roman" w:cs="Times New Roman"/>
          <w:sz w:val="24"/>
          <w:szCs w:val="24"/>
        </w:rPr>
      </w:pPr>
      <w:r w:rsidRPr="00B84990">
        <w:rPr>
          <w:rFonts w:ascii="Times New Roman" w:eastAsia="Times New Roman" w:hAnsi="Times New Roman" w:cs="Times New Roman"/>
          <w:sz w:val="24"/>
          <w:szCs w:val="24"/>
          <w:lang w:val="es-MX" w:eastAsia="es-MX"/>
        </w:rPr>
        <w:t>Siendo ello así</w:t>
      </w:r>
      <w:r w:rsidR="005F69DA" w:rsidRPr="00B84990">
        <w:rPr>
          <w:rFonts w:ascii="Times New Roman" w:hAnsi="Times New Roman" w:cs="Times New Roman"/>
          <w:sz w:val="24"/>
          <w:szCs w:val="24"/>
        </w:rPr>
        <w:t xml:space="preserve">, </w:t>
      </w:r>
      <w:r w:rsidRPr="00B84990">
        <w:rPr>
          <w:rFonts w:ascii="Times New Roman" w:hAnsi="Times New Roman" w:cs="Times New Roman"/>
          <w:sz w:val="24"/>
          <w:szCs w:val="24"/>
          <w:lang w:val="es-MX"/>
        </w:rPr>
        <w:t>resulta</w:t>
      </w:r>
      <w:r w:rsidR="005F69DA" w:rsidRPr="00B84990">
        <w:rPr>
          <w:rFonts w:ascii="Times New Roman" w:hAnsi="Times New Roman" w:cs="Times New Roman"/>
          <w:sz w:val="24"/>
          <w:szCs w:val="24"/>
          <w:lang w:val="es-MX"/>
        </w:rPr>
        <w:t xml:space="preserve"> posible establecer un factor de evaluación a través del cual se solicite la presentación de la referida carta del fabricante </w:t>
      </w:r>
      <w:r w:rsidR="005F69DA" w:rsidRPr="00B84990">
        <w:rPr>
          <w:rFonts w:ascii="Times New Roman" w:hAnsi="Times New Roman" w:cs="Times New Roman"/>
          <w:sz w:val="24"/>
          <w:szCs w:val="24"/>
          <w:u w:val="single"/>
        </w:rPr>
        <w:t>o dueño de la marca del producto que oferta</w:t>
      </w:r>
      <w:r w:rsidRPr="00B84990">
        <w:rPr>
          <w:rFonts w:ascii="Times New Roman" w:hAnsi="Times New Roman" w:cs="Times New Roman"/>
          <w:sz w:val="24"/>
          <w:szCs w:val="24"/>
          <w:lang w:val="es-MX"/>
        </w:rPr>
        <w:t xml:space="preserve">, pues la presentación de dicho documento </w:t>
      </w:r>
      <w:r w:rsidR="005F69DA" w:rsidRPr="00B84990">
        <w:rPr>
          <w:rFonts w:ascii="Times New Roman" w:hAnsi="Times New Roman" w:cs="Times New Roman"/>
          <w:sz w:val="24"/>
          <w:szCs w:val="24"/>
        </w:rPr>
        <w:t xml:space="preserve">significaría un </w:t>
      </w:r>
      <w:r w:rsidR="005F69DA" w:rsidRPr="00B84990">
        <w:rPr>
          <w:rFonts w:ascii="Times New Roman" w:hAnsi="Times New Roman" w:cs="Times New Roman"/>
          <w:b/>
          <w:sz w:val="24"/>
          <w:szCs w:val="24"/>
          <w:u w:val="single"/>
        </w:rPr>
        <w:t>valor agregado</w:t>
      </w:r>
      <w:r w:rsidR="005F69DA" w:rsidRPr="00B84990">
        <w:rPr>
          <w:rFonts w:ascii="Times New Roman" w:hAnsi="Times New Roman" w:cs="Times New Roman"/>
          <w:sz w:val="24"/>
          <w:szCs w:val="24"/>
        </w:rPr>
        <w:t xml:space="preserve"> a la propuesta del postor, dado que, tanto para la adquisición de bienes como para la contratación de un servicio, implicaría que la Entidad cuente con un mayor respaldo o mayor seguridad no solo respecto de la procedencia legal del bien o de los activos que se entreguen como consecuencia de la contratación de un servicio, sino también porque ello podría representar una ventaja ante posibles contingencias durante la ejecución del contrato.</w:t>
      </w:r>
    </w:p>
    <w:p w:rsidR="00640D1D" w:rsidRPr="00B84990" w:rsidRDefault="00640D1D" w:rsidP="006F5EB4">
      <w:pPr>
        <w:pStyle w:val="Textoindependiente2"/>
        <w:tabs>
          <w:tab w:val="left" w:pos="426"/>
          <w:tab w:val="left" w:pos="567"/>
        </w:tabs>
        <w:spacing w:after="0" w:line="240" w:lineRule="auto"/>
        <w:jc w:val="both"/>
        <w:rPr>
          <w:rFonts w:ascii="Times New Roman" w:hAnsi="Times New Roman" w:cs="Times New Roman"/>
          <w:sz w:val="24"/>
          <w:szCs w:val="24"/>
        </w:rPr>
      </w:pPr>
    </w:p>
    <w:p w:rsidR="00C95D61" w:rsidRPr="00B84990" w:rsidRDefault="00640D1D" w:rsidP="006F5EB4">
      <w:pPr>
        <w:pStyle w:val="Textoindependiente2"/>
        <w:tabs>
          <w:tab w:val="left" w:pos="426"/>
          <w:tab w:val="left" w:pos="567"/>
        </w:tabs>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lastRenderedPageBreak/>
        <w:t>Por lo tanto, considerando que es responsabilidad del Comité Especial la determinación de los factores de evaluación</w:t>
      </w:r>
      <w:r w:rsidR="00101137" w:rsidRPr="00B84990">
        <w:rPr>
          <w:rFonts w:ascii="Times New Roman" w:hAnsi="Times New Roman" w:cs="Times New Roman"/>
          <w:sz w:val="24"/>
          <w:szCs w:val="24"/>
        </w:rPr>
        <w:t xml:space="preserve"> y que el participante solicita eliminar el factor de evaluación “Carta de Representación”</w:t>
      </w:r>
      <w:r w:rsidR="00CF5CAE">
        <w:rPr>
          <w:rFonts w:ascii="Times New Roman" w:hAnsi="Times New Roman" w:cs="Times New Roman"/>
          <w:sz w:val="24"/>
          <w:szCs w:val="24"/>
        </w:rPr>
        <w:t xml:space="preserve"> correspondiente al ítem II</w:t>
      </w:r>
      <w:r w:rsidRPr="00B84990">
        <w:rPr>
          <w:rFonts w:ascii="Times New Roman" w:hAnsi="Times New Roman" w:cs="Times New Roman"/>
          <w:sz w:val="24"/>
          <w:szCs w:val="24"/>
        </w:rPr>
        <w:t xml:space="preserve">, este Organismo Supervisor ha decidido </w:t>
      </w:r>
      <w:r w:rsidRPr="00B84990">
        <w:rPr>
          <w:rFonts w:ascii="Times New Roman" w:hAnsi="Times New Roman" w:cs="Times New Roman"/>
          <w:b/>
          <w:sz w:val="24"/>
          <w:szCs w:val="24"/>
        </w:rPr>
        <w:t>NO ACOGER</w:t>
      </w:r>
      <w:r w:rsidRPr="00B84990">
        <w:rPr>
          <w:rFonts w:ascii="Times New Roman" w:hAnsi="Times New Roman" w:cs="Times New Roman"/>
          <w:sz w:val="24"/>
          <w:szCs w:val="24"/>
        </w:rPr>
        <w:t xml:space="preserve"> el presente cuestionamiento. </w:t>
      </w:r>
    </w:p>
    <w:p w:rsidR="00640D1D" w:rsidRPr="00B84990" w:rsidRDefault="00640D1D" w:rsidP="006F5EB4">
      <w:pPr>
        <w:pStyle w:val="Textoindependiente2"/>
        <w:tabs>
          <w:tab w:val="left" w:pos="426"/>
          <w:tab w:val="left" w:pos="567"/>
        </w:tabs>
        <w:spacing w:after="0" w:line="240" w:lineRule="auto"/>
        <w:jc w:val="both"/>
        <w:rPr>
          <w:rFonts w:ascii="Times New Roman" w:hAnsi="Times New Roman" w:cs="Times New Roman"/>
          <w:sz w:val="24"/>
          <w:szCs w:val="24"/>
        </w:rPr>
      </w:pPr>
    </w:p>
    <w:p w:rsidR="00C95D61" w:rsidRPr="00B84990" w:rsidRDefault="00C95D61" w:rsidP="006F5EB4">
      <w:pPr>
        <w:widowControl w:val="0"/>
        <w:spacing w:after="0" w:line="240" w:lineRule="auto"/>
        <w:ind w:left="3969" w:hanging="3969"/>
        <w:jc w:val="both"/>
        <w:rPr>
          <w:rFonts w:ascii="Times New Roman" w:hAnsi="Times New Roman" w:cs="Times New Roman"/>
          <w:b/>
          <w:sz w:val="24"/>
          <w:szCs w:val="24"/>
        </w:rPr>
      </w:pPr>
      <w:r w:rsidRPr="00B84990">
        <w:rPr>
          <w:rFonts w:ascii="Times New Roman" w:hAnsi="Times New Roman" w:cs="Times New Roman"/>
          <w:b/>
          <w:sz w:val="24"/>
          <w:szCs w:val="24"/>
        </w:rPr>
        <w:t xml:space="preserve">Cuestionamiento N° 7   </w:t>
      </w:r>
      <w:r w:rsidRPr="00B84990">
        <w:rPr>
          <w:rFonts w:ascii="Times New Roman" w:hAnsi="Times New Roman" w:cs="Times New Roman"/>
          <w:b/>
          <w:sz w:val="24"/>
          <w:szCs w:val="24"/>
        </w:rPr>
        <w:tab/>
        <w:t>Contra el factor “Preferencia de Consumidores”</w:t>
      </w:r>
    </w:p>
    <w:p w:rsidR="00C95D61" w:rsidRPr="00B84990" w:rsidRDefault="00C95D61" w:rsidP="006F5EB4">
      <w:pPr>
        <w:spacing w:after="0" w:line="240" w:lineRule="auto"/>
        <w:jc w:val="both"/>
        <w:rPr>
          <w:rFonts w:ascii="Times New Roman" w:hAnsi="Times New Roman" w:cs="Times New Roman"/>
          <w:sz w:val="24"/>
          <w:szCs w:val="24"/>
        </w:rPr>
      </w:pPr>
    </w:p>
    <w:p w:rsidR="00CE77BC" w:rsidRPr="00B84990" w:rsidRDefault="00C95D61" w:rsidP="006F5EB4">
      <w:pPr>
        <w:pStyle w:val="Sinespaciado"/>
        <w:jc w:val="both"/>
        <w:rPr>
          <w:rFonts w:ascii="Times New Roman" w:hAnsi="Times New Roman" w:cs="Times New Roman"/>
          <w:sz w:val="24"/>
          <w:szCs w:val="24"/>
        </w:rPr>
      </w:pPr>
      <w:r w:rsidRPr="00B84990">
        <w:rPr>
          <w:rFonts w:ascii="Times New Roman" w:hAnsi="Times New Roman" w:cs="Times New Roman"/>
          <w:sz w:val="24"/>
          <w:szCs w:val="24"/>
        </w:rPr>
        <w:t>El recurrente cuestiona la ab</w:t>
      </w:r>
      <w:r w:rsidR="00441C04" w:rsidRPr="00B84990">
        <w:rPr>
          <w:rFonts w:ascii="Times New Roman" w:hAnsi="Times New Roman" w:cs="Times New Roman"/>
          <w:sz w:val="24"/>
          <w:szCs w:val="24"/>
        </w:rPr>
        <w:t>solución de la Observación N° 15</w:t>
      </w:r>
      <w:r w:rsidRPr="00B84990">
        <w:rPr>
          <w:rFonts w:ascii="Times New Roman" w:hAnsi="Times New Roman" w:cs="Times New Roman"/>
          <w:sz w:val="24"/>
          <w:szCs w:val="24"/>
        </w:rPr>
        <w:t xml:space="preserve"> formulada por el participante SOLUCIONES ALIMENTICIAS SAC,</w:t>
      </w:r>
      <w:r w:rsidR="005C5587" w:rsidRPr="00B84990">
        <w:rPr>
          <w:rFonts w:ascii="Times New Roman" w:hAnsi="Times New Roman" w:cs="Times New Roman"/>
          <w:sz w:val="24"/>
          <w:szCs w:val="24"/>
        </w:rPr>
        <w:t xml:space="preserve"> pues sostiene que los rangos de evaluación establecidos en el factor “Preferencia de Consumidores” no son correlativos, dado que no se ha previsto el puntaje para aquellos que tenga una preferencia de consumidores del valor de 94.01%  al 94.99%; por lo que, solicita corregir dicho aspecto. </w:t>
      </w:r>
    </w:p>
    <w:p w:rsidR="00CE77BC" w:rsidRPr="00B84990" w:rsidRDefault="00CE77BC" w:rsidP="006F5EB4">
      <w:pPr>
        <w:pStyle w:val="Sinespaciado"/>
        <w:jc w:val="both"/>
        <w:rPr>
          <w:rFonts w:ascii="Times New Roman" w:hAnsi="Times New Roman" w:cs="Times New Roman"/>
          <w:sz w:val="24"/>
          <w:szCs w:val="24"/>
        </w:rPr>
      </w:pPr>
    </w:p>
    <w:p w:rsidR="00DB5900" w:rsidRPr="00B84990" w:rsidRDefault="005C5587" w:rsidP="006F5EB4">
      <w:pPr>
        <w:pStyle w:val="Sinespaciado"/>
        <w:jc w:val="both"/>
        <w:rPr>
          <w:rFonts w:ascii="Times New Roman" w:hAnsi="Times New Roman" w:cs="Times New Roman"/>
          <w:b/>
          <w:sz w:val="24"/>
          <w:szCs w:val="24"/>
        </w:rPr>
      </w:pPr>
      <w:r w:rsidRPr="00B84990">
        <w:rPr>
          <w:rFonts w:ascii="Times New Roman" w:hAnsi="Times New Roman" w:cs="Times New Roman"/>
          <w:b/>
          <w:sz w:val="24"/>
          <w:szCs w:val="24"/>
        </w:rPr>
        <w:t xml:space="preserve">Pronunciamiento </w:t>
      </w:r>
    </w:p>
    <w:p w:rsidR="00DB5900" w:rsidRPr="00B84990" w:rsidRDefault="00DB5900" w:rsidP="006F5EB4">
      <w:pPr>
        <w:pStyle w:val="Sinespaciado"/>
        <w:jc w:val="both"/>
        <w:rPr>
          <w:rFonts w:ascii="Times New Roman" w:hAnsi="Times New Roman" w:cs="Times New Roman"/>
          <w:sz w:val="24"/>
          <w:szCs w:val="24"/>
        </w:rPr>
      </w:pPr>
    </w:p>
    <w:p w:rsidR="00441C04" w:rsidRPr="00B84990" w:rsidRDefault="00441C04" w:rsidP="006F5EB4">
      <w:pPr>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 xml:space="preserve">De la revisión del pliego absolutorio de observaciones se advierte que con ocasión de la absolución de la Observación N° 15 </w:t>
      </w:r>
      <w:r w:rsidR="005F69DA" w:rsidRPr="00B84990">
        <w:rPr>
          <w:rFonts w:ascii="Times New Roman" w:hAnsi="Times New Roman" w:cs="Times New Roman"/>
          <w:sz w:val="24"/>
          <w:szCs w:val="24"/>
        </w:rPr>
        <w:t xml:space="preserve">formulada por el participante SOLUCIONES ALIMENTICIAS SAC </w:t>
      </w:r>
      <w:r w:rsidRPr="00B84990">
        <w:rPr>
          <w:rFonts w:ascii="Times New Roman" w:hAnsi="Times New Roman" w:cs="Times New Roman"/>
          <w:sz w:val="24"/>
          <w:szCs w:val="24"/>
        </w:rPr>
        <w:t>el Comité Especial señaló que el factor de evaluación “Preferencia de Consumidores”</w:t>
      </w:r>
      <w:r w:rsidR="005F69DA" w:rsidRPr="00B84990">
        <w:rPr>
          <w:rFonts w:ascii="Times New Roman" w:hAnsi="Times New Roman" w:cs="Times New Roman"/>
          <w:sz w:val="24"/>
          <w:szCs w:val="24"/>
        </w:rPr>
        <w:t xml:space="preserve"> d</w:t>
      </w:r>
      <w:r w:rsidRPr="00B84990">
        <w:rPr>
          <w:rFonts w:ascii="Times New Roman" w:hAnsi="Times New Roman" w:cs="Times New Roman"/>
          <w:sz w:val="24"/>
          <w:szCs w:val="24"/>
        </w:rPr>
        <w:t xml:space="preserve">el ítem 2  quedaría de la siguiente manera: </w:t>
      </w:r>
    </w:p>
    <w:p w:rsidR="00CE77BC" w:rsidRPr="00B84990" w:rsidRDefault="00CE77BC" w:rsidP="006F5EB4">
      <w:pPr>
        <w:pStyle w:val="Sinespaciado"/>
        <w:jc w:val="both"/>
        <w:rPr>
          <w:rFonts w:ascii="Times New Roman" w:hAnsi="Times New Roman" w:cs="Times New Roman"/>
          <w:sz w:val="24"/>
          <w:szCs w:val="24"/>
        </w:rPr>
      </w:pPr>
    </w:p>
    <w:tbl>
      <w:tblPr>
        <w:tblW w:w="6114" w:type="dxa"/>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5388"/>
      </w:tblGrid>
      <w:tr w:rsidR="005569E3" w:rsidRPr="00B84990" w:rsidTr="00F84544">
        <w:trPr>
          <w:trHeight w:val="294"/>
        </w:trPr>
        <w:tc>
          <w:tcPr>
            <w:tcW w:w="726" w:type="dxa"/>
            <w:vMerge w:val="restart"/>
            <w:shd w:val="clear" w:color="auto" w:fill="auto"/>
            <w:noWrap/>
            <w:vAlign w:val="center"/>
          </w:tcPr>
          <w:p w:rsidR="005569E3" w:rsidRPr="00B84990" w:rsidRDefault="005569E3" w:rsidP="006F5EB4">
            <w:pPr>
              <w:spacing w:after="0" w:line="240" w:lineRule="auto"/>
              <w:jc w:val="center"/>
              <w:rPr>
                <w:rFonts w:ascii="Times New Roman" w:eastAsia="Batang" w:hAnsi="Times New Roman" w:cs="Times New Roman"/>
                <w:sz w:val="24"/>
                <w:szCs w:val="24"/>
                <w:lang w:eastAsia="en-US"/>
              </w:rPr>
            </w:pPr>
            <w:r w:rsidRPr="00B84990">
              <w:rPr>
                <w:rFonts w:ascii="Times New Roman" w:eastAsia="Batang" w:hAnsi="Times New Roman" w:cs="Times New Roman"/>
                <w:sz w:val="24"/>
                <w:szCs w:val="24"/>
                <w:lang w:eastAsia="en-US"/>
              </w:rPr>
              <w:t>B.1</w:t>
            </w:r>
          </w:p>
        </w:tc>
        <w:tc>
          <w:tcPr>
            <w:tcW w:w="5388" w:type="dxa"/>
            <w:shd w:val="clear" w:color="auto" w:fill="auto"/>
            <w:vAlign w:val="center"/>
          </w:tcPr>
          <w:p w:rsidR="005569E3" w:rsidRPr="00B84990" w:rsidRDefault="005569E3" w:rsidP="006F5EB4">
            <w:pPr>
              <w:spacing w:after="0" w:line="240" w:lineRule="auto"/>
              <w:rPr>
                <w:rFonts w:ascii="Times New Roman" w:eastAsia="Batang" w:hAnsi="Times New Roman" w:cs="Times New Roman"/>
                <w:b/>
                <w:bCs/>
                <w:sz w:val="24"/>
                <w:szCs w:val="24"/>
                <w:lang w:eastAsia="en-US"/>
              </w:rPr>
            </w:pPr>
            <w:r w:rsidRPr="00B84990">
              <w:rPr>
                <w:rFonts w:ascii="Times New Roman" w:eastAsia="Batang" w:hAnsi="Times New Roman" w:cs="Times New Roman"/>
                <w:b/>
                <w:bCs/>
                <w:sz w:val="24"/>
                <w:szCs w:val="24"/>
                <w:lang w:eastAsia="en-US"/>
              </w:rPr>
              <w:t>Preferencia de Consumidores</w:t>
            </w:r>
          </w:p>
        </w:tc>
      </w:tr>
      <w:tr w:rsidR="005569E3" w:rsidRPr="00B84990" w:rsidTr="00F84544">
        <w:trPr>
          <w:trHeight w:val="540"/>
        </w:trPr>
        <w:tc>
          <w:tcPr>
            <w:tcW w:w="726" w:type="dxa"/>
            <w:vMerge/>
            <w:shd w:val="clear" w:color="auto" w:fill="auto"/>
            <w:noWrap/>
            <w:vAlign w:val="center"/>
          </w:tcPr>
          <w:p w:rsidR="005569E3" w:rsidRPr="00B84990" w:rsidRDefault="005569E3" w:rsidP="006F5EB4">
            <w:pPr>
              <w:spacing w:after="0" w:line="240" w:lineRule="auto"/>
              <w:jc w:val="center"/>
              <w:rPr>
                <w:rFonts w:ascii="Times New Roman" w:eastAsia="Batang" w:hAnsi="Times New Roman" w:cs="Times New Roman"/>
                <w:sz w:val="24"/>
                <w:szCs w:val="24"/>
                <w:lang w:eastAsia="en-US"/>
              </w:rPr>
            </w:pPr>
          </w:p>
        </w:tc>
        <w:tc>
          <w:tcPr>
            <w:tcW w:w="5388" w:type="dxa"/>
            <w:shd w:val="clear" w:color="auto" w:fill="auto"/>
            <w:vAlign w:val="center"/>
          </w:tcPr>
          <w:p w:rsidR="005569E3" w:rsidRPr="00B84990" w:rsidRDefault="005569E3" w:rsidP="005569E3">
            <w:pPr>
              <w:spacing w:after="0" w:line="240" w:lineRule="auto"/>
              <w:rPr>
                <w:rFonts w:ascii="Times New Roman" w:eastAsia="Batang" w:hAnsi="Times New Roman" w:cs="Times New Roman"/>
                <w:sz w:val="24"/>
                <w:szCs w:val="24"/>
                <w:lang w:eastAsia="en-US"/>
              </w:rPr>
            </w:pPr>
            <w:r w:rsidRPr="00B84990">
              <w:rPr>
                <w:rFonts w:ascii="Times New Roman" w:eastAsia="Batang" w:hAnsi="Times New Roman" w:cs="Times New Roman"/>
                <w:sz w:val="24"/>
                <w:szCs w:val="24"/>
                <w:lang w:eastAsia="en-US"/>
              </w:rPr>
              <w:t>De 95.00% hasta 100.00%               08 Puntos</w:t>
            </w:r>
          </w:p>
          <w:p w:rsidR="005569E3" w:rsidRPr="00B84990" w:rsidRDefault="005569E3" w:rsidP="005569E3">
            <w:pPr>
              <w:spacing w:after="0" w:line="240" w:lineRule="auto"/>
              <w:rPr>
                <w:rFonts w:ascii="Times New Roman" w:eastAsia="Batang" w:hAnsi="Times New Roman" w:cs="Times New Roman"/>
                <w:b/>
                <w:bCs/>
                <w:sz w:val="24"/>
                <w:szCs w:val="24"/>
                <w:lang w:eastAsia="en-US"/>
              </w:rPr>
            </w:pPr>
            <w:r w:rsidRPr="00B84990">
              <w:rPr>
                <w:rFonts w:ascii="Times New Roman" w:eastAsia="Batang" w:hAnsi="Times New Roman" w:cs="Times New Roman"/>
                <w:sz w:val="24"/>
                <w:szCs w:val="24"/>
                <w:lang w:eastAsia="en-US"/>
              </w:rPr>
              <w:t>Mayor a 90.00 % a hasta 94.00%      04 Puntos</w:t>
            </w:r>
          </w:p>
        </w:tc>
      </w:tr>
    </w:tbl>
    <w:p w:rsidR="00E018EF" w:rsidRPr="00B84990" w:rsidRDefault="00E018EF" w:rsidP="006F5EB4">
      <w:pPr>
        <w:pStyle w:val="Sinespaciado"/>
        <w:jc w:val="both"/>
        <w:rPr>
          <w:rFonts w:ascii="Times New Roman" w:hAnsi="Times New Roman" w:cs="Times New Roman"/>
          <w:sz w:val="24"/>
          <w:szCs w:val="24"/>
        </w:rPr>
      </w:pPr>
    </w:p>
    <w:p w:rsidR="00E018EF" w:rsidRPr="00B84990" w:rsidRDefault="00BA2420" w:rsidP="006F5EB4">
      <w:pPr>
        <w:pStyle w:val="Sinespaciado"/>
        <w:jc w:val="both"/>
        <w:rPr>
          <w:rFonts w:ascii="Times New Roman" w:hAnsi="Times New Roman" w:cs="Times New Roman"/>
          <w:sz w:val="24"/>
          <w:szCs w:val="24"/>
        </w:rPr>
      </w:pPr>
      <w:r w:rsidRPr="00B84990">
        <w:rPr>
          <w:rFonts w:ascii="Times New Roman" w:hAnsi="Times New Roman" w:cs="Times New Roman"/>
          <w:sz w:val="24"/>
          <w:szCs w:val="24"/>
        </w:rPr>
        <w:t xml:space="preserve">En el Informe Técnico N° 004-2015/MDNCH, remitido con ocasión de la elevación de las Bases, el Comité Especial señaló: </w:t>
      </w:r>
      <w:r w:rsidRPr="00B84990">
        <w:rPr>
          <w:rFonts w:ascii="Times New Roman" w:hAnsi="Times New Roman" w:cs="Times New Roman"/>
          <w:i/>
          <w:sz w:val="24"/>
          <w:szCs w:val="24"/>
        </w:rPr>
        <w:t>“Efectivamente existe una falla en los rangos de evaluación de la evaluación, serán corregidos en la integración de bases”.</w:t>
      </w:r>
      <w:r w:rsidRPr="00B84990">
        <w:rPr>
          <w:rFonts w:ascii="Times New Roman" w:hAnsi="Times New Roman" w:cs="Times New Roman"/>
          <w:sz w:val="24"/>
          <w:szCs w:val="24"/>
        </w:rPr>
        <w:t xml:space="preserve"> </w:t>
      </w:r>
    </w:p>
    <w:p w:rsidR="00E018EF" w:rsidRPr="00B84990" w:rsidRDefault="00E018EF" w:rsidP="006F5EB4">
      <w:pPr>
        <w:pStyle w:val="Sinespaciado"/>
        <w:jc w:val="both"/>
        <w:rPr>
          <w:rFonts w:ascii="Times New Roman" w:hAnsi="Times New Roman" w:cs="Times New Roman"/>
          <w:sz w:val="24"/>
          <w:szCs w:val="24"/>
        </w:rPr>
      </w:pPr>
    </w:p>
    <w:p w:rsidR="00BA2420" w:rsidRPr="00B84990" w:rsidRDefault="00BA2420" w:rsidP="006F5EB4">
      <w:pPr>
        <w:spacing w:after="0" w:line="240" w:lineRule="auto"/>
        <w:jc w:val="both"/>
        <w:rPr>
          <w:rFonts w:ascii="Times New Roman" w:hAnsi="Times New Roman" w:cs="Times New Roman"/>
          <w:sz w:val="24"/>
          <w:szCs w:val="24"/>
          <w:lang w:val="es-MX"/>
        </w:rPr>
      </w:pPr>
      <w:r w:rsidRPr="00B84990">
        <w:rPr>
          <w:rFonts w:ascii="Times New Roman" w:hAnsi="Times New Roman" w:cs="Times New Roman"/>
          <w:sz w:val="24"/>
          <w:szCs w:val="24"/>
        </w:rPr>
        <w:t xml:space="preserve">Al respecto, </w:t>
      </w:r>
      <w:r w:rsidRPr="00B84990">
        <w:rPr>
          <w:rFonts w:ascii="Times New Roman" w:hAnsi="Times New Roman" w:cs="Times New Roman"/>
          <w:sz w:val="24"/>
          <w:szCs w:val="24"/>
          <w:lang w:val="es-MX"/>
        </w:rPr>
        <w:t>en el artículo 43 del Reglamento se establece que es responsabilidad del Comité Especial  la determinación de los factores de evaluación técnicos, los que deben ser objetivos y congruentes con el objeto de la convocatoria, debiendo sujetarse a criterios de razonabilidad y proporcionalidad.</w:t>
      </w:r>
    </w:p>
    <w:p w:rsidR="00E018EF" w:rsidRPr="00B84990" w:rsidRDefault="00E018EF" w:rsidP="006F5EB4">
      <w:pPr>
        <w:pStyle w:val="Sinespaciado"/>
        <w:jc w:val="both"/>
        <w:rPr>
          <w:rFonts w:ascii="Times New Roman" w:hAnsi="Times New Roman" w:cs="Times New Roman"/>
          <w:sz w:val="24"/>
          <w:szCs w:val="24"/>
          <w:lang w:val="es-MX"/>
        </w:rPr>
      </w:pPr>
    </w:p>
    <w:p w:rsidR="003A7403" w:rsidRDefault="00672B4C" w:rsidP="006F5EB4">
      <w:pPr>
        <w:pStyle w:val="Sinespaciado"/>
        <w:jc w:val="both"/>
        <w:rPr>
          <w:rFonts w:ascii="Times New Roman" w:hAnsi="Times New Roman" w:cs="Times New Roman"/>
          <w:sz w:val="24"/>
          <w:szCs w:val="24"/>
        </w:rPr>
      </w:pPr>
      <w:r w:rsidRPr="00B84990">
        <w:rPr>
          <w:rFonts w:ascii="Times New Roman" w:hAnsi="Times New Roman" w:cs="Times New Roman"/>
          <w:sz w:val="24"/>
          <w:szCs w:val="24"/>
        </w:rPr>
        <w:t xml:space="preserve">De lo expuesto se advierte que al absolver la Observación N° 15 el Comité Especial omitió precisar el puntaje que recibiría aquel postor que tenga una preferencia de consumidores del valor de 94.01%  al 94.99%; no obstante, se advierte que dicho colegiado en el informe técnico aclaró que se corregirá tal incongruencia con ocasión de la integración de las Bases. Por lo tanto, </w:t>
      </w:r>
      <w:r w:rsidR="00BA2420" w:rsidRPr="00B84990">
        <w:rPr>
          <w:rFonts w:ascii="Times New Roman" w:hAnsi="Times New Roman" w:cs="Times New Roman"/>
          <w:sz w:val="24"/>
          <w:szCs w:val="24"/>
        </w:rPr>
        <w:t xml:space="preserve">este Organismo Supervisor ha decidido </w:t>
      </w:r>
      <w:r w:rsidR="00BA2420" w:rsidRPr="00B84990">
        <w:rPr>
          <w:rFonts w:ascii="Times New Roman" w:hAnsi="Times New Roman" w:cs="Times New Roman"/>
          <w:b/>
          <w:sz w:val="24"/>
          <w:szCs w:val="24"/>
        </w:rPr>
        <w:t>ACOGER</w:t>
      </w:r>
      <w:r w:rsidR="00BA2420" w:rsidRPr="00B84990">
        <w:rPr>
          <w:rFonts w:ascii="Times New Roman" w:hAnsi="Times New Roman" w:cs="Times New Roman"/>
          <w:sz w:val="24"/>
          <w:szCs w:val="24"/>
        </w:rPr>
        <w:t xml:space="preserve"> el presente cuestionamiento. En consecuencia, con ocasión de la integración de las Bases, </w:t>
      </w:r>
      <w:r w:rsidR="005F69DA" w:rsidRPr="00B84990">
        <w:rPr>
          <w:rFonts w:ascii="Times New Roman" w:hAnsi="Times New Roman" w:cs="Times New Roman"/>
          <w:b/>
          <w:sz w:val="24"/>
          <w:szCs w:val="24"/>
          <w:u w:val="single"/>
        </w:rPr>
        <w:t>deberán</w:t>
      </w:r>
      <w:r w:rsidR="00BA2420" w:rsidRPr="00B84990">
        <w:rPr>
          <w:rFonts w:ascii="Times New Roman" w:hAnsi="Times New Roman" w:cs="Times New Roman"/>
          <w:b/>
          <w:sz w:val="24"/>
          <w:szCs w:val="24"/>
          <w:u w:val="single"/>
        </w:rPr>
        <w:t xml:space="preserve"> adecuarse</w:t>
      </w:r>
      <w:r w:rsidR="00BA2420" w:rsidRPr="00B84990">
        <w:rPr>
          <w:rFonts w:ascii="Times New Roman" w:hAnsi="Times New Roman" w:cs="Times New Roman"/>
          <w:sz w:val="24"/>
          <w:szCs w:val="24"/>
        </w:rPr>
        <w:t xml:space="preserve"> los rangos evaluación del factor  “Preferencia de Consumidores”</w:t>
      </w:r>
      <w:r w:rsidR="005F69DA" w:rsidRPr="00B84990">
        <w:rPr>
          <w:rFonts w:ascii="Times New Roman" w:hAnsi="Times New Roman" w:cs="Times New Roman"/>
          <w:sz w:val="24"/>
          <w:szCs w:val="24"/>
        </w:rPr>
        <w:t xml:space="preserve"> del ítem 2</w:t>
      </w:r>
      <w:r w:rsidRPr="00B84990">
        <w:rPr>
          <w:rFonts w:ascii="Times New Roman" w:hAnsi="Times New Roman" w:cs="Times New Roman"/>
          <w:sz w:val="24"/>
          <w:szCs w:val="24"/>
        </w:rPr>
        <w:t xml:space="preserve">, de tal forma que se señale lo siguiente:  </w:t>
      </w:r>
      <w:r w:rsidR="005F69DA" w:rsidRPr="00B84990">
        <w:rPr>
          <w:rFonts w:ascii="Times New Roman" w:hAnsi="Times New Roman" w:cs="Times New Roman"/>
          <w:sz w:val="24"/>
          <w:szCs w:val="24"/>
        </w:rPr>
        <w:t xml:space="preserve"> </w:t>
      </w:r>
    </w:p>
    <w:p w:rsidR="000A688B" w:rsidRDefault="00F84544" w:rsidP="006F5EB4">
      <w:pPr>
        <w:pStyle w:val="Sinespaciado"/>
        <w:jc w:val="both"/>
        <w:rPr>
          <w:rFonts w:ascii="Times New Roman" w:hAnsi="Times New Roman" w:cs="Times New Roman"/>
          <w:sz w:val="24"/>
          <w:szCs w:val="24"/>
        </w:rPr>
      </w:pPr>
      <w:r>
        <w:rPr>
          <w:rFonts w:ascii="Times New Roman" w:hAnsi="Times New Roman" w:cs="Times New Roman"/>
          <w:noProof/>
          <w:sz w:val="24"/>
          <w:szCs w:val="24"/>
          <w:lang w:eastAsia="es-PE"/>
        </w:rPr>
        <w:drawing>
          <wp:anchor distT="0" distB="0" distL="114300" distR="114300" simplePos="0" relativeHeight="251658240" behindDoc="1" locked="0" layoutInCell="1" allowOverlap="1" wp14:anchorId="256B3933" wp14:editId="1D7E1865">
            <wp:simplePos x="0" y="0"/>
            <wp:positionH relativeFrom="margin">
              <wp:posOffset>405764</wp:posOffset>
            </wp:positionH>
            <wp:positionV relativeFrom="paragraph">
              <wp:posOffset>124778</wp:posOffset>
            </wp:positionV>
            <wp:extent cx="3910013" cy="833755"/>
            <wp:effectExtent l="0" t="0" r="0" b="444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11963" cy="83417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4544" w:rsidRDefault="00F84544" w:rsidP="006F5EB4">
      <w:pPr>
        <w:pStyle w:val="Sinespaciado"/>
        <w:jc w:val="both"/>
        <w:rPr>
          <w:rFonts w:ascii="Times New Roman" w:hAnsi="Times New Roman" w:cs="Times New Roman"/>
          <w:sz w:val="24"/>
          <w:szCs w:val="24"/>
        </w:rPr>
      </w:pPr>
    </w:p>
    <w:p w:rsidR="00F84544" w:rsidRDefault="00F84544" w:rsidP="006F5EB4">
      <w:pPr>
        <w:pStyle w:val="Sinespaciado"/>
        <w:jc w:val="both"/>
        <w:rPr>
          <w:rFonts w:ascii="Times New Roman" w:hAnsi="Times New Roman" w:cs="Times New Roman"/>
          <w:sz w:val="24"/>
          <w:szCs w:val="24"/>
        </w:rPr>
      </w:pPr>
    </w:p>
    <w:p w:rsidR="00F84544" w:rsidRDefault="00F84544" w:rsidP="006F5EB4">
      <w:pPr>
        <w:pStyle w:val="Sinespaciado"/>
        <w:jc w:val="both"/>
        <w:rPr>
          <w:rFonts w:ascii="Times New Roman" w:hAnsi="Times New Roman" w:cs="Times New Roman"/>
          <w:sz w:val="24"/>
          <w:szCs w:val="24"/>
        </w:rPr>
      </w:pPr>
    </w:p>
    <w:p w:rsidR="00F651BD" w:rsidRPr="00B84990" w:rsidRDefault="00F651BD" w:rsidP="006F5EB4">
      <w:pPr>
        <w:widowControl w:val="0"/>
        <w:numPr>
          <w:ilvl w:val="0"/>
          <w:numId w:val="1"/>
        </w:numPr>
        <w:spacing w:after="0" w:line="240" w:lineRule="auto"/>
        <w:ind w:left="567" w:hanging="567"/>
        <w:jc w:val="both"/>
        <w:rPr>
          <w:rFonts w:ascii="Times New Roman" w:hAnsi="Times New Roman" w:cs="Times New Roman"/>
          <w:sz w:val="24"/>
          <w:szCs w:val="24"/>
          <w:lang w:val="es-MX"/>
        </w:rPr>
      </w:pPr>
      <w:r w:rsidRPr="00B84990">
        <w:rPr>
          <w:rFonts w:ascii="Times New Roman" w:hAnsi="Times New Roman" w:cs="Times New Roman"/>
          <w:b/>
          <w:sz w:val="24"/>
          <w:szCs w:val="24"/>
        </w:rPr>
        <w:lastRenderedPageBreak/>
        <w:t xml:space="preserve">CONTENIDO DE LAS BASES CONTRARIO A LA NORMATIVA SOBRE  CONTRATACIONES DEL ESTADO </w:t>
      </w:r>
    </w:p>
    <w:p w:rsidR="00F651BD" w:rsidRPr="00B84990" w:rsidRDefault="00F651BD" w:rsidP="006F5EB4">
      <w:pPr>
        <w:widowControl w:val="0"/>
        <w:tabs>
          <w:tab w:val="left" w:pos="540"/>
        </w:tabs>
        <w:spacing w:after="0" w:line="240" w:lineRule="auto"/>
        <w:jc w:val="both"/>
        <w:rPr>
          <w:rFonts w:ascii="Times New Roman" w:eastAsia="Times New Roman" w:hAnsi="Times New Roman" w:cs="Times New Roman"/>
          <w:sz w:val="24"/>
          <w:szCs w:val="24"/>
          <w:lang w:val="es-MX" w:eastAsia="es-MX"/>
        </w:rPr>
      </w:pPr>
      <w:r w:rsidRPr="00B84990">
        <w:rPr>
          <w:rFonts w:ascii="Times New Roman" w:eastAsia="Times New Roman" w:hAnsi="Times New Roman" w:cs="Times New Roman"/>
          <w:sz w:val="24"/>
          <w:szCs w:val="24"/>
          <w:lang w:val="es-MX" w:eastAsia="es-MX"/>
        </w:rPr>
        <w:t xml:space="preserve"> </w:t>
      </w:r>
    </w:p>
    <w:p w:rsidR="00F651BD" w:rsidRPr="00B84990" w:rsidRDefault="00F651BD" w:rsidP="006F5EB4">
      <w:pPr>
        <w:widowControl w:val="0"/>
        <w:tabs>
          <w:tab w:val="left" w:pos="540"/>
        </w:tabs>
        <w:spacing w:after="0" w:line="240" w:lineRule="auto"/>
        <w:jc w:val="both"/>
        <w:rPr>
          <w:rFonts w:ascii="Times New Roman" w:eastAsia="Calibri" w:hAnsi="Times New Roman" w:cs="Times New Roman"/>
          <w:sz w:val="24"/>
          <w:szCs w:val="24"/>
          <w:lang w:val="es-MX" w:eastAsia="es-MX"/>
        </w:rPr>
      </w:pPr>
      <w:r w:rsidRPr="00B84990">
        <w:rPr>
          <w:rFonts w:ascii="Times New Roman" w:hAnsi="Times New Roman" w:cs="Times New Roman"/>
          <w:sz w:val="24"/>
          <w:szCs w:val="24"/>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F651BD" w:rsidRPr="00B84990" w:rsidRDefault="00F651BD" w:rsidP="006F5EB4">
      <w:pPr>
        <w:widowControl w:val="0"/>
        <w:tabs>
          <w:tab w:val="left" w:pos="540"/>
        </w:tabs>
        <w:spacing w:after="0" w:line="240" w:lineRule="auto"/>
        <w:jc w:val="both"/>
        <w:rPr>
          <w:rFonts w:ascii="Times New Roman" w:hAnsi="Times New Roman" w:cs="Times New Roman"/>
          <w:sz w:val="24"/>
          <w:szCs w:val="24"/>
          <w:lang w:val="es-MX" w:eastAsia="es-MX"/>
        </w:rPr>
      </w:pPr>
    </w:p>
    <w:p w:rsidR="00F91F1C" w:rsidRPr="00B84990" w:rsidRDefault="00802FC1" w:rsidP="006F5EB4">
      <w:pPr>
        <w:pStyle w:val="Prrafodelista"/>
        <w:widowControl w:val="0"/>
        <w:numPr>
          <w:ilvl w:val="1"/>
          <w:numId w:val="16"/>
        </w:numPr>
        <w:spacing w:after="0" w:line="240" w:lineRule="auto"/>
        <w:contextualSpacing/>
        <w:jc w:val="both"/>
        <w:rPr>
          <w:rFonts w:ascii="Times New Roman" w:hAnsi="Times New Roman" w:cs="Times New Roman"/>
          <w:b/>
          <w:sz w:val="24"/>
          <w:szCs w:val="24"/>
        </w:rPr>
      </w:pPr>
      <w:r w:rsidRPr="00B84990">
        <w:rPr>
          <w:rFonts w:ascii="Times New Roman" w:hAnsi="Times New Roman" w:cs="Times New Roman"/>
          <w:b/>
          <w:sz w:val="24"/>
          <w:szCs w:val="24"/>
        </w:rPr>
        <w:t xml:space="preserve"> </w:t>
      </w:r>
      <w:r w:rsidR="00F91F1C" w:rsidRPr="00B84990">
        <w:rPr>
          <w:rFonts w:ascii="Times New Roman" w:hAnsi="Times New Roman" w:cs="Times New Roman"/>
          <w:b/>
          <w:sz w:val="24"/>
          <w:szCs w:val="24"/>
        </w:rPr>
        <w:t>Comité Especial y Requerimiento Técnicos Mínimos</w:t>
      </w:r>
    </w:p>
    <w:p w:rsidR="00F91F1C" w:rsidRPr="00B84990" w:rsidRDefault="00F91F1C" w:rsidP="006F5EB4">
      <w:pPr>
        <w:widowControl w:val="0"/>
        <w:spacing w:after="0" w:line="240" w:lineRule="auto"/>
        <w:contextualSpacing/>
        <w:jc w:val="both"/>
        <w:rPr>
          <w:rFonts w:ascii="Times New Roman" w:hAnsi="Times New Roman" w:cs="Times New Roman"/>
          <w:b/>
          <w:sz w:val="24"/>
          <w:szCs w:val="24"/>
        </w:rPr>
      </w:pPr>
    </w:p>
    <w:p w:rsidR="00F91F1C" w:rsidRPr="00B84990" w:rsidRDefault="00F91F1C" w:rsidP="006F5EB4">
      <w:pPr>
        <w:widowControl w:val="0"/>
        <w:spacing w:after="0" w:line="240" w:lineRule="auto"/>
        <w:contextualSpacing/>
        <w:jc w:val="both"/>
        <w:rPr>
          <w:rFonts w:ascii="Times New Roman" w:hAnsi="Times New Roman" w:cs="Times New Roman"/>
          <w:sz w:val="24"/>
          <w:szCs w:val="24"/>
        </w:rPr>
      </w:pPr>
      <w:r w:rsidRPr="00B84990">
        <w:rPr>
          <w:rFonts w:ascii="Times New Roman" w:hAnsi="Times New Roman" w:cs="Times New Roman"/>
          <w:sz w:val="24"/>
          <w:szCs w:val="24"/>
        </w:rPr>
        <w:t xml:space="preserve">De la revisión del pliego absolutorio de observaciones se advierte que en atención a las diversas observaciones formuladas por los participantes las características técnicas de los productos del ítem 1 fueron objeto de modificación. </w:t>
      </w:r>
    </w:p>
    <w:p w:rsidR="00F91F1C" w:rsidRPr="00B84990" w:rsidRDefault="00F91F1C" w:rsidP="006F5EB4">
      <w:pPr>
        <w:widowControl w:val="0"/>
        <w:spacing w:after="0" w:line="240" w:lineRule="auto"/>
        <w:contextualSpacing/>
        <w:jc w:val="both"/>
        <w:rPr>
          <w:rFonts w:ascii="Times New Roman" w:hAnsi="Times New Roman" w:cs="Times New Roman"/>
          <w:sz w:val="24"/>
          <w:szCs w:val="24"/>
        </w:rPr>
      </w:pPr>
    </w:p>
    <w:p w:rsidR="00F91F1C" w:rsidRPr="00B84990" w:rsidRDefault="00F91F1C" w:rsidP="006F5EB4">
      <w:pPr>
        <w:widowControl w:val="0"/>
        <w:spacing w:after="0" w:line="240" w:lineRule="auto"/>
        <w:contextualSpacing/>
        <w:jc w:val="both"/>
        <w:rPr>
          <w:rFonts w:ascii="Times New Roman" w:hAnsi="Times New Roman" w:cs="Times New Roman"/>
          <w:sz w:val="24"/>
          <w:szCs w:val="24"/>
        </w:rPr>
      </w:pPr>
      <w:r w:rsidRPr="00B84990">
        <w:rPr>
          <w:rFonts w:ascii="Times New Roman" w:hAnsi="Times New Roman" w:cs="Times New Roman"/>
          <w:sz w:val="24"/>
          <w:szCs w:val="24"/>
        </w:rPr>
        <w:t>Al respecto, considerando que toda modificación de las especificaciones técnicas de los productos objeto de contratación deben contar con la a</w:t>
      </w:r>
      <w:r w:rsidR="005569E3" w:rsidRPr="00B84990">
        <w:rPr>
          <w:rFonts w:ascii="Times New Roman" w:hAnsi="Times New Roman" w:cs="Times New Roman"/>
          <w:sz w:val="24"/>
          <w:szCs w:val="24"/>
        </w:rPr>
        <w:t xml:space="preserve">probación del área usuaria y debe considerarse que tales modificaciones no deben alterar </w:t>
      </w:r>
      <w:r w:rsidRPr="00B84990">
        <w:rPr>
          <w:rFonts w:ascii="Times New Roman" w:hAnsi="Times New Roman" w:cs="Times New Roman"/>
          <w:sz w:val="24"/>
          <w:szCs w:val="24"/>
        </w:rPr>
        <w:t xml:space="preserve">el estudio de las posibilidades que ofrece el mercado, en atención al Principio de Transparencia, </w:t>
      </w:r>
      <w:r w:rsidRPr="00B84990">
        <w:rPr>
          <w:rFonts w:ascii="Times New Roman" w:hAnsi="Times New Roman" w:cs="Times New Roman"/>
          <w:b/>
          <w:sz w:val="24"/>
          <w:szCs w:val="24"/>
          <w:u w:val="single"/>
        </w:rPr>
        <w:t>deberá registrarse</w:t>
      </w:r>
      <w:r w:rsidRPr="00B84990">
        <w:rPr>
          <w:rFonts w:ascii="Times New Roman" w:hAnsi="Times New Roman" w:cs="Times New Roman"/>
          <w:sz w:val="24"/>
          <w:szCs w:val="24"/>
        </w:rPr>
        <w:t xml:space="preserve"> en el SEACE la información de la cual se desprenda que las modificaciones realizadas en atención a las referidas observaciones fueron </w:t>
      </w:r>
      <w:r w:rsidRPr="00B84990">
        <w:rPr>
          <w:rFonts w:ascii="Times New Roman" w:hAnsi="Times New Roman" w:cs="Times New Roman"/>
          <w:sz w:val="24"/>
          <w:szCs w:val="24"/>
          <w:u w:val="single"/>
        </w:rPr>
        <w:t>aprobadas por el área usuaria y no afecta</w:t>
      </w:r>
      <w:r w:rsidR="005569E3" w:rsidRPr="00B84990">
        <w:rPr>
          <w:rFonts w:ascii="Times New Roman" w:hAnsi="Times New Roman" w:cs="Times New Roman"/>
          <w:sz w:val="24"/>
          <w:szCs w:val="24"/>
          <w:u w:val="single"/>
        </w:rPr>
        <w:t>n</w:t>
      </w:r>
      <w:r w:rsidRPr="00B84990">
        <w:rPr>
          <w:rFonts w:ascii="Times New Roman" w:hAnsi="Times New Roman" w:cs="Times New Roman"/>
          <w:sz w:val="24"/>
          <w:szCs w:val="24"/>
          <w:u w:val="single"/>
        </w:rPr>
        <w:t xml:space="preserve"> la pluralidad de proveedores y marcas declarada en el Resumen Ejecutivo.  </w:t>
      </w:r>
    </w:p>
    <w:p w:rsidR="00F91F1C" w:rsidRPr="00B84990" w:rsidRDefault="00F91F1C" w:rsidP="006F5EB4">
      <w:pPr>
        <w:pStyle w:val="Prrafodelista"/>
        <w:widowControl w:val="0"/>
        <w:spacing w:after="0" w:line="240" w:lineRule="auto"/>
        <w:ind w:left="360"/>
        <w:contextualSpacing/>
        <w:jc w:val="both"/>
        <w:rPr>
          <w:rFonts w:ascii="Times New Roman" w:hAnsi="Times New Roman" w:cs="Times New Roman"/>
          <w:b/>
          <w:sz w:val="24"/>
          <w:szCs w:val="24"/>
        </w:rPr>
      </w:pPr>
    </w:p>
    <w:p w:rsidR="009F2A31" w:rsidRPr="00B84990" w:rsidRDefault="009F2A31" w:rsidP="006F5EB4">
      <w:pPr>
        <w:pStyle w:val="Prrafodelista"/>
        <w:widowControl w:val="0"/>
        <w:numPr>
          <w:ilvl w:val="1"/>
          <w:numId w:val="16"/>
        </w:numPr>
        <w:spacing w:after="0" w:line="240" w:lineRule="auto"/>
        <w:contextualSpacing/>
        <w:jc w:val="both"/>
        <w:rPr>
          <w:rFonts w:ascii="Times New Roman" w:hAnsi="Times New Roman" w:cs="Times New Roman"/>
          <w:b/>
          <w:sz w:val="24"/>
          <w:szCs w:val="24"/>
        </w:rPr>
      </w:pPr>
      <w:r w:rsidRPr="00B84990">
        <w:rPr>
          <w:rFonts w:ascii="Times New Roman" w:hAnsi="Times New Roman" w:cs="Times New Roman"/>
          <w:b/>
          <w:sz w:val="24"/>
          <w:szCs w:val="24"/>
        </w:rPr>
        <w:t xml:space="preserve"> Pliego absolutorio de observaciones</w:t>
      </w:r>
    </w:p>
    <w:p w:rsidR="009F2A31" w:rsidRPr="00B84990" w:rsidRDefault="009F2A31" w:rsidP="006F5EB4">
      <w:pPr>
        <w:pStyle w:val="Prrafodelista"/>
        <w:widowControl w:val="0"/>
        <w:spacing w:after="0" w:line="240" w:lineRule="auto"/>
        <w:ind w:left="360"/>
        <w:contextualSpacing/>
        <w:jc w:val="both"/>
        <w:rPr>
          <w:rFonts w:ascii="Times New Roman" w:hAnsi="Times New Roman" w:cs="Times New Roman"/>
          <w:b/>
          <w:sz w:val="24"/>
          <w:szCs w:val="24"/>
        </w:rPr>
      </w:pPr>
    </w:p>
    <w:p w:rsidR="00B84990" w:rsidRPr="00B84990" w:rsidRDefault="00082084" w:rsidP="00082084">
      <w:pPr>
        <w:pStyle w:val="Prrafodelista"/>
        <w:widowControl w:val="0"/>
        <w:numPr>
          <w:ilvl w:val="0"/>
          <w:numId w:val="22"/>
        </w:numPr>
        <w:spacing w:after="0" w:line="240" w:lineRule="auto"/>
        <w:ind w:left="426"/>
        <w:contextualSpacing/>
        <w:jc w:val="both"/>
        <w:rPr>
          <w:rFonts w:ascii="Times New Roman" w:eastAsia="Calibri" w:hAnsi="Times New Roman" w:cs="Times New Roman"/>
          <w:sz w:val="24"/>
          <w:szCs w:val="24"/>
        </w:rPr>
      </w:pPr>
      <w:r w:rsidRPr="00B84990">
        <w:rPr>
          <w:rFonts w:ascii="Times New Roman" w:eastAsia="Calibri" w:hAnsi="Times New Roman" w:cs="Times New Roman"/>
          <w:sz w:val="24"/>
          <w:szCs w:val="24"/>
        </w:rPr>
        <w:t>De la revisión del pliego absolutorio de observaciones se advierte que el participante</w:t>
      </w:r>
      <w:r w:rsidRPr="00B84990">
        <w:rPr>
          <w:rFonts w:ascii="Times New Roman" w:hAnsi="Times New Roman" w:cs="Times New Roman"/>
          <w:sz w:val="24"/>
          <w:szCs w:val="24"/>
        </w:rPr>
        <w:t xml:space="preserve"> PERUAR SRL  a través de sus Observaciones N° 1 y 2 solicitó aceptar la presentación de declaraciones juradas a efectos de acreditar los documentos requeridos en los literal j) y k) para el ítem 1 y  en los literales t) y u) para el ítem 2, los cuales son: i) Copia del </w:t>
      </w:r>
      <w:r w:rsidRPr="00B84990">
        <w:rPr>
          <w:rFonts w:ascii="Times New Roman" w:eastAsia="Batang" w:hAnsi="Times New Roman" w:cs="Times New Roman"/>
          <w:color w:val="000000"/>
          <w:sz w:val="24"/>
          <w:szCs w:val="24"/>
          <w:lang w:val="es-ES" w:eastAsia="es-PE"/>
        </w:rPr>
        <w:t xml:space="preserve">Certificado para acreditar los componentes Físico Químico, Organoléptico, Microbiológico y Saponinas, y ii) </w:t>
      </w:r>
      <w:r w:rsidRPr="00B84990">
        <w:rPr>
          <w:rFonts w:ascii="Times New Roman" w:hAnsi="Times New Roman" w:cs="Times New Roman"/>
          <w:sz w:val="24"/>
          <w:szCs w:val="24"/>
          <w:lang w:val="es-ES"/>
        </w:rPr>
        <w:t>Copia del Certificado de Micronutrientes no oficial referido al producto. Al respecto, se advierte que el Comité Especial aceptó l</w:t>
      </w:r>
      <w:r w:rsidR="00B84990" w:rsidRPr="00B84990">
        <w:rPr>
          <w:rFonts w:ascii="Times New Roman" w:hAnsi="Times New Roman" w:cs="Times New Roman"/>
          <w:sz w:val="24"/>
          <w:szCs w:val="24"/>
          <w:lang w:val="es-ES"/>
        </w:rPr>
        <w:t xml:space="preserve">o solicitado, sin perjuicio de requerir la presentación de dichos certificados en la oportunidad de cada entrega. </w:t>
      </w:r>
    </w:p>
    <w:p w:rsidR="00B84990" w:rsidRPr="00B84990" w:rsidRDefault="00B84990" w:rsidP="00B84990">
      <w:pPr>
        <w:pStyle w:val="Prrafodelista"/>
        <w:widowControl w:val="0"/>
        <w:spacing w:after="0" w:line="240" w:lineRule="auto"/>
        <w:ind w:left="426"/>
        <w:contextualSpacing/>
        <w:jc w:val="both"/>
        <w:rPr>
          <w:rFonts w:ascii="Times New Roman" w:eastAsia="Calibri" w:hAnsi="Times New Roman" w:cs="Times New Roman"/>
          <w:sz w:val="24"/>
          <w:szCs w:val="24"/>
        </w:rPr>
      </w:pPr>
    </w:p>
    <w:p w:rsidR="00082084" w:rsidRPr="00B84990" w:rsidRDefault="00B84990" w:rsidP="00B84990">
      <w:pPr>
        <w:pStyle w:val="Prrafodelista"/>
        <w:widowControl w:val="0"/>
        <w:spacing w:after="0" w:line="240" w:lineRule="auto"/>
        <w:ind w:left="426"/>
        <w:contextualSpacing/>
        <w:jc w:val="both"/>
        <w:rPr>
          <w:rFonts w:ascii="Times New Roman" w:eastAsia="Calibri" w:hAnsi="Times New Roman" w:cs="Times New Roman"/>
          <w:sz w:val="24"/>
          <w:szCs w:val="24"/>
        </w:rPr>
      </w:pPr>
      <w:r w:rsidRPr="00B84990">
        <w:rPr>
          <w:rFonts w:ascii="Times New Roman" w:eastAsia="Calibri" w:hAnsi="Times New Roman" w:cs="Times New Roman"/>
          <w:sz w:val="24"/>
          <w:szCs w:val="24"/>
        </w:rPr>
        <w:t xml:space="preserve">Siendo ello así, </w:t>
      </w:r>
      <w:r w:rsidRPr="00B84990">
        <w:rPr>
          <w:rFonts w:ascii="Times New Roman" w:eastAsia="Calibri" w:hAnsi="Times New Roman" w:cs="Times New Roman"/>
          <w:b/>
          <w:sz w:val="24"/>
          <w:szCs w:val="24"/>
          <w:u w:val="single"/>
        </w:rPr>
        <w:t>deberá precisarse</w:t>
      </w:r>
      <w:r w:rsidRPr="00B84990">
        <w:rPr>
          <w:rFonts w:ascii="Times New Roman" w:eastAsia="Calibri" w:hAnsi="Times New Roman" w:cs="Times New Roman"/>
          <w:sz w:val="24"/>
          <w:szCs w:val="24"/>
        </w:rPr>
        <w:t xml:space="preserve"> en el factor de evaluación “Valores Nutricionales”, tanto del ítem 1 como ítem 2, que se aceptar la presentación de declaraciones juradas a efectos de acreditar el cumplimiento del referido factor de evaluación.  </w:t>
      </w:r>
    </w:p>
    <w:p w:rsidR="00082084" w:rsidRPr="00B84990" w:rsidRDefault="00082084" w:rsidP="00082084">
      <w:pPr>
        <w:pStyle w:val="Prrafodelista"/>
        <w:widowControl w:val="0"/>
        <w:spacing w:after="0" w:line="240" w:lineRule="auto"/>
        <w:ind w:left="426"/>
        <w:contextualSpacing/>
        <w:jc w:val="both"/>
        <w:rPr>
          <w:rFonts w:ascii="Times New Roman" w:eastAsia="Calibri" w:hAnsi="Times New Roman" w:cs="Times New Roman"/>
          <w:i/>
          <w:sz w:val="24"/>
          <w:szCs w:val="24"/>
        </w:rPr>
      </w:pPr>
    </w:p>
    <w:p w:rsidR="0097034A" w:rsidRPr="00B84990" w:rsidRDefault="0097034A" w:rsidP="00D60B22">
      <w:pPr>
        <w:pStyle w:val="Prrafodelista"/>
        <w:widowControl w:val="0"/>
        <w:numPr>
          <w:ilvl w:val="0"/>
          <w:numId w:val="22"/>
        </w:numPr>
        <w:spacing w:after="0" w:line="240" w:lineRule="auto"/>
        <w:ind w:left="426"/>
        <w:contextualSpacing/>
        <w:jc w:val="both"/>
        <w:rPr>
          <w:rFonts w:ascii="Times New Roman" w:eastAsia="Calibri" w:hAnsi="Times New Roman" w:cs="Times New Roman"/>
          <w:i/>
          <w:sz w:val="24"/>
          <w:szCs w:val="24"/>
        </w:rPr>
      </w:pPr>
      <w:r w:rsidRPr="00B84990">
        <w:rPr>
          <w:rFonts w:ascii="Times New Roman" w:hAnsi="Times New Roman" w:cs="Times New Roman"/>
          <w:sz w:val="24"/>
          <w:szCs w:val="24"/>
        </w:rPr>
        <w:t xml:space="preserve">De la revisión del pliego absolutorio de observaciones se advierte que el participante  PERUAR SRL </w:t>
      </w:r>
      <w:r w:rsidR="00082084" w:rsidRPr="00B84990">
        <w:rPr>
          <w:rFonts w:ascii="Times New Roman" w:hAnsi="Times New Roman" w:cs="Times New Roman"/>
          <w:sz w:val="24"/>
          <w:szCs w:val="24"/>
        </w:rPr>
        <w:t xml:space="preserve"> a través de su denominada Observación N° 3 </w:t>
      </w:r>
      <w:r w:rsidRPr="00B84990">
        <w:rPr>
          <w:rFonts w:ascii="Times New Roman" w:hAnsi="Times New Roman" w:cs="Times New Roman"/>
          <w:sz w:val="24"/>
          <w:szCs w:val="24"/>
        </w:rPr>
        <w:t xml:space="preserve">solicitó aclarar cómo se acreditará el flujo del proceso del producto o línea de producción desde el artículo 22°  al 30° de la Resolución Ministerial N° 451-2006-MINSA. Al respecto, el Comité Especial señaló: </w:t>
      </w:r>
      <w:r w:rsidRPr="00B84990">
        <w:rPr>
          <w:rFonts w:ascii="Times New Roman" w:hAnsi="Times New Roman" w:cs="Times New Roman"/>
          <w:i/>
          <w:sz w:val="24"/>
          <w:szCs w:val="24"/>
        </w:rPr>
        <w:t>“Se acoge su observación, se está requiriendo en las Bases: ‘</w:t>
      </w:r>
      <w:r w:rsidRPr="00B84990">
        <w:rPr>
          <w:rFonts w:ascii="Times New Roman" w:eastAsia="Calibri" w:hAnsi="Times New Roman" w:cs="Times New Roman"/>
          <w:i/>
          <w:sz w:val="24"/>
          <w:szCs w:val="24"/>
        </w:rPr>
        <w:t xml:space="preserve">Copia del Certificado Técnico Productivo, dicho documento debe acreditar el cumplimiento de la R.M. 451-2006-MINSA, </w:t>
      </w:r>
      <w:r w:rsidRPr="00B84990">
        <w:rPr>
          <w:rFonts w:ascii="Times New Roman" w:eastAsia="Calibri" w:hAnsi="Times New Roman" w:cs="Times New Roman"/>
          <w:b/>
          <w:i/>
          <w:sz w:val="24"/>
          <w:szCs w:val="24"/>
          <w:u w:val="single"/>
        </w:rPr>
        <w:t>deberá contener el flujo de proceso del producto</w:t>
      </w:r>
      <w:r w:rsidRPr="00B84990">
        <w:rPr>
          <w:rFonts w:ascii="Times New Roman" w:eastAsia="Calibri" w:hAnsi="Times New Roman" w:cs="Times New Roman"/>
          <w:i/>
          <w:sz w:val="24"/>
          <w:szCs w:val="24"/>
        </w:rPr>
        <w:t xml:space="preserve"> o línea de producción compatible con lo establecido en el capítulo III’. Así mismo se aclara que se debe acreditar todos los procesos o etapas signados en la resolución Ministerial 451-</w:t>
      </w:r>
      <w:r w:rsidRPr="00B84990">
        <w:rPr>
          <w:rFonts w:ascii="Times New Roman" w:eastAsia="Calibri" w:hAnsi="Times New Roman" w:cs="Times New Roman"/>
          <w:i/>
          <w:sz w:val="24"/>
          <w:szCs w:val="24"/>
        </w:rPr>
        <w:lastRenderedPageBreak/>
        <w:t xml:space="preserve">2006-MINSA, en sus artículos del 22° al 30°”. </w:t>
      </w:r>
    </w:p>
    <w:p w:rsidR="0097034A" w:rsidRPr="00B84990" w:rsidRDefault="0097034A" w:rsidP="006F5EB4">
      <w:pPr>
        <w:widowControl w:val="0"/>
        <w:spacing w:after="0" w:line="240" w:lineRule="auto"/>
        <w:ind w:left="426" w:firstLine="60"/>
        <w:contextualSpacing/>
        <w:jc w:val="both"/>
        <w:rPr>
          <w:rFonts w:ascii="Times New Roman" w:hAnsi="Times New Roman" w:cs="Times New Roman"/>
          <w:i/>
          <w:sz w:val="24"/>
          <w:szCs w:val="24"/>
        </w:rPr>
      </w:pPr>
    </w:p>
    <w:p w:rsidR="00F91F1C" w:rsidRPr="00B84990" w:rsidRDefault="0097034A" w:rsidP="006F5EB4">
      <w:pPr>
        <w:pStyle w:val="Prrafodelista"/>
        <w:widowControl w:val="0"/>
        <w:spacing w:after="0" w:line="240" w:lineRule="auto"/>
        <w:ind w:left="426"/>
        <w:contextualSpacing/>
        <w:jc w:val="both"/>
        <w:rPr>
          <w:rFonts w:ascii="Times New Roman" w:hAnsi="Times New Roman" w:cs="Times New Roman"/>
          <w:sz w:val="24"/>
          <w:szCs w:val="24"/>
        </w:rPr>
      </w:pPr>
      <w:r w:rsidRPr="00B84990">
        <w:rPr>
          <w:rFonts w:ascii="Times New Roman" w:hAnsi="Times New Roman" w:cs="Times New Roman"/>
          <w:sz w:val="24"/>
          <w:szCs w:val="24"/>
        </w:rPr>
        <w:t xml:space="preserve">Al respecto, a efectos de evitar inconvenientes durante la etapa de evaluación de propuestas, </w:t>
      </w:r>
      <w:r w:rsidRPr="00B84990">
        <w:rPr>
          <w:rFonts w:ascii="Times New Roman" w:hAnsi="Times New Roman" w:cs="Times New Roman"/>
          <w:b/>
          <w:sz w:val="24"/>
          <w:szCs w:val="24"/>
          <w:u w:val="single"/>
        </w:rPr>
        <w:t>deberá precisarse</w:t>
      </w:r>
      <w:r w:rsidR="00F91F1C" w:rsidRPr="00B84990">
        <w:rPr>
          <w:rFonts w:ascii="Times New Roman" w:hAnsi="Times New Roman" w:cs="Times New Roman"/>
          <w:b/>
          <w:sz w:val="24"/>
          <w:szCs w:val="24"/>
          <w:u w:val="single"/>
        </w:rPr>
        <w:t>,</w:t>
      </w:r>
      <w:r w:rsidR="00F91F1C" w:rsidRPr="00B84990">
        <w:rPr>
          <w:rFonts w:ascii="Times New Roman" w:hAnsi="Times New Roman" w:cs="Times New Roman"/>
          <w:b/>
          <w:sz w:val="24"/>
          <w:szCs w:val="24"/>
        </w:rPr>
        <w:t xml:space="preserve"> </w:t>
      </w:r>
      <w:r w:rsidR="00F91F1C" w:rsidRPr="00B84990">
        <w:rPr>
          <w:rFonts w:ascii="Times New Roman" w:hAnsi="Times New Roman" w:cs="Times New Roman"/>
          <w:sz w:val="24"/>
          <w:szCs w:val="24"/>
        </w:rPr>
        <w:t xml:space="preserve"> adicionalmente, que en caso que los artículos del 23 al 30 de la Resolución Ministerial Nº 451-2006-MINSA se hayan realizado fuera del proceso productivo, es decir, </w:t>
      </w:r>
      <w:r w:rsidR="00F91F1C" w:rsidRPr="00B84990">
        <w:rPr>
          <w:rFonts w:ascii="Times New Roman" w:hAnsi="Times New Roman" w:cs="Times New Roman"/>
          <w:b/>
          <w:bCs/>
          <w:sz w:val="24"/>
          <w:szCs w:val="24"/>
          <w:u w:val="single"/>
          <w:lang w:eastAsia="es-PE"/>
        </w:rPr>
        <w:t>cuando parte de las actividades que comprenden el flujograma de producción sean realizadas por un tercero, dichas actividades también serán acreditadas con un certificado técnico productivo a nombre del tercero.</w:t>
      </w:r>
    </w:p>
    <w:p w:rsidR="0097034A" w:rsidRPr="00B84990" w:rsidRDefault="0097034A" w:rsidP="006F5EB4">
      <w:pPr>
        <w:widowControl w:val="0"/>
        <w:spacing w:after="0" w:line="240" w:lineRule="auto"/>
        <w:ind w:left="426"/>
        <w:contextualSpacing/>
        <w:jc w:val="both"/>
        <w:rPr>
          <w:rFonts w:ascii="Times New Roman" w:hAnsi="Times New Roman" w:cs="Times New Roman"/>
          <w:sz w:val="24"/>
          <w:szCs w:val="24"/>
        </w:rPr>
      </w:pPr>
    </w:p>
    <w:p w:rsidR="007F5A8F" w:rsidRPr="00B84990" w:rsidRDefault="009F2A31" w:rsidP="006F5EB4">
      <w:pPr>
        <w:pStyle w:val="Prrafodelista"/>
        <w:widowControl w:val="0"/>
        <w:numPr>
          <w:ilvl w:val="0"/>
          <w:numId w:val="22"/>
        </w:numPr>
        <w:spacing w:after="0" w:line="240" w:lineRule="auto"/>
        <w:ind w:left="426"/>
        <w:contextualSpacing/>
        <w:jc w:val="both"/>
        <w:rPr>
          <w:rFonts w:ascii="Times New Roman" w:eastAsia="Calibri" w:hAnsi="Times New Roman" w:cs="Times New Roman"/>
          <w:b/>
          <w:iCs/>
          <w:sz w:val="24"/>
          <w:szCs w:val="24"/>
          <w:u w:val="single"/>
          <w:lang w:eastAsia="es-PE"/>
        </w:rPr>
      </w:pPr>
      <w:r w:rsidRPr="00B84990">
        <w:rPr>
          <w:rFonts w:ascii="Times New Roman" w:hAnsi="Times New Roman" w:cs="Times New Roman"/>
          <w:sz w:val="24"/>
          <w:szCs w:val="24"/>
        </w:rPr>
        <w:t>De la revi</w:t>
      </w:r>
      <w:r w:rsidR="0097034A" w:rsidRPr="00B84990">
        <w:rPr>
          <w:rFonts w:ascii="Times New Roman" w:hAnsi="Times New Roman" w:cs="Times New Roman"/>
          <w:sz w:val="24"/>
          <w:szCs w:val="24"/>
        </w:rPr>
        <w:t>sión del pliego absolutorio de observaciones</w:t>
      </w:r>
      <w:r w:rsidRPr="00B84990">
        <w:rPr>
          <w:rFonts w:ascii="Times New Roman" w:hAnsi="Times New Roman" w:cs="Times New Roman"/>
          <w:sz w:val="24"/>
          <w:szCs w:val="24"/>
        </w:rPr>
        <w:t xml:space="preserve"> se advierte que el participante SOLUCIONES ALIMENTICIAS SAC a través de su denominada Observación N° 5</w:t>
      </w:r>
      <w:r w:rsidR="00193FA0" w:rsidRPr="00B84990">
        <w:rPr>
          <w:rFonts w:ascii="Times New Roman" w:hAnsi="Times New Roman" w:cs="Times New Roman"/>
          <w:sz w:val="24"/>
          <w:szCs w:val="24"/>
        </w:rPr>
        <w:t xml:space="preserve"> señaló lo siguiente: </w:t>
      </w:r>
      <w:r w:rsidR="00193FA0" w:rsidRPr="00B84990">
        <w:rPr>
          <w:rFonts w:ascii="Times New Roman" w:hAnsi="Times New Roman" w:cs="Times New Roman"/>
          <w:i/>
          <w:sz w:val="24"/>
          <w:szCs w:val="24"/>
        </w:rPr>
        <w:t>“</w:t>
      </w:r>
      <w:r w:rsidR="00193FA0" w:rsidRPr="00B84990">
        <w:rPr>
          <w:rFonts w:ascii="Times New Roman" w:eastAsia="Calibri" w:hAnsi="Times New Roman" w:cs="Times New Roman"/>
          <w:i/>
          <w:iCs/>
          <w:sz w:val="24"/>
          <w:szCs w:val="24"/>
          <w:lang w:eastAsia="es-PE"/>
        </w:rPr>
        <w:t>En el numeral g) de los requerimientos mínimos para el ítem I Hojuela de Avena, Quinua, cebada y soya solicitan el stock en producto terminado, sin embargo el OSCE se ha pronunciado respecto a esta exigencia, en el sentido que los participantes podamos a acreditar el stock en insumos que componen el producto, ello de fomentar la más amplia participación de postores</w:t>
      </w:r>
      <w:r w:rsidR="00193FA0" w:rsidRPr="00B84990">
        <w:rPr>
          <w:rFonts w:ascii="Times New Roman" w:eastAsia="Calibri" w:hAnsi="Times New Roman" w:cs="Times New Roman"/>
          <w:i/>
          <w:iCs/>
          <w:sz w:val="24"/>
          <w:szCs w:val="24"/>
        </w:rPr>
        <w:t>”</w:t>
      </w:r>
      <w:r w:rsidR="00193FA0" w:rsidRPr="00B84990">
        <w:rPr>
          <w:rFonts w:ascii="Times New Roman" w:eastAsia="Calibri" w:hAnsi="Times New Roman" w:cs="Times New Roman"/>
          <w:i/>
          <w:iCs/>
          <w:sz w:val="24"/>
          <w:szCs w:val="24"/>
          <w:lang w:eastAsia="es-PE"/>
        </w:rPr>
        <w:t xml:space="preserve">.  </w:t>
      </w:r>
      <w:r w:rsidR="00193FA0" w:rsidRPr="00B84990">
        <w:rPr>
          <w:rFonts w:ascii="Times New Roman" w:eastAsia="Calibri" w:hAnsi="Times New Roman" w:cs="Times New Roman"/>
          <w:iCs/>
          <w:sz w:val="24"/>
          <w:szCs w:val="24"/>
        </w:rPr>
        <w:t>Al respecto, el Comité Especial señaló lo siguiente:</w:t>
      </w:r>
      <w:r w:rsidR="00193FA0" w:rsidRPr="00B84990">
        <w:rPr>
          <w:rFonts w:ascii="Times New Roman" w:eastAsia="Calibri" w:hAnsi="Times New Roman" w:cs="Times New Roman"/>
          <w:i/>
          <w:iCs/>
          <w:sz w:val="24"/>
          <w:szCs w:val="24"/>
        </w:rPr>
        <w:t xml:space="preserve"> </w:t>
      </w:r>
      <w:r w:rsidR="007F5A8F" w:rsidRPr="00B84990">
        <w:rPr>
          <w:rFonts w:ascii="Times New Roman" w:eastAsia="Calibri" w:hAnsi="Times New Roman" w:cs="Times New Roman"/>
          <w:i/>
          <w:iCs/>
          <w:sz w:val="24"/>
          <w:szCs w:val="24"/>
        </w:rPr>
        <w:t>“</w:t>
      </w:r>
      <w:r w:rsidR="007F5A8F" w:rsidRPr="00B84990">
        <w:rPr>
          <w:rFonts w:ascii="Times New Roman" w:eastAsia="Batang" w:hAnsi="Times New Roman" w:cs="Times New Roman"/>
          <w:i/>
          <w:sz w:val="24"/>
          <w:szCs w:val="24"/>
          <w:lang w:eastAsia="es-PE"/>
        </w:rPr>
        <w:t>Se acoge su observación, para el caso del ítem I, también se podrá acreditar el stock en insumos que componen el producto</w:t>
      </w:r>
      <w:r w:rsidR="007F5A8F" w:rsidRPr="00B84990">
        <w:rPr>
          <w:rFonts w:ascii="Times New Roman" w:eastAsia="Batang" w:hAnsi="Times New Roman" w:cs="Times New Roman"/>
          <w:i/>
          <w:sz w:val="24"/>
          <w:szCs w:val="24"/>
        </w:rPr>
        <w:t>”</w:t>
      </w:r>
      <w:r w:rsidR="007F5A8F" w:rsidRPr="00B84990">
        <w:rPr>
          <w:rFonts w:ascii="Times New Roman" w:eastAsia="Batang" w:hAnsi="Times New Roman" w:cs="Times New Roman"/>
          <w:i/>
          <w:sz w:val="24"/>
          <w:szCs w:val="24"/>
          <w:lang w:eastAsia="es-PE"/>
        </w:rPr>
        <w:t xml:space="preserve">. </w:t>
      </w:r>
    </w:p>
    <w:p w:rsidR="007F5A8F" w:rsidRPr="00B84990" w:rsidRDefault="007F5A8F" w:rsidP="006F5EB4">
      <w:pPr>
        <w:widowControl w:val="0"/>
        <w:spacing w:after="0" w:line="240" w:lineRule="auto"/>
        <w:ind w:left="426"/>
        <w:contextualSpacing/>
        <w:jc w:val="both"/>
        <w:rPr>
          <w:rFonts w:ascii="Times New Roman" w:hAnsi="Times New Roman" w:cs="Times New Roman"/>
          <w:sz w:val="24"/>
          <w:szCs w:val="24"/>
        </w:rPr>
      </w:pPr>
    </w:p>
    <w:p w:rsidR="007F5A8F" w:rsidRPr="00B84990" w:rsidRDefault="007F5A8F" w:rsidP="006F5EB4">
      <w:pPr>
        <w:pStyle w:val="Prrafodelista"/>
        <w:widowControl w:val="0"/>
        <w:spacing w:after="0" w:line="240" w:lineRule="auto"/>
        <w:ind w:left="426"/>
        <w:contextualSpacing/>
        <w:jc w:val="both"/>
        <w:rPr>
          <w:rFonts w:ascii="Times New Roman" w:hAnsi="Times New Roman" w:cs="Times New Roman"/>
          <w:sz w:val="24"/>
          <w:szCs w:val="24"/>
        </w:rPr>
      </w:pPr>
      <w:r w:rsidRPr="00B84990">
        <w:rPr>
          <w:rFonts w:ascii="Times New Roman" w:hAnsi="Times New Roman" w:cs="Times New Roman"/>
          <w:sz w:val="24"/>
          <w:szCs w:val="24"/>
        </w:rPr>
        <w:t xml:space="preserve">Sobre el particular,  cabe indicar que si bien resulta necesario que la Entidad tenga la seguridad de quien resulte ganador de la buena pro cuente con el stock disponible del producto requerido en la oportunidad de cada entrega, el único obligado a cumplir con sus obligaciones en los términos que deriven del contrato es el contratista, por lo que no podría exigirse que los postores acrediten el referido stock para la etapa de presentación de propuestas, máxime si en dicha etapa no se tiene certeza acerca de quién resultará ganador de la buena pro. En ese sentido, con ocasión de la integración de las Bases, </w:t>
      </w:r>
      <w:r w:rsidRPr="00B84990">
        <w:rPr>
          <w:rFonts w:ascii="Times New Roman" w:hAnsi="Times New Roman" w:cs="Times New Roman"/>
          <w:b/>
          <w:sz w:val="24"/>
          <w:szCs w:val="24"/>
          <w:u w:val="single"/>
        </w:rPr>
        <w:t xml:space="preserve">deberá modificarse </w:t>
      </w:r>
      <w:r w:rsidRPr="00B84990">
        <w:rPr>
          <w:rFonts w:ascii="Times New Roman" w:hAnsi="Times New Roman" w:cs="Times New Roman"/>
          <w:sz w:val="24"/>
          <w:szCs w:val="24"/>
          <w:u w:val="single"/>
        </w:rPr>
        <w:t>lo señalado en</w:t>
      </w:r>
      <w:r w:rsidRPr="00B84990">
        <w:rPr>
          <w:rFonts w:ascii="Times New Roman" w:hAnsi="Times New Roman" w:cs="Times New Roman"/>
          <w:b/>
          <w:sz w:val="24"/>
          <w:szCs w:val="24"/>
          <w:u w:val="single"/>
        </w:rPr>
        <w:t xml:space="preserve"> </w:t>
      </w:r>
      <w:r w:rsidRPr="00B84990">
        <w:rPr>
          <w:rFonts w:ascii="Times New Roman" w:hAnsi="Times New Roman" w:cs="Times New Roman"/>
          <w:sz w:val="24"/>
          <w:szCs w:val="24"/>
          <w:u w:val="single"/>
        </w:rPr>
        <w:t>el literal g) de la documentación obligatoria, de tal manera que en lugar de lo indicado en dicho literal, se señale que los potenciales postores deberán presentar una declaración jurada mediante la cual se comprometen a contar con disponibilidad de stock del producto en caso de resultar ganador de la buena pro</w:t>
      </w:r>
      <w:r w:rsidRPr="00B84990">
        <w:rPr>
          <w:rFonts w:ascii="Times New Roman" w:hAnsi="Times New Roman" w:cs="Times New Roman"/>
          <w:sz w:val="24"/>
          <w:szCs w:val="24"/>
        </w:rPr>
        <w:t xml:space="preserve">. Asimismo, </w:t>
      </w:r>
      <w:r w:rsidRPr="00B84990">
        <w:rPr>
          <w:rFonts w:ascii="Times New Roman" w:hAnsi="Times New Roman" w:cs="Times New Roman"/>
          <w:b/>
          <w:sz w:val="24"/>
          <w:szCs w:val="24"/>
          <w:u w:val="single"/>
        </w:rPr>
        <w:t>deberá eliminarse</w:t>
      </w:r>
      <w:r w:rsidRPr="00B84990">
        <w:rPr>
          <w:rFonts w:ascii="Times New Roman" w:hAnsi="Times New Roman" w:cs="Times New Roman"/>
          <w:sz w:val="24"/>
          <w:szCs w:val="24"/>
        </w:rPr>
        <w:t xml:space="preserve"> toda referencia de las Bases que no se ajuste con tal aspecto a efectos de evitar inducir a error a los potenciales postores. </w:t>
      </w:r>
    </w:p>
    <w:p w:rsidR="007F5A8F" w:rsidRPr="00B84990" w:rsidRDefault="007F5A8F" w:rsidP="006F5EB4">
      <w:pPr>
        <w:widowControl w:val="0"/>
        <w:spacing w:after="0" w:line="240" w:lineRule="auto"/>
        <w:ind w:left="426"/>
        <w:contextualSpacing/>
        <w:jc w:val="both"/>
        <w:rPr>
          <w:rFonts w:ascii="Times New Roman" w:hAnsi="Times New Roman" w:cs="Times New Roman"/>
          <w:sz w:val="24"/>
          <w:szCs w:val="24"/>
        </w:rPr>
      </w:pPr>
    </w:p>
    <w:p w:rsidR="009F2A31" w:rsidRPr="00B84990" w:rsidRDefault="007F5A8F" w:rsidP="006F5EB4">
      <w:pPr>
        <w:pStyle w:val="Prrafodelista"/>
        <w:widowControl w:val="0"/>
        <w:spacing w:after="0" w:line="240" w:lineRule="auto"/>
        <w:ind w:left="426"/>
        <w:contextualSpacing/>
        <w:jc w:val="both"/>
        <w:rPr>
          <w:rFonts w:ascii="Times New Roman" w:hAnsi="Times New Roman" w:cs="Times New Roman"/>
          <w:sz w:val="24"/>
          <w:szCs w:val="24"/>
        </w:rPr>
      </w:pPr>
      <w:r w:rsidRPr="00B84990">
        <w:rPr>
          <w:rFonts w:ascii="Times New Roman" w:hAnsi="Times New Roman" w:cs="Times New Roman"/>
          <w:sz w:val="24"/>
          <w:szCs w:val="24"/>
        </w:rPr>
        <w:t xml:space="preserve">Cabe acotar que lo señalado en el párrafo precedente deberá </w:t>
      </w:r>
      <w:r w:rsidR="007220A6" w:rsidRPr="00B84990">
        <w:rPr>
          <w:rFonts w:ascii="Times New Roman" w:hAnsi="Times New Roman" w:cs="Times New Roman"/>
          <w:sz w:val="24"/>
          <w:szCs w:val="24"/>
        </w:rPr>
        <w:t xml:space="preserve">considerarse también para el ítem 2, por lo que </w:t>
      </w:r>
      <w:r w:rsidR="007220A6" w:rsidRPr="00B84990">
        <w:rPr>
          <w:rFonts w:ascii="Times New Roman" w:hAnsi="Times New Roman" w:cs="Times New Roman"/>
          <w:b/>
          <w:sz w:val="24"/>
          <w:szCs w:val="24"/>
          <w:u w:val="single"/>
        </w:rPr>
        <w:t>deberá modificarse lo indicado en el literal q)  de la documentación de presentación obligatoria.</w:t>
      </w:r>
      <w:r w:rsidR="007220A6" w:rsidRPr="00B84990">
        <w:rPr>
          <w:rFonts w:ascii="Times New Roman" w:hAnsi="Times New Roman" w:cs="Times New Roman"/>
          <w:sz w:val="24"/>
          <w:szCs w:val="24"/>
        </w:rPr>
        <w:t xml:space="preserve"> </w:t>
      </w:r>
    </w:p>
    <w:p w:rsidR="00FE5E5B" w:rsidRDefault="00FE5E5B" w:rsidP="006F5EB4">
      <w:pPr>
        <w:widowControl w:val="0"/>
        <w:spacing w:after="0" w:line="240" w:lineRule="auto"/>
        <w:contextualSpacing/>
        <w:jc w:val="both"/>
        <w:rPr>
          <w:rFonts w:ascii="Times New Roman" w:hAnsi="Times New Roman" w:cs="Times New Roman"/>
          <w:b/>
          <w:sz w:val="24"/>
          <w:szCs w:val="24"/>
        </w:rPr>
      </w:pPr>
    </w:p>
    <w:p w:rsidR="00D956ED" w:rsidRPr="00B84990" w:rsidRDefault="00D956ED" w:rsidP="006F5EB4">
      <w:pPr>
        <w:pStyle w:val="Prrafodelista"/>
        <w:widowControl w:val="0"/>
        <w:numPr>
          <w:ilvl w:val="1"/>
          <w:numId w:val="16"/>
        </w:numPr>
        <w:spacing w:after="0" w:line="240" w:lineRule="auto"/>
        <w:contextualSpacing/>
        <w:jc w:val="both"/>
        <w:rPr>
          <w:rFonts w:ascii="Times New Roman" w:hAnsi="Times New Roman" w:cs="Times New Roman"/>
          <w:b/>
          <w:sz w:val="24"/>
          <w:szCs w:val="24"/>
        </w:rPr>
      </w:pPr>
      <w:r w:rsidRPr="00B84990">
        <w:rPr>
          <w:rFonts w:ascii="Times New Roman" w:hAnsi="Times New Roman" w:cs="Times New Roman"/>
          <w:b/>
          <w:sz w:val="24"/>
          <w:szCs w:val="24"/>
        </w:rPr>
        <w:t xml:space="preserve"> Cantidad</w:t>
      </w:r>
      <w:r w:rsidR="0099441B" w:rsidRPr="00B84990">
        <w:rPr>
          <w:rFonts w:ascii="Times New Roman" w:hAnsi="Times New Roman" w:cs="Times New Roman"/>
          <w:b/>
          <w:sz w:val="24"/>
          <w:szCs w:val="24"/>
        </w:rPr>
        <w:t>es</w:t>
      </w:r>
      <w:r w:rsidRPr="00B84990">
        <w:rPr>
          <w:rFonts w:ascii="Times New Roman" w:hAnsi="Times New Roman" w:cs="Times New Roman"/>
          <w:b/>
          <w:sz w:val="24"/>
          <w:szCs w:val="24"/>
        </w:rPr>
        <w:t xml:space="preserve">  de los productos objeto de adquisición</w:t>
      </w:r>
    </w:p>
    <w:p w:rsidR="00D956ED" w:rsidRPr="00B84990" w:rsidRDefault="00D956ED" w:rsidP="006F5EB4">
      <w:pPr>
        <w:widowControl w:val="0"/>
        <w:spacing w:after="0" w:line="240" w:lineRule="auto"/>
        <w:contextualSpacing/>
        <w:jc w:val="both"/>
        <w:rPr>
          <w:rFonts w:ascii="Times New Roman" w:hAnsi="Times New Roman" w:cs="Times New Roman"/>
          <w:b/>
          <w:sz w:val="24"/>
          <w:szCs w:val="24"/>
        </w:rPr>
      </w:pPr>
    </w:p>
    <w:p w:rsidR="000614AF" w:rsidRPr="00B84990" w:rsidRDefault="0099441B" w:rsidP="006F5EB4">
      <w:pPr>
        <w:widowControl w:val="0"/>
        <w:tabs>
          <w:tab w:val="left" w:pos="540"/>
        </w:tabs>
        <w:spacing w:after="0" w:line="240" w:lineRule="auto"/>
        <w:jc w:val="both"/>
        <w:rPr>
          <w:rFonts w:ascii="Times New Roman" w:hAnsi="Times New Roman" w:cs="Times New Roman"/>
          <w:sz w:val="24"/>
          <w:szCs w:val="24"/>
          <w:lang w:eastAsia="es-MX"/>
        </w:rPr>
      </w:pPr>
      <w:r w:rsidRPr="00B84990">
        <w:rPr>
          <w:rFonts w:ascii="Times New Roman" w:hAnsi="Times New Roman" w:cs="Times New Roman"/>
          <w:sz w:val="24"/>
          <w:szCs w:val="24"/>
          <w:lang w:eastAsia="es-MX"/>
        </w:rPr>
        <w:t>De la revisión de las Bases se advierte que</w:t>
      </w:r>
      <w:r w:rsidR="00C86CD7" w:rsidRPr="00B84990">
        <w:rPr>
          <w:rFonts w:ascii="Times New Roman" w:hAnsi="Times New Roman" w:cs="Times New Roman"/>
          <w:sz w:val="24"/>
          <w:szCs w:val="24"/>
          <w:lang w:eastAsia="es-MX"/>
        </w:rPr>
        <w:t xml:space="preserve"> </w:t>
      </w:r>
      <w:r w:rsidRPr="00B84990">
        <w:rPr>
          <w:rFonts w:ascii="Times New Roman" w:hAnsi="Times New Roman" w:cs="Times New Roman"/>
          <w:sz w:val="24"/>
          <w:szCs w:val="24"/>
          <w:lang w:eastAsia="es-MX"/>
        </w:rPr>
        <w:t xml:space="preserve">se requiere </w:t>
      </w:r>
      <w:r w:rsidRPr="00B84990">
        <w:rPr>
          <w:rFonts w:ascii="Times New Roman" w:eastAsia="Times New Roman" w:hAnsi="Times New Roman" w:cs="Times New Roman"/>
          <w:sz w:val="24"/>
          <w:szCs w:val="24"/>
        </w:rPr>
        <w:t>36,583.</w:t>
      </w:r>
      <w:r w:rsidRPr="00B84990">
        <w:rPr>
          <w:rFonts w:ascii="Times New Roman" w:eastAsia="Times New Roman" w:hAnsi="Times New Roman" w:cs="Times New Roman"/>
          <w:b/>
          <w:sz w:val="24"/>
          <w:szCs w:val="24"/>
          <w:u w:val="single"/>
        </w:rPr>
        <w:t>06</w:t>
      </w:r>
      <w:r w:rsidRPr="00B84990">
        <w:rPr>
          <w:rFonts w:ascii="Times New Roman" w:eastAsia="Times New Roman" w:hAnsi="Times New Roman" w:cs="Times New Roman"/>
          <w:sz w:val="24"/>
          <w:szCs w:val="24"/>
        </w:rPr>
        <w:t xml:space="preserve"> </w:t>
      </w:r>
      <w:r w:rsidRPr="00B84990">
        <w:rPr>
          <w:rFonts w:ascii="Times New Roman" w:hAnsi="Times New Roman" w:cs="Times New Roman"/>
          <w:sz w:val="24"/>
          <w:szCs w:val="24"/>
          <w:lang w:eastAsia="es-MX"/>
        </w:rPr>
        <w:t>kg de hojuelas (ítem 1)</w:t>
      </w:r>
      <w:r w:rsidR="000614AF" w:rsidRPr="00B84990">
        <w:rPr>
          <w:rFonts w:ascii="Times New Roman" w:hAnsi="Times New Roman" w:cs="Times New Roman"/>
          <w:sz w:val="24"/>
          <w:szCs w:val="24"/>
          <w:lang w:eastAsia="es-MX"/>
        </w:rPr>
        <w:t xml:space="preserve"> en</w:t>
      </w:r>
      <w:r w:rsidRPr="00B84990">
        <w:rPr>
          <w:rFonts w:ascii="Times New Roman" w:hAnsi="Times New Roman" w:cs="Times New Roman"/>
          <w:sz w:val="24"/>
          <w:szCs w:val="24"/>
          <w:lang w:eastAsia="es-MX"/>
        </w:rPr>
        <w:t xml:space="preserve"> </w:t>
      </w:r>
      <w:r w:rsidR="000614AF" w:rsidRPr="00B84990">
        <w:rPr>
          <w:rFonts w:ascii="Times New Roman" w:hAnsi="Times New Roman" w:cs="Times New Roman"/>
          <w:sz w:val="24"/>
          <w:szCs w:val="24"/>
          <w:lang w:eastAsia="es-MX"/>
        </w:rPr>
        <w:t>bolsa de 1000 gr, y no se ha precisado el número de beneficiarios. A</w:t>
      </w:r>
      <w:r w:rsidR="00C86CD7" w:rsidRPr="00B84990">
        <w:rPr>
          <w:rFonts w:ascii="Times New Roman" w:hAnsi="Times New Roman" w:cs="Times New Roman"/>
          <w:sz w:val="24"/>
          <w:szCs w:val="24"/>
          <w:lang w:eastAsia="es-MX"/>
        </w:rPr>
        <w:t>demás</w:t>
      </w:r>
      <w:r w:rsidR="000614AF" w:rsidRPr="00B84990">
        <w:rPr>
          <w:rFonts w:ascii="Times New Roman" w:hAnsi="Times New Roman" w:cs="Times New Roman"/>
          <w:sz w:val="24"/>
          <w:szCs w:val="24"/>
          <w:lang w:eastAsia="es-MX"/>
        </w:rPr>
        <w:t xml:space="preserve">, </w:t>
      </w:r>
      <w:r w:rsidR="00C86CD7" w:rsidRPr="00B84990">
        <w:rPr>
          <w:rFonts w:ascii="Times New Roman" w:hAnsi="Times New Roman" w:cs="Times New Roman"/>
          <w:sz w:val="24"/>
          <w:szCs w:val="24"/>
          <w:lang w:eastAsia="es-MX"/>
        </w:rPr>
        <w:t xml:space="preserve">respecto de la cantidad de hojuelas en la ración, en el numeral 1) del Capítulo III se indica que ésta involucraría 40.54 gr., pero  en el literal b) de las Características Técnicas del ítem 1 se señala que la ración contiene 43.33 gr de hojuelas, lo cual resulta incongruente. </w:t>
      </w:r>
    </w:p>
    <w:p w:rsidR="007220A6" w:rsidRPr="00B84990" w:rsidRDefault="007220A6" w:rsidP="006F5EB4">
      <w:pPr>
        <w:widowControl w:val="0"/>
        <w:tabs>
          <w:tab w:val="left" w:pos="540"/>
        </w:tabs>
        <w:spacing w:after="0" w:line="240" w:lineRule="auto"/>
        <w:jc w:val="both"/>
        <w:rPr>
          <w:rFonts w:ascii="Times New Roman" w:hAnsi="Times New Roman" w:cs="Times New Roman"/>
          <w:sz w:val="24"/>
          <w:szCs w:val="24"/>
          <w:lang w:eastAsia="es-MX"/>
        </w:rPr>
      </w:pPr>
    </w:p>
    <w:p w:rsidR="00C86CD7" w:rsidRPr="00B84990" w:rsidRDefault="0099441B" w:rsidP="006F5EB4">
      <w:pPr>
        <w:widowControl w:val="0"/>
        <w:tabs>
          <w:tab w:val="left" w:pos="540"/>
        </w:tabs>
        <w:spacing w:after="0" w:line="240" w:lineRule="auto"/>
        <w:jc w:val="both"/>
        <w:rPr>
          <w:rFonts w:ascii="Times New Roman" w:hAnsi="Times New Roman" w:cs="Times New Roman"/>
          <w:sz w:val="24"/>
          <w:szCs w:val="24"/>
          <w:lang w:eastAsia="es-MX"/>
        </w:rPr>
      </w:pPr>
      <w:r w:rsidRPr="00B84990">
        <w:rPr>
          <w:rFonts w:ascii="Times New Roman" w:hAnsi="Times New Roman" w:cs="Times New Roman"/>
          <w:sz w:val="24"/>
          <w:szCs w:val="24"/>
          <w:lang w:eastAsia="es-MX"/>
        </w:rPr>
        <w:t>En ese sentido,</w:t>
      </w:r>
      <w:r w:rsidR="000614AF" w:rsidRPr="00B84990">
        <w:rPr>
          <w:rFonts w:ascii="Times New Roman" w:hAnsi="Times New Roman" w:cs="Times New Roman"/>
          <w:sz w:val="24"/>
          <w:szCs w:val="24"/>
          <w:lang w:eastAsia="es-MX"/>
        </w:rPr>
        <w:t xml:space="preserve"> </w:t>
      </w:r>
      <w:r w:rsidRPr="00B84990">
        <w:rPr>
          <w:rFonts w:ascii="Times New Roman" w:hAnsi="Times New Roman" w:cs="Times New Roman"/>
          <w:sz w:val="24"/>
          <w:szCs w:val="24"/>
          <w:lang w:eastAsia="es-MX"/>
        </w:rPr>
        <w:t xml:space="preserve">con ocasión de la integración de las Bases,  </w:t>
      </w:r>
      <w:r w:rsidR="00C86CD7" w:rsidRPr="00B84990">
        <w:rPr>
          <w:rFonts w:ascii="Times New Roman" w:hAnsi="Times New Roman" w:cs="Times New Roman"/>
          <w:b/>
          <w:sz w:val="24"/>
          <w:szCs w:val="24"/>
          <w:u w:val="single"/>
          <w:lang w:eastAsia="es-MX"/>
        </w:rPr>
        <w:t>deberá realizarse</w:t>
      </w:r>
      <w:r w:rsidR="00C86CD7" w:rsidRPr="00B84990">
        <w:rPr>
          <w:rFonts w:ascii="Times New Roman" w:hAnsi="Times New Roman" w:cs="Times New Roman"/>
          <w:sz w:val="24"/>
          <w:szCs w:val="24"/>
          <w:lang w:eastAsia="es-MX"/>
        </w:rPr>
        <w:t xml:space="preserve"> lo siguiente: </w:t>
      </w:r>
      <w:r w:rsidR="00C86CD7" w:rsidRPr="00B84990">
        <w:rPr>
          <w:rFonts w:ascii="Times New Roman" w:hAnsi="Times New Roman" w:cs="Times New Roman"/>
          <w:sz w:val="24"/>
          <w:szCs w:val="24"/>
          <w:lang w:eastAsia="es-MX"/>
        </w:rPr>
        <w:lastRenderedPageBreak/>
        <w:t xml:space="preserve">i) </w:t>
      </w:r>
      <w:r w:rsidR="00C86CD7" w:rsidRPr="00B84990">
        <w:rPr>
          <w:rFonts w:ascii="Times New Roman" w:hAnsi="Times New Roman" w:cs="Times New Roman"/>
          <w:sz w:val="24"/>
          <w:szCs w:val="24"/>
          <w:u w:val="single"/>
          <w:lang w:eastAsia="es-MX"/>
        </w:rPr>
        <w:t>deberá precisarse</w:t>
      </w:r>
      <w:r w:rsidR="00C86CD7" w:rsidRPr="00B84990">
        <w:rPr>
          <w:rFonts w:ascii="Times New Roman" w:hAnsi="Times New Roman" w:cs="Times New Roman"/>
          <w:sz w:val="24"/>
          <w:szCs w:val="24"/>
          <w:lang w:eastAsia="es-MX"/>
        </w:rPr>
        <w:t xml:space="preserve"> el número de beneficiarios, ii) </w:t>
      </w:r>
      <w:r w:rsidR="00C86CD7" w:rsidRPr="00B84990">
        <w:rPr>
          <w:rFonts w:ascii="Times New Roman" w:hAnsi="Times New Roman" w:cs="Times New Roman"/>
          <w:sz w:val="24"/>
          <w:szCs w:val="24"/>
          <w:u w:val="single"/>
          <w:lang w:eastAsia="es-MX"/>
        </w:rPr>
        <w:t xml:space="preserve">deberá verificarse </w:t>
      </w:r>
      <w:r w:rsidR="00C86CD7" w:rsidRPr="00B84990">
        <w:rPr>
          <w:rFonts w:ascii="Times New Roman" w:hAnsi="Times New Roman" w:cs="Times New Roman"/>
          <w:sz w:val="24"/>
          <w:szCs w:val="24"/>
          <w:lang w:eastAsia="es-MX"/>
        </w:rPr>
        <w:t xml:space="preserve">y precisarse la cantidad de hojuelas por ración, de tal forma que no exista incongruencias en las Bases, iii) </w:t>
      </w:r>
      <w:r w:rsidRPr="00B84990">
        <w:rPr>
          <w:rFonts w:ascii="Times New Roman" w:hAnsi="Times New Roman" w:cs="Times New Roman"/>
          <w:sz w:val="24"/>
          <w:szCs w:val="24"/>
          <w:u w:val="single"/>
          <w:lang w:eastAsia="es-MX"/>
        </w:rPr>
        <w:t>deberá verificarse</w:t>
      </w:r>
      <w:r w:rsidRPr="00B84990">
        <w:rPr>
          <w:rFonts w:ascii="Times New Roman" w:hAnsi="Times New Roman" w:cs="Times New Roman"/>
          <w:sz w:val="24"/>
          <w:szCs w:val="24"/>
          <w:lang w:eastAsia="es-MX"/>
        </w:rPr>
        <w:t xml:space="preserve"> que la cantidad </w:t>
      </w:r>
      <w:r w:rsidR="00C86CD7" w:rsidRPr="00B84990">
        <w:rPr>
          <w:rFonts w:ascii="Times New Roman" w:hAnsi="Times New Roman" w:cs="Times New Roman"/>
          <w:sz w:val="24"/>
          <w:szCs w:val="24"/>
          <w:lang w:eastAsia="es-MX"/>
        </w:rPr>
        <w:t xml:space="preserve">total </w:t>
      </w:r>
      <w:r w:rsidRPr="00B84990">
        <w:rPr>
          <w:rFonts w:ascii="Times New Roman" w:hAnsi="Times New Roman" w:cs="Times New Roman"/>
          <w:sz w:val="24"/>
          <w:szCs w:val="24"/>
          <w:lang w:eastAsia="es-MX"/>
        </w:rPr>
        <w:t xml:space="preserve">de hojuelas </w:t>
      </w:r>
      <w:r w:rsidR="00C86CD7" w:rsidRPr="00B84990">
        <w:rPr>
          <w:rFonts w:ascii="Times New Roman" w:hAnsi="Times New Roman" w:cs="Times New Roman"/>
          <w:sz w:val="24"/>
          <w:szCs w:val="24"/>
          <w:lang w:eastAsia="es-MX"/>
        </w:rPr>
        <w:t xml:space="preserve">que se pretende adquirir </w:t>
      </w:r>
      <w:r w:rsidRPr="00B84990">
        <w:rPr>
          <w:rFonts w:ascii="Times New Roman" w:hAnsi="Times New Roman" w:cs="Times New Roman"/>
          <w:sz w:val="24"/>
          <w:szCs w:val="24"/>
          <w:lang w:eastAsia="es-MX"/>
        </w:rPr>
        <w:t>permita satisfacer las necesidades de todos los beneficiarios</w:t>
      </w:r>
      <w:r w:rsidR="000614AF" w:rsidRPr="00B84990">
        <w:rPr>
          <w:rFonts w:ascii="Times New Roman" w:hAnsi="Times New Roman" w:cs="Times New Roman"/>
          <w:sz w:val="24"/>
          <w:szCs w:val="24"/>
          <w:lang w:eastAsia="es-MX"/>
        </w:rPr>
        <w:t xml:space="preserve"> y, de ser el caso, adecuarse la misma</w:t>
      </w:r>
      <w:r w:rsidRPr="00B84990">
        <w:rPr>
          <w:rFonts w:ascii="Times New Roman" w:hAnsi="Times New Roman" w:cs="Times New Roman"/>
          <w:sz w:val="24"/>
          <w:szCs w:val="24"/>
          <w:lang w:eastAsia="es-MX"/>
        </w:rPr>
        <w:t xml:space="preserve">, </w:t>
      </w:r>
      <w:r w:rsidRPr="00B84990">
        <w:rPr>
          <w:rFonts w:ascii="Times New Roman" w:hAnsi="Times New Roman" w:cs="Times New Roman"/>
          <w:sz w:val="24"/>
          <w:szCs w:val="24"/>
          <w:u w:val="single"/>
          <w:lang w:eastAsia="es-MX"/>
        </w:rPr>
        <w:t xml:space="preserve">cantidad que deberá </w:t>
      </w:r>
      <w:r w:rsidR="00C86CD7" w:rsidRPr="00B84990">
        <w:rPr>
          <w:rFonts w:ascii="Times New Roman" w:hAnsi="Times New Roman" w:cs="Times New Roman"/>
          <w:sz w:val="24"/>
          <w:szCs w:val="24"/>
          <w:u w:val="single"/>
          <w:lang w:eastAsia="es-MX"/>
        </w:rPr>
        <w:t>precisarse</w:t>
      </w:r>
      <w:r w:rsidRPr="00B84990">
        <w:rPr>
          <w:rFonts w:ascii="Times New Roman" w:hAnsi="Times New Roman" w:cs="Times New Roman"/>
          <w:sz w:val="24"/>
          <w:szCs w:val="24"/>
          <w:u w:val="single"/>
          <w:lang w:eastAsia="es-MX"/>
        </w:rPr>
        <w:t xml:space="preserve"> en números </w:t>
      </w:r>
      <w:r w:rsidR="005569E3" w:rsidRPr="00B84990">
        <w:rPr>
          <w:rFonts w:ascii="Times New Roman" w:hAnsi="Times New Roman" w:cs="Times New Roman"/>
          <w:sz w:val="24"/>
          <w:szCs w:val="24"/>
          <w:u w:val="single"/>
          <w:lang w:eastAsia="es-MX"/>
        </w:rPr>
        <w:t xml:space="preserve">enteros dado la unidad de medidas establecida para los empaques del producto. </w:t>
      </w:r>
    </w:p>
    <w:p w:rsidR="007220A6" w:rsidRPr="00B84990" w:rsidRDefault="007220A6" w:rsidP="006F5EB4">
      <w:pPr>
        <w:widowControl w:val="0"/>
        <w:tabs>
          <w:tab w:val="left" w:pos="540"/>
        </w:tabs>
        <w:spacing w:after="0" w:line="240" w:lineRule="auto"/>
        <w:jc w:val="both"/>
        <w:rPr>
          <w:rFonts w:ascii="Times New Roman" w:hAnsi="Times New Roman" w:cs="Times New Roman"/>
          <w:sz w:val="24"/>
          <w:szCs w:val="24"/>
          <w:lang w:eastAsia="es-MX"/>
        </w:rPr>
      </w:pPr>
    </w:p>
    <w:p w:rsidR="0099441B" w:rsidRPr="00B84990" w:rsidRDefault="00C86CD7" w:rsidP="006F5EB4">
      <w:pPr>
        <w:widowControl w:val="0"/>
        <w:tabs>
          <w:tab w:val="left" w:pos="540"/>
        </w:tabs>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C</w:t>
      </w:r>
      <w:r w:rsidR="000614AF" w:rsidRPr="00B84990">
        <w:rPr>
          <w:rFonts w:ascii="Times New Roman" w:hAnsi="Times New Roman" w:cs="Times New Roman"/>
          <w:sz w:val="24"/>
          <w:szCs w:val="24"/>
        </w:rPr>
        <w:t>onviene subrayar que</w:t>
      </w:r>
      <w:r w:rsidR="0099441B" w:rsidRPr="00B84990">
        <w:rPr>
          <w:rFonts w:ascii="Times New Roman" w:hAnsi="Times New Roman" w:cs="Times New Roman"/>
          <w:sz w:val="24"/>
          <w:szCs w:val="24"/>
        </w:rPr>
        <w:t>, en el supuesto que</w:t>
      </w:r>
      <w:r w:rsidR="000614AF" w:rsidRPr="00B84990">
        <w:rPr>
          <w:rFonts w:ascii="Times New Roman" w:hAnsi="Times New Roman" w:cs="Times New Roman"/>
          <w:sz w:val="24"/>
          <w:szCs w:val="24"/>
        </w:rPr>
        <w:t xml:space="preserve"> la cantidad requerida resulte</w:t>
      </w:r>
      <w:r w:rsidR="0099441B" w:rsidRPr="00B84990">
        <w:rPr>
          <w:rFonts w:ascii="Times New Roman" w:hAnsi="Times New Roman" w:cs="Times New Roman"/>
          <w:sz w:val="24"/>
          <w:szCs w:val="24"/>
        </w:rPr>
        <w:t xml:space="preserve"> insuficiente o excesiva luego de aplicar la fórmula</w:t>
      </w:r>
      <w:r w:rsidR="0099441B" w:rsidRPr="00B84990">
        <w:rPr>
          <w:rStyle w:val="Refdenotaalpie"/>
          <w:rFonts w:ascii="Times New Roman" w:hAnsi="Times New Roman" w:cs="Times New Roman"/>
          <w:sz w:val="24"/>
          <w:szCs w:val="24"/>
        </w:rPr>
        <w:footnoteReference w:id="1"/>
      </w:r>
      <w:r w:rsidR="0099441B" w:rsidRPr="00B84990">
        <w:rPr>
          <w:rFonts w:ascii="Times New Roman" w:hAnsi="Times New Roman" w:cs="Times New Roman"/>
          <w:sz w:val="24"/>
          <w:szCs w:val="24"/>
        </w:rPr>
        <w:t xml:space="preserve">, </w:t>
      </w:r>
      <w:r w:rsidR="0099441B" w:rsidRPr="00B84990">
        <w:rPr>
          <w:rFonts w:ascii="Times New Roman" w:hAnsi="Times New Roman" w:cs="Times New Roman"/>
          <w:b/>
          <w:sz w:val="24"/>
          <w:szCs w:val="24"/>
          <w:u w:val="single"/>
        </w:rPr>
        <w:t xml:space="preserve">deberá optarse por una de las siguientes alternativas: i) deberá reformularse la cantidad total de productos a adquirir y, por tanto, el valor referencial, o ii) en el supuesto que la cantidad resultara excesiva, </w:t>
      </w:r>
      <w:r w:rsidR="0099441B" w:rsidRPr="00B84990">
        <w:rPr>
          <w:rFonts w:ascii="Times New Roman" w:hAnsi="Times New Roman" w:cs="Times New Roman"/>
          <w:b/>
          <w:sz w:val="24"/>
          <w:szCs w:val="24"/>
          <w:u w:val="single"/>
          <w:lang w:val="es-ES_tradnl"/>
        </w:rPr>
        <w:t>la Entidad deberá ampliar el periodo de suministro</w:t>
      </w:r>
      <w:r w:rsidR="0099441B" w:rsidRPr="00B84990">
        <w:rPr>
          <w:rFonts w:ascii="Times New Roman" w:hAnsi="Times New Roman" w:cs="Times New Roman"/>
          <w:b/>
          <w:sz w:val="24"/>
          <w:szCs w:val="24"/>
          <w:u w:val="single"/>
        </w:rPr>
        <w:t xml:space="preserve">, o iii) en el supuesto que la cantidad resultara insuficiente y no se contara con un mayor presupuesto, </w:t>
      </w:r>
      <w:r w:rsidR="0099441B" w:rsidRPr="00B84990">
        <w:rPr>
          <w:rFonts w:ascii="Times New Roman" w:hAnsi="Times New Roman" w:cs="Times New Roman"/>
          <w:b/>
          <w:sz w:val="24"/>
          <w:szCs w:val="24"/>
          <w:u w:val="single"/>
          <w:lang w:val="es-ES_tradnl"/>
        </w:rPr>
        <w:t xml:space="preserve">la Entidad deberá evaluar y optar por reducir el periodo de suministro, o brindar la ración diaria conforme a la prioridad prevista </w:t>
      </w:r>
      <w:r w:rsidR="0099441B" w:rsidRPr="00B84990">
        <w:rPr>
          <w:rFonts w:ascii="Times New Roman" w:hAnsi="Times New Roman" w:cs="Times New Roman"/>
          <w:b/>
          <w:sz w:val="24"/>
          <w:szCs w:val="24"/>
          <w:u w:val="single"/>
        </w:rPr>
        <w:t>en el numeral 6 de la Ley Nº 27470, Ley que establece normas complementarias para la ejecución del Programa del Vaso de Leche, correspondiendo, con ocasión de la integración de Bases, informar al respecto</w:t>
      </w:r>
      <w:r w:rsidR="0099441B" w:rsidRPr="00B84990">
        <w:rPr>
          <w:rFonts w:ascii="Times New Roman" w:hAnsi="Times New Roman" w:cs="Times New Roman"/>
          <w:sz w:val="24"/>
          <w:szCs w:val="24"/>
        </w:rPr>
        <w:t>.</w:t>
      </w:r>
    </w:p>
    <w:p w:rsidR="007220A6" w:rsidRPr="00B84990" w:rsidRDefault="007220A6" w:rsidP="006F5EB4">
      <w:pPr>
        <w:widowControl w:val="0"/>
        <w:tabs>
          <w:tab w:val="left" w:pos="540"/>
        </w:tabs>
        <w:spacing w:after="0" w:line="240" w:lineRule="auto"/>
        <w:jc w:val="both"/>
        <w:rPr>
          <w:rFonts w:ascii="Times New Roman" w:hAnsi="Times New Roman" w:cs="Times New Roman"/>
          <w:sz w:val="24"/>
          <w:szCs w:val="24"/>
        </w:rPr>
      </w:pPr>
    </w:p>
    <w:p w:rsidR="00C86CD7" w:rsidRPr="00B84990" w:rsidRDefault="00C86CD7" w:rsidP="006F5EB4">
      <w:pPr>
        <w:widowControl w:val="0"/>
        <w:tabs>
          <w:tab w:val="left" w:pos="540"/>
        </w:tabs>
        <w:spacing w:after="0" w:line="240" w:lineRule="auto"/>
        <w:jc w:val="both"/>
        <w:rPr>
          <w:rFonts w:ascii="Times New Roman" w:hAnsi="Times New Roman" w:cs="Times New Roman"/>
          <w:sz w:val="24"/>
          <w:szCs w:val="24"/>
          <w:lang w:eastAsia="es-MX"/>
        </w:rPr>
      </w:pPr>
      <w:r w:rsidRPr="00B84990">
        <w:rPr>
          <w:rFonts w:ascii="Times New Roman" w:hAnsi="Times New Roman" w:cs="Times New Roman"/>
          <w:sz w:val="24"/>
          <w:szCs w:val="24"/>
          <w:lang w:eastAsia="es-MX"/>
        </w:rPr>
        <w:t xml:space="preserve">Cabe acotar que lo señalado en los párrafos anteriores, </w:t>
      </w:r>
      <w:r w:rsidR="00F235DC" w:rsidRPr="00B84990">
        <w:rPr>
          <w:rFonts w:ascii="Times New Roman" w:hAnsi="Times New Roman" w:cs="Times New Roman"/>
          <w:b/>
          <w:sz w:val="24"/>
          <w:szCs w:val="24"/>
          <w:u w:val="single"/>
          <w:lang w:eastAsia="es-MX"/>
        </w:rPr>
        <w:t xml:space="preserve">también </w:t>
      </w:r>
      <w:r w:rsidRPr="00B84990">
        <w:rPr>
          <w:rFonts w:ascii="Times New Roman" w:hAnsi="Times New Roman" w:cs="Times New Roman"/>
          <w:b/>
          <w:sz w:val="24"/>
          <w:szCs w:val="24"/>
          <w:u w:val="single"/>
          <w:lang w:eastAsia="es-MX"/>
        </w:rPr>
        <w:t xml:space="preserve">deberá considerarse para el ítem 2, por lo que deberá verificarse y, de ser el caso, adecuarse </w:t>
      </w:r>
      <w:r w:rsidR="00F235DC" w:rsidRPr="00B84990">
        <w:rPr>
          <w:rFonts w:ascii="Times New Roman" w:hAnsi="Times New Roman" w:cs="Times New Roman"/>
          <w:b/>
          <w:sz w:val="24"/>
          <w:szCs w:val="24"/>
          <w:u w:val="single"/>
          <w:lang w:eastAsia="es-MX"/>
        </w:rPr>
        <w:t>los extremos de las Bases, según corresponda</w:t>
      </w:r>
      <w:r w:rsidRPr="00B84990">
        <w:rPr>
          <w:rFonts w:ascii="Times New Roman" w:hAnsi="Times New Roman" w:cs="Times New Roman"/>
          <w:sz w:val="24"/>
          <w:szCs w:val="24"/>
          <w:lang w:eastAsia="es-MX"/>
        </w:rPr>
        <w:t xml:space="preserve">. </w:t>
      </w:r>
    </w:p>
    <w:p w:rsidR="00D956ED" w:rsidRPr="00B84990" w:rsidRDefault="00D956ED" w:rsidP="006F5EB4">
      <w:pPr>
        <w:widowControl w:val="0"/>
        <w:spacing w:after="0" w:line="240" w:lineRule="auto"/>
        <w:contextualSpacing/>
        <w:jc w:val="both"/>
        <w:rPr>
          <w:rFonts w:ascii="Times New Roman" w:hAnsi="Times New Roman" w:cs="Times New Roman"/>
          <w:b/>
          <w:sz w:val="24"/>
          <w:szCs w:val="24"/>
        </w:rPr>
      </w:pPr>
    </w:p>
    <w:p w:rsidR="00FF38CE" w:rsidRPr="00B84990" w:rsidRDefault="007220A6" w:rsidP="006F5EB4">
      <w:pPr>
        <w:pStyle w:val="Prrafodelista"/>
        <w:widowControl w:val="0"/>
        <w:numPr>
          <w:ilvl w:val="1"/>
          <w:numId w:val="16"/>
        </w:numPr>
        <w:spacing w:after="0" w:line="240" w:lineRule="auto"/>
        <w:contextualSpacing/>
        <w:jc w:val="both"/>
        <w:rPr>
          <w:rFonts w:ascii="Times New Roman" w:hAnsi="Times New Roman" w:cs="Times New Roman"/>
          <w:b/>
          <w:sz w:val="24"/>
          <w:szCs w:val="24"/>
        </w:rPr>
      </w:pPr>
      <w:r w:rsidRPr="00B84990">
        <w:rPr>
          <w:rFonts w:ascii="Times New Roman" w:hAnsi="Times New Roman" w:cs="Times New Roman"/>
          <w:b/>
          <w:sz w:val="24"/>
          <w:szCs w:val="24"/>
        </w:rPr>
        <w:t xml:space="preserve"> </w:t>
      </w:r>
      <w:r w:rsidR="00FF38CE" w:rsidRPr="00B84990">
        <w:rPr>
          <w:rFonts w:ascii="Times New Roman" w:hAnsi="Times New Roman" w:cs="Times New Roman"/>
          <w:b/>
          <w:sz w:val="24"/>
          <w:szCs w:val="24"/>
        </w:rPr>
        <w:t>Plazo de entrega</w:t>
      </w:r>
    </w:p>
    <w:p w:rsidR="00FF38CE" w:rsidRPr="00B84990" w:rsidRDefault="00FF38CE" w:rsidP="006F5EB4">
      <w:pPr>
        <w:pStyle w:val="Prrafodelista"/>
        <w:widowControl w:val="0"/>
        <w:spacing w:after="0" w:line="240" w:lineRule="auto"/>
        <w:ind w:left="567"/>
        <w:contextualSpacing/>
        <w:jc w:val="both"/>
        <w:rPr>
          <w:rFonts w:ascii="Times New Roman" w:hAnsi="Times New Roman" w:cs="Times New Roman"/>
          <w:sz w:val="24"/>
          <w:szCs w:val="24"/>
        </w:rPr>
      </w:pPr>
    </w:p>
    <w:p w:rsidR="005005BF" w:rsidRPr="00B84990" w:rsidRDefault="005005BF" w:rsidP="006F5EB4">
      <w:pPr>
        <w:pStyle w:val="Prrafodelista"/>
        <w:widowControl w:val="0"/>
        <w:tabs>
          <w:tab w:val="left" w:pos="0"/>
        </w:tabs>
        <w:spacing w:after="0" w:line="240" w:lineRule="auto"/>
        <w:ind w:left="0"/>
        <w:contextualSpacing/>
        <w:jc w:val="both"/>
        <w:rPr>
          <w:rFonts w:ascii="Times New Roman" w:hAnsi="Times New Roman" w:cs="Times New Roman"/>
          <w:sz w:val="24"/>
          <w:szCs w:val="24"/>
        </w:rPr>
      </w:pPr>
      <w:r w:rsidRPr="00B84990">
        <w:rPr>
          <w:rFonts w:ascii="Times New Roman" w:hAnsi="Times New Roman" w:cs="Times New Roman"/>
          <w:sz w:val="24"/>
          <w:szCs w:val="24"/>
        </w:rPr>
        <w:t>De la revisión de las Bases se advierte que la primera entrega de los bienes convocados h</w:t>
      </w:r>
      <w:r w:rsidR="00D956ED" w:rsidRPr="00B84990">
        <w:rPr>
          <w:rFonts w:ascii="Times New Roman" w:hAnsi="Times New Roman" w:cs="Times New Roman"/>
          <w:sz w:val="24"/>
          <w:szCs w:val="24"/>
        </w:rPr>
        <w:t>a sido prevista para el mes de marzo</w:t>
      </w:r>
      <w:r w:rsidRPr="00B84990">
        <w:rPr>
          <w:rFonts w:ascii="Times New Roman" w:hAnsi="Times New Roman" w:cs="Times New Roman"/>
          <w:sz w:val="24"/>
          <w:szCs w:val="24"/>
        </w:rPr>
        <w:t xml:space="preserve">. </w:t>
      </w:r>
    </w:p>
    <w:p w:rsidR="00AF77AD" w:rsidRPr="00B84990" w:rsidRDefault="00AF77AD" w:rsidP="006F5EB4">
      <w:pPr>
        <w:pStyle w:val="Prrafodelista"/>
        <w:widowControl w:val="0"/>
        <w:tabs>
          <w:tab w:val="left" w:pos="0"/>
        </w:tabs>
        <w:spacing w:after="0" w:line="240" w:lineRule="auto"/>
        <w:ind w:left="0"/>
        <w:contextualSpacing/>
        <w:jc w:val="both"/>
        <w:rPr>
          <w:rFonts w:ascii="Times New Roman" w:hAnsi="Times New Roman" w:cs="Times New Roman"/>
          <w:sz w:val="24"/>
          <w:szCs w:val="24"/>
        </w:rPr>
      </w:pPr>
    </w:p>
    <w:p w:rsidR="005005BF" w:rsidRDefault="005005BF" w:rsidP="006F5EB4">
      <w:pPr>
        <w:tabs>
          <w:tab w:val="left" w:pos="0"/>
        </w:tabs>
        <w:autoSpaceDE w:val="0"/>
        <w:autoSpaceDN w:val="0"/>
        <w:adjustRightInd w:val="0"/>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 xml:space="preserve">Al respecto, cabe señalar que, en la medida que no se tiene certeza del momento a partir del cual efectuará la entrega de los productos, dado que se encuentran pendientes algunas etapas del proceso de selección así como el plazo previsto por la normativa de contrataciones del Estado para la suscripción del contrato, </w:t>
      </w:r>
      <w:r w:rsidRPr="00B84990">
        <w:rPr>
          <w:rFonts w:ascii="Times New Roman" w:hAnsi="Times New Roman" w:cs="Times New Roman"/>
          <w:b/>
          <w:sz w:val="24"/>
          <w:szCs w:val="24"/>
          <w:u w:val="single"/>
        </w:rPr>
        <w:t>deberá efectuarse</w:t>
      </w:r>
      <w:r w:rsidRPr="00B84990">
        <w:rPr>
          <w:rFonts w:ascii="Times New Roman" w:hAnsi="Times New Roman" w:cs="Times New Roman"/>
          <w:b/>
          <w:sz w:val="24"/>
          <w:szCs w:val="24"/>
        </w:rPr>
        <w:t xml:space="preserve"> </w:t>
      </w:r>
      <w:r w:rsidRPr="00B84990">
        <w:rPr>
          <w:rFonts w:ascii="Times New Roman" w:hAnsi="Times New Roman" w:cs="Times New Roman"/>
          <w:sz w:val="24"/>
          <w:szCs w:val="24"/>
        </w:rPr>
        <w:t xml:space="preserve">lo siguiente: i) </w:t>
      </w:r>
      <w:r w:rsidRPr="00B84990">
        <w:rPr>
          <w:rFonts w:ascii="Times New Roman" w:hAnsi="Times New Roman" w:cs="Times New Roman"/>
          <w:b/>
          <w:sz w:val="24"/>
          <w:szCs w:val="24"/>
          <w:u w:val="single"/>
        </w:rPr>
        <w:t>deberá suprimirse las fechas exactas de entrega, ii) deberá señalarse un plazo razonable en el cual se efectuará la primera entrega, y precisarse que dicho plazo se computará a partir de la firma del contrato o de recibida la orden de compra, y iii) deberá indicarse un plazo razonable en el cual se efectuará la segunda y demás entregas, y precisarse que dicho plazo se computará a partir de recibida la orden de compra</w:t>
      </w:r>
      <w:r w:rsidRPr="00B84990">
        <w:rPr>
          <w:rFonts w:ascii="Times New Roman" w:hAnsi="Times New Roman" w:cs="Times New Roman"/>
          <w:sz w:val="24"/>
          <w:szCs w:val="24"/>
        </w:rPr>
        <w:t xml:space="preserve">, para lo cual </w:t>
      </w:r>
      <w:r w:rsidRPr="00B84990">
        <w:rPr>
          <w:rFonts w:ascii="Times New Roman" w:hAnsi="Times New Roman" w:cs="Times New Roman"/>
          <w:b/>
          <w:sz w:val="24"/>
          <w:szCs w:val="24"/>
          <w:u w:val="single"/>
        </w:rPr>
        <w:t>deberá consignarse para la integración de Bases o para la firma del contrato un cronograma de entregas de órdenes de compra</w:t>
      </w:r>
      <w:r w:rsidRPr="00B84990">
        <w:rPr>
          <w:rFonts w:ascii="Times New Roman" w:hAnsi="Times New Roman" w:cs="Times New Roman"/>
          <w:sz w:val="24"/>
          <w:szCs w:val="24"/>
        </w:rPr>
        <w:t>, a efectos de evitar inconvenientes durante la ejecución contractual.</w:t>
      </w:r>
    </w:p>
    <w:p w:rsidR="00F84544" w:rsidRPr="00B84990" w:rsidRDefault="00F84544" w:rsidP="006F5EB4">
      <w:pPr>
        <w:tabs>
          <w:tab w:val="left" w:pos="0"/>
        </w:tabs>
        <w:autoSpaceDE w:val="0"/>
        <w:autoSpaceDN w:val="0"/>
        <w:adjustRightInd w:val="0"/>
        <w:spacing w:after="0" w:line="240" w:lineRule="auto"/>
        <w:jc w:val="both"/>
        <w:rPr>
          <w:rFonts w:ascii="Times New Roman" w:hAnsi="Times New Roman" w:cs="Times New Roman"/>
          <w:sz w:val="24"/>
          <w:szCs w:val="24"/>
        </w:rPr>
      </w:pPr>
    </w:p>
    <w:p w:rsidR="00144D6A" w:rsidRPr="00B84990" w:rsidRDefault="00144D6A" w:rsidP="006F5EB4">
      <w:pPr>
        <w:tabs>
          <w:tab w:val="left" w:pos="0"/>
        </w:tabs>
        <w:autoSpaceDE w:val="0"/>
        <w:autoSpaceDN w:val="0"/>
        <w:adjustRightInd w:val="0"/>
        <w:spacing w:after="0" w:line="240" w:lineRule="auto"/>
        <w:jc w:val="both"/>
        <w:rPr>
          <w:rFonts w:ascii="Times New Roman" w:hAnsi="Times New Roman" w:cs="Times New Roman"/>
          <w:sz w:val="24"/>
          <w:szCs w:val="24"/>
        </w:rPr>
      </w:pPr>
    </w:p>
    <w:p w:rsidR="007220A6" w:rsidRPr="00B84990" w:rsidRDefault="00802FC1" w:rsidP="006F5EB4">
      <w:pPr>
        <w:pStyle w:val="Prrafodelista"/>
        <w:numPr>
          <w:ilvl w:val="1"/>
          <w:numId w:val="16"/>
        </w:numPr>
        <w:tabs>
          <w:tab w:val="left" w:pos="426"/>
          <w:tab w:val="left" w:pos="1250"/>
        </w:tabs>
        <w:autoSpaceDE w:val="0"/>
        <w:autoSpaceDN w:val="0"/>
        <w:adjustRightInd w:val="0"/>
        <w:spacing w:after="0" w:line="240" w:lineRule="auto"/>
        <w:jc w:val="both"/>
        <w:rPr>
          <w:rFonts w:ascii="Times New Roman" w:hAnsi="Times New Roman" w:cs="Times New Roman"/>
          <w:b/>
          <w:bCs/>
          <w:sz w:val="24"/>
          <w:szCs w:val="24"/>
        </w:rPr>
      </w:pPr>
      <w:r w:rsidRPr="00B84990">
        <w:rPr>
          <w:rFonts w:ascii="Times New Roman" w:hAnsi="Times New Roman" w:cs="Times New Roman"/>
          <w:b/>
          <w:sz w:val="24"/>
          <w:szCs w:val="24"/>
        </w:rPr>
        <w:lastRenderedPageBreak/>
        <w:t xml:space="preserve"> </w:t>
      </w:r>
      <w:r w:rsidRPr="00B84990">
        <w:rPr>
          <w:rFonts w:ascii="Times New Roman" w:hAnsi="Times New Roman" w:cs="Times New Roman"/>
          <w:b/>
          <w:sz w:val="24"/>
          <w:szCs w:val="24"/>
        </w:rPr>
        <w:tab/>
      </w:r>
      <w:r w:rsidR="007220A6" w:rsidRPr="00B84990">
        <w:rPr>
          <w:rFonts w:ascii="Times New Roman" w:hAnsi="Times New Roman" w:cs="Times New Roman"/>
          <w:b/>
          <w:sz w:val="24"/>
          <w:szCs w:val="24"/>
        </w:rPr>
        <w:t xml:space="preserve">Documentación de presentación facultativa </w:t>
      </w:r>
    </w:p>
    <w:p w:rsidR="007220A6" w:rsidRPr="00B84990" w:rsidRDefault="007220A6" w:rsidP="006F5EB4">
      <w:pPr>
        <w:pStyle w:val="Prrafodelista"/>
        <w:tabs>
          <w:tab w:val="left" w:pos="426"/>
          <w:tab w:val="left" w:pos="1250"/>
        </w:tabs>
        <w:autoSpaceDE w:val="0"/>
        <w:autoSpaceDN w:val="0"/>
        <w:adjustRightInd w:val="0"/>
        <w:spacing w:after="0" w:line="240" w:lineRule="auto"/>
        <w:ind w:left="360"/>
        <w:jc w:val="both"/>
        <w:rPr>
          <w:rFonts w:ascii="Times New Roman" w:hAnsi="Times New Roman" w:cs="Times New Roman"/>
          <w:sz w:val="24"/>
          <w:szCs w:val="24"/>
        </w:rPr>
      </w:pPr>
    </w:p>
    <w:p w:rsidR="00DD6E71" w:rsidRPr="00B84990" w:rsidRDefault="00DD6E71" w:rsidP="006F5EB4">
      <w:pPr>
        <w:pStyle w:val="Textoindependiente2"/>
        <w:keepLines/>
        <w:widowControl w:val="0"/>
        <w:numPr>
          <w:ilvl w:val="0"/>
          <w:numId w:val="18"/>
        </w:numPr>
        <w:tabs>
          <w:tab w:val="left" w:pos="567"/>
          <w:tab w:val="left" w:pos="1418"/>
        </w:tabs>
        <w:autoSpaceDE w:val="0"/>
        <w:autoSpaceDN w:val="0"/>
        <w:adjustRightInd w:val="0"/>
        <w:spacing w:after="0" w:line="240" w:lineRule="auto"/>
        <w:ind w:left="567" w:right="26" w:hanging="425"/>
        <w:jc w:val="both"/>
        <w:rPr>
          <w:rFonts w:ascii="Times New Roman" w:hAnsi="Times New Roman" w:cs="Times New Roman"/>
          <w:bCs/>
          <w:sz w:val="24"/>
          <w:szCs w:val="24"/>
        </w:rPr>
      </w:pPr>
      <w:r w:rsidRPr="00B84990">
        <w:rPr>
          <w:rFonts w:ascii="Times New Roman" w:hAnsi="Times New Roman" w:cs="Times New Roman"/>
          <w:bCs/>
          <w:sz w:val="24"/>
          <w:szCs w:val="24"/>
        </w:rPr>
        <w:t xml:space="preserve">En el literal a) de la documentación de presentación facultativa se considera la presentación del Certificado de inscripción o reinscripción en el Registro de la Micho y Pequeña Empresa-REMYPE, y el Certificado o Constancia con el cual se acredite su inscripción en el Registro de Empresas Promocionales para Personas con Discapacidad. </w:t>
      </w:r>
    </w:p>
    <w:p w:rsidR="00DD6E71" w:rsidRPr="00B84990" w:rsidRDefault="00DD6E71" w:rsidP="006F5EB4">
      <w:pPr>
        <w:pStyle w:val="Textoindependiente2"/>
        <w:keepLines/>
        <w:widowControl w:val="0"/>
        <w:tabs>
          <w:tab w:val="left" w:pos="567"/>
          <w:tab w:val="left" w:pos="1418"/>
        </w:tabs>
        <w:autoSpaceDE w:val="0"/>
        <w:autoSpaceDN w:val="0"/>
        <w:adjustRightInd w:val="0"/>
        <w:spacing w:after="0" w:line="240" w:lineRule="auto"/>
        <w:ind w:left="567" w:right="26"/>
        <w:jc w:val="both"/>
        <w:rPr>
          <w:rFonts w:ascii="Times New Roman" w:hAnsi="Times New Roman" w:cs="Times New Roman"/>
          <w:bCs/>
          <w:sz w:val="24"/>
          <w:szCs w:val="24"/>
        </w:rPr>
      </w:pPr>
    </w:p>
    <w:p w:rsidR="00DD6E71" w:rsidRPr="00B84990" w:rsidRDefault="00DD6E71" w:rsidP="006F5EB4">
      <w:pPr>
        <w:pStyle w:val="Textoindependiente2"/>
        <w:keepLines/>
        <w:widowControl w:val="0"/>
        <w:tabs>
          <w:tab w:val="left" w:pos="567"/>
          <w:tab w:val="left" w:pos="1418"/>
        </w:tabs>
        <w:autoSpaceDE w:val="0"/>
        <w:autoSpaceDN w:val="0"/>
        <w:adjustRightInd w:val="0"/>
        <w:spacing w:after="0" w:line="240" w:lineRule="auto"/>
        <w:ind w:left="567" w:right="26" w:hanging="567"/>
        <w:jc w:val="both"/>
        <w:rPr>
          <w:rFonts w:ascii="Times New Roman" w:hAnsi="Times New Roman" w:cs="Times New Roman"/>
          <w:iCs/>
          <w:sz w:val="24"/>
          <w:szCs w:val="24"/>
        </w:rPr>
      </w:pPr>
      <w:r w:rsidRPr="00B84990">
        <w:rPr>
          <w:rFonts w:ascii="Times New Roman" w:hAnsi="Times New Roman" w:cs="Times New Roman"/>
          <w:bCs/>
          <w:sz w:val="24"/>
          <w:szCs w:val="24"/>
        </w:rPr>
        <w:tab/>
        <w:t xml:space="preserve">Al respecto, cabe señalar que considerar la presentación de tales documentos para el presente proceso de selección resulta innecesario, </w:t>
      </w:r>
      <w:r w:rsidRPr="00B84990">
        <w:rPr>
          <w:rFonts w:ascii="Times New Roman" w:hAnsi="Times New Roman" w:cs="Times New Roman"/>
          <w:iCs/>
          <w:sz w:val="24"/>
          <w:szCs w:val="24"/>
        </w:rPr>
        <w:t xml:space="preserve">dado que dichos certificados sólo revisten importancia en procesos Adjudicaciones Directas y AMC’s para efectos de un desempate de propuestas, conforme lo establecido en el artículo 73º del Reglamento. En esa medida, con ocasión de la integración de las Bases, </w:t>
      </w:r>
      <w:r w:rsidRPr="00B84990">
        <w:rPr>
          <w:rFonts w:ascii="Times New Roman" w:hAnsi="Times New Roman" w:cs="Times New Roman"/>
          <w:b/>
          <w:iCs/>
          <w:sz w:val="24"/>
          <w:szCs w:val="24"/>
          <w:u w:val="single"/>
        </w:rPr>
        <w:t>deberá suprimirse</w:t>
      </w:r>
      <w:r w:rsidRPr="00B84990">
        <w:rPr>
          <w:rFonts w:ascii="Times New Roman" w:hAnsi="Times New Roman" w:cs="Times New Roman"/>
          <w:iCs/>
          <w:sz w:val="24"/>
          <w:szCs w:val="24"/>
        </w:rPr>
        <w:t xml:space="preserve"> lo señalado en el literal a) de la documentación de presentación facultativa. </w:t>
      </w:r>
    </w:p>
    <w:p w:rsidR="00DD6E71" w:rsidRPr="00B84990" w:rsidRDefault="00DD6E71" w:rsidP="006F5EB4">
      <w:pPr>
        <w:pStyle w:val="Textoindependiente2"/>
        <w:keepLines/>
        <w:widowControl w:val="0"/>
        <w:tabs>
          <w:tab w:val="left" w:pos="567"/>
          <w:tab w:val="left" w:pos="1418"/>
        </w:tabs>
        <w:autoSpaceDE w:val="0"/>
        <w:autoSpaceDN w:val="0"/>
        <w:adjustRightInd w:val="0"/>
        <w:spacing w:after="0" w:line="240" w:lineRule="auto"/>
        <w:ind w:left="567" w:right="26"/>
        <w:jc w:val="both"/>
        <w:rPr>
          <w:rFonts w:ascii="Times New Roman" w:hAnsi="Times New Roman" w:cs="Times New Roman"/>
          <w:bCs/>
          <w:sz w:val="24"/>
          <w:szCs w:val="24"/>
        </w:rPr>
      </w:pPr>
    </w:p>
    <w:p w:rsidR="00DD6E71" w:rsidRPr="00B84990" w:rsidRDefault="00DD6E71" w:rsidP="006F5EB4">
      <w:pPr>
        <w:pStyle w:val="Textoindependiente2"/>
        <w:keepLines/>
        <w:widowControl w:val="0"/>
        <w:numPr>
          <w:ilvl w:val="0"/>
          <w:numId w:val="18"/>
        </w:numPr>
        <w:tabs>
          <w:tab w:val="left" w:pos="567"/>
          <w:tab w:val="left" w:pos="1418"/>
        </w:tabs>
        <w:autoSpaceDE w:val="0"/>
        <w:autoSpaceDN w:val="0"/>
        <w:adjustRightInd w:val="0"/>
        <w:spacing w:after="0" w:line="240" w:lineRule="auto"/>
        <w:ind w:left="567" w:right="26" w:hanging="425"/>
        <w:jc w:val="both"/>
        <w:rPr>
          <w:rFonts w:ascii="Times New Roman" w:hAnsi="Times New Roman" w:cs="Times New Roman"/>
          <w:bCs/>
          <w:sz w:val="24"/>
          <w:szCs w:val="24"/>
        </w:rPr>
      </w:pPr>
      <w:r w:rsidRPr="00B84990">
        <w:rPr>
          <w:rFonts w:ascii="Times New Roman" w:eastAsia="Times New Roman" w:hAnsi="Times New Roman" w:cs="Times New Roman"/>
          <w:b/>
          <w:sz w:val="24"/>
          <w:szCs w:val="24"/>
          <w:u w:val="single"/>
          <w:lang w:eastAsia="es-MX"/>
        </w:rPr>
        <w:t>Deberá adecuarse</w:t>
      </w:r>
      <w:r w:rsidRPr="00B84990">
        <w:rPr>
          <w:rFonts w:ascii="Times New Roman" w:eastAsia="Times New Roman" w:hAnsi="Times New Roman" w:cs="Times New Roman"/>
          <w:b/>
          <w:sz w:val="24"/>
          <w:szCs w:val="24"/>
          <w:lang w:eastAsia="es-MX"/>
        </w:rPr>
        <w:t xml:space="preserve"> </w:t>
      </w:r>
      <w:r w:rsidRPr="00B84990">
        <w:rPr>
          <w:rFonts w:ascii="Times New Roman" w:eastAsia="Times New Roman" w:hAnsi="Times New Roman" w:cs="Times New Roman"/>
          <w:sz w:val="24"/>
          <w:szCs w:val="24"/>
          <w:lang w:eastAsia="es-MX"/>
        </w:rPr>
        <w:t xml:space="preserve">lo </w:t>
      </w:r>
      <w:r w:rsidR="00E75025" w:rsidRPr="00B84990">
        <w:rPr>
          <w:rFonts w:ascii="Times New Roman" w:eastAsia="Times New Roman" w:hAnsi="Times New Roman" w:cs="Times New Roman"/>
          <w:sz w:val="24"/>
          <w:szCs w:val="24"/>
          <w:lang w:eastAsia="es-MX"/>
        </w:rPr>
        <w:t xml:space="preserve">señalado en </w:t>
      </w:r>
      <w:r w:rsidRPr="00B84990">
        <w:rPr>
          <w:rFonts w:ascii="Times New Roman" w:eastAsia="Times New Roman" w:hAnsi="Times New Roman" w:cs="Times New Roman"/>
          <w:sz w:val="24"/>
          <w:szCs w:val="24"/>
          <w:lang w:eastAsia="es-MX"/>
        </w:rPr>
        <w:t xml:space="preserve">la </w:t>
      </w:r>
      <w:r w:rsidR="00CF5CAE">
        <w:rPr>
          <w:rFonts w:ascii="Times New Roman" w:eastAsia="Times New Roman" w:hAnsi="Times New Roman" w:cs="Times New Roman"/>
          <w:sz w:val="24"/>
          <w:szCs w:val="24"/>
          <w:lang w:eastAsia="es-MX"/>
        </w:rPr>
        <w:t>documentación de</w:t>
      </w:r>
      <w:r w:rsidRPr="00B84990">
        <w:rPr>
          <w:rFonts w:ascii="Times New Roman" w:eastAsia="Times New Roman" w:hAnsi="Times New Roman" w:cs="Times New Roman"/>
          <w:sz w:val="24"/>
          <w:szCs w:val="24"/>
          <w:lang w:eastAsia="es-MX"/>
        </w:rPr>
        <w:t xml:space="preserve"> presentación facultativa relacionado con el factor “Cumplimiento de la prestación”, de tal forma que se señale que para acreditar dicho factor se podrá presentar un máximo de veinte (20) constancias de prestación o cualquier otro documento que, independientemente de su denominación, indique, como mínimo, lo siguiente: i) L</w:t>
      </w:r>
      <w:r w:rsidRPr="00B84990">
        <w:rPr>
          <w:rFonts w:ascii="Times New Roman" w:eastAsia="Times New Roman" w:hAnsi="Times New Roman" w:cs="Times New Roman"/>
          <w:iCs/>
          <w:sz w:val="24"/>
          <w:szCs w:val="24"/>
          <w:lang w:eastAsia="es-ES"/>
        </w:rPr>
        <w:t>a identificación del contrato, indicando como mínimo su objeto, ii) El monto correspondiente; esto es, el importe total al que asciende el contrato, comprendiendo las variaciones por adicionales, reducciones, reajustes, etc., que se hubieran aplicado durante la ejecución contractual, y iii) Las penalidades en que hubiera incurrido el contratista durante la ejecución de dicho contrato.</w:t>
      </w:r>
    </w:p>
    <w:p w:rsidR="00DD6E71" w:rsidRPr="00B84990" w:rsidRDefault="00DD6E71" w:rsidP="006F5EB4">
      <w:pPr>
        <w:pStyle w:val="Textoindependiente2"/>
        <w:keepLines/>
        <w:widowControl w:val="0"/>
        <w:tabs>
          <w:tab w:val="left" w:pos="567"/>
          <w:tab w:val="left" w:pos="1418"/>
        </w:tabs>
        <w:autoSpaceDE w:val="0"/>
        <w:autoSpaceDN w:val="0"/>
        <w:adjustRightInd w:val="0"/>
        <w:spacing w:after="0" w:line="240" w:lineRule="auto"/>
        <w:ind w:left="567" w:right="26"/>
        <w:jc w:val="both"/>
        <w:rPr>
          <w:rFonts w:ascii="Times New Roman" w:eastAsia="Times New Roman" w:hAnsi="Times New Roman" w:cs="Times New Roman"/>
          <w:b/>
          <w:sz w:val="24"/>
          <w:szCs w:val="24"/>
          <w:u w:val="single"/>
          <w:lang w:eastAsia="es-MX"/>
        </w:rPr>
      </w:pPr>
    </w:p>
    <w:p w:rsidR="00DD6E71" w:rsidRPr="00B84990" w:rsidRDefault="00DD6E71" w:rsidP="006F5EB4">
      <w:pPr>
        <w:pStyle w:val="Textoindependiente2"/>
        <w:keepLines/>
        <w:widowControl w:val="0"/>
        <w:tabs>
          <w:tab w:val="left" w:pos="567"/>
          <w:tab w:val="left" w:pos="1418"/>
        </w:tabs>
        <w:autoSpaceDE w:val="0"/>
        <w:autoSpaceDN w:val="0"/>
        <w:adjustRightInd w:val="0"/>
        <w:spacing w:after="0" w:line="240" w:lineRule="auto"/>
        <w:ind w:left="567" w:right="26"/>
        <w:jc w:val="both"/>
        <w:rPr>
          <w:rFonts w:ascii="Times New Roman" w:hAnsi="Times New Roman" w:cs="Times New Roman"/>
          <w:bCs/>
          <w:sz w:val="24"/>
          <w:szCs w:val="24"/>
        </w:rPr>
      </w:pPr>
      <w:r w:rsidRPr="00B84990">
        <w:rPr>
          <w:rFonts w:ascii="Times New Roman" w:hAnsi="Times New Roman" w:cs="Times New Roman"/>
          <w:sz w:val="24"/>
          <w:szCs w:val="24"/>
        </w:rPr>
        <w:t xml:space="preserve">Asimismo, </w:t>
      </w:r>
      <w:r w:rsidRPr="00B84990">
        <w:rPr>
          <w:rFonts w:ascii="Times New Roman" w:hAnsi="Times New Roman" w:cs="Times New Roman"/>
          <w:b/>
          <w:sz w:val="24"/>
          <w:szCs w:val="24"/>
          <w:u w:val="single"/>
        </w:rPr>
        <w:t>deberá adecuarse</w:t>
      </w:r>
      <w:r w:rsidRPr="00B84990">
        <w:rPr>
          <w:rFonts w:ascii="Times New Roman" w:hAnsi="Times New Roman" w:cs="Times New Roman"/>
          <w:sz w:val="24"/>
          <w:szCs w:val="24"/>
        </w:rPr>
        <w:t xml:space="preserve"> el criterio de calificación establecido en el factor “Cumplimiento de la Prestación”, </w:t>
      </w:r>
      <w:r w:rsidR="00E75025" w:rsidRPr="00B84990">
        <w:rPr>
          <w:rFonts w:ascii="Times New Roman" w:hAnsi="Times New Roman" w:cs="Times New Roman"/>
          <w:sz w:val="24"/>
          <w:szCs w:val="24"/>
        </w:rPr>
        <w:t xml:space="preserve">tanto del ítem 1 como del ítem 2, </w:t>
      </w:r>
      <w:r w:rsidRPr="00B84990">
        <w:rPr>
          <w:rFonts w:ascii="Times New Roman" w:hAnsi="Times New Roman" w:cs="Times New Roman"/>
          <w:sz w:val="24"/>
          <w:szCs w:val="24"/>
        </w:rPr>
        <w:t>de acuerdo con lo dispuesto en las Bases Estándar  de Licitación Pública para la contratación de suministro de bienes.</w:t>
      </w:r>
    </w:p>
    <w:p w:rsidR="007220A6" w:rsidRPr="00B84990" w:rsidRDefault="007220A6" w:rsidP="006F5EB4">
      <w:pPr>
        <w:pStyle w:val="Prrafodelista"/>
        <w:tabs>
          <w:tab w:val="left" w:pos="426"/>
          <w:tab w:val="left" w:pos="1250"/>
        </w:tabs>
        <w:autoSpaceDE w:val="0"/>
        <w:autoSpaceDN w:val="0"/>
        <w:adjustRightInd w:val="0"/>
        <w:spacing w:after="0" w:line="240" w:lineRule="auto"/>
        <w:ind w:left="360"/>
        <w:jc w:val="both"/>
        <w:rPr>
          <w:rFonts w:ascii="Times New Roman" w:hAnsi="Times New Roman" w:cs="Times New Roman"/>
          <w:b/>
          <w:bCs/>
          <w:sz w:val="24"/>
          <w:szCs w:val="24"/>
        </w:rPr>
      </w:pPr>
    </w:p>
    <w:p w:rsidR="00802FC1" w:rsidRPr="00B84990" w:rsidRDefault="00802FC1" w:rsidP="006F5EB4">
      <w:pPr>
        <w:pStyle w:val="Prrafodelista"/>
        <w:numPr>
          <w:ilvl w:val="1"/>
          <w:numId w:val="16"/>
        </w:numPr>
        <w:tabs>
          <w:tab w:val="left" w:pos="426"/>
          <w:tab w:val="left" w:pos="1250"/>
        </w:tabs>
        <w:autoSpaceDE w:val="0"/>
        <w:autoSpaceDN w:val="0"/>
        <w:adjustRightInd w:val="0"/>
        <w:spacing w:after="0" w:line="240" w:lineRule="auto"/>
        <w:jc w:val="both"/>
        <w:rPr>
          <w:rFonts w:ascii="Times New Roman" w:hAnsi="Times New Roman" w:cs="Times New Roman"/>
          <w:b/>
          <w:bCs/>
          <w:sz w:val="24"/>
          <w:szCs w:val="24"/>
        </w:rPr>
      </w:pPr>
      <w:r w:rsidRPr="00B84990">
        <w:rPr>
          <w:rFonts w:ascii="Times New Roman" w:hAnsi="Times New Roman" w:cs="Times New Roman"/>
          <w:b/>
          <w:bCs/>
          <w:sz w:val="24"/>
          <w:szCs w:val="24"/>
        </w:rPr>
        <w:t>Modificaciones al Reglamento derivadas de la entrada en vigencia del Decreto Supremo Nº 080-2014-EF</w:t>
      </w:r>
      <w:r w:rsidRPr="00B84990">
        <w:rPr>
          <w:rFonts w:ascii="Times New Roman" w:hAnsi="Times New Roman" w:cs="Times New Roman"/>
          <w:sz w:val="24"/>
          <w:szCs w:val="24"/>
        </w:rPr>
        <w:t xml:space="preserve"> (Publicado en el Diario Oficial “El Peruano” el 22.04.14).</w:t>
      </w:r>
      <w:r w:rsidRPr="00B84990">
        <w:rPr>
          <w:rFonts w:ascii="Times New Roman" w:hAnsi="Times New Roman" w:cs="Times New Roman"/>
          <w:b/>
          <w:bCs/>
          <w:sz w:val="24"/>
          <w:szCs w:val="24"/>
        </w:rPr>
        <w:t xml:space="preserve"> </w:t>
      </w:r>
    </w:p>
    <w:p w:rsidR="00802FC1" w:rsidRPr="00B84990" w:rsidRDefault="00802FC1" w:rsidP="006F5EB4">
      <w:pPr>
        <w:tabs>
          <w:tab w:val="left" w:pos="540"/>
        </w:tabs>
        <w:autoSpaceDE w:val="0"/>
        <w:autoSpaceDN w:val="0"/>
        <w:adjustRightInd w:val="0"/>
        <w:spacing w:after="0" w:line="240" w:lineRule="auto"/>
        <w:jc w:val="both"/>
        <w:rPr>
          <w:rFonts w:ascii="Times New Roman" w:hAnsi="Times New Roman" w:cs="Times New Roman"/>
          <w:b/>
          <w:bCs/>
          <w:sz w:val="24"/>
          <w:szCs w:val="24"/>
        </w:rPr>
      </w:pPr>
    </w:p>
    <w:p w:rsidR="00802FC1" w:rsidRPr="00B84990" w:rsidRDefault="00802FC1" w:rsidP="006F5EB4">
      <w:pPr>
        <w:widowControl w:val="0"/>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De conformidad con el Decreto Supremo N° 080-2014-EF, que modifica el Reglamento d</w:t>
      </w:r>
      <w:r w:rsidR="007220A6" w:rsidRPr="00B84990">
        <w:rPr>
          <w:rFonts w:ascii="Times New Roman" w:hAnsi="Times New Roman" w:cs="Times New Roman"/>
          <w:sz w:val="24"/>
          <w:szCs w:val="24"/>
        </w:rPr>
        <w:t>e la Ley de Contrataciones del E</w:t>
      </w:r>
      <w:r w:rsidRPr="00B84990">
        <w:rPr>
          <w:rFonts w:ascii="Times New Roman" w:hAnsi="Times New Roman" w:cs="Times New Roman"/>
          <w:sz w:val="24"/>
          <w:szCs w:val="24"/>
        </w:rPr>
        <w:t xml:space="preserve">stado, </w:t>
      </w:r>
      <w:r w:rsidRPr="00B84990">
        <w:rPr>
          <w:rFonts w:ascii="Times New Roman" w:hAnsi="Times New Roman" w:cs="Times New Roman"/>
          <w:b/>
          <w:sz w:val="24"/>
          <w:szCs w:val="24"/>
          <w:u w:val="single"/>
        </w:rPr>
        <w:t>deberá</w:t>
      </w:r>
      <w:r w:rsidR="001B20F5" w:rsidRPr="00B84990">
        <w:rPr>
          <w:rFonts w:ascii="Times New Roman" w:hAnsi="Times New Roman" w:cs="Times New Roman"/>
          <w:b/>
          <w:sz w:val="24"/>
          <w:szCs w:val="24"/>
          <w:u w:val="single"/>
        </w:rPr>
        <w:t xml:space="preserve"> precisarse</w:t>
      </w:r>
      <w:r w:rsidR="001B20F5" w:rsidRPr="00B84990">
        <w:rPr>
          <w:rFonts w:ascii="Times New Roman" w:hAnsi="Times New Roman" w:cs="Times New Roman"/>
          <w:sz w:val="24"/>
          <w:szCs w:val="24"/>
        </w:rPr>
        <w:t xml:space="preserve"> en el numeral 1.10</w:t>
      </w:r>
      <w:r w:rsidRPr="00B84990">
        <w:rPr>
          <w:rFonts w:ascii="Times New Roman" w:hAnsi="Times New Roman" w:cs="Times New Roman"/>
          <w:sz w:val="24"/>
          <w:szCs w:val="24"/>
        </w:rPr>
        <w:t xml:space="preserve"> “Forma de presentación de propuestas y acreditación” del Capítulo I de la Sección General, lo siguiente:</w:t>
      </w:r>
    </w:p>
    <w:p w:rsidR="00802FC1" w:rsidRPr="00B84990" w:rsidRDefault="00802FC1" w:rsidP="006F5EB4">
      <w:pPr>
        <w:tabs>
          <w:tab w:val="left" w:pos="284"/>
        </w:tabs>
        <w:autoSpaceDE w:val="0"/>
        <w:autoSpaceDN w:val="0"/>
        <w:adjustRightInd w:val="0"/>
        <w:spacing w:after="0" w:line="240" w:lineRule="auto"/>
        <w:ind w:left="426"/>
        <w:jc w:val="both"/>
        <w:rPr>
          <w:rFonts w:ascii="Times New Roman" w:hAnsi="Times New Roman" w:cs="Times New Roman"/>
          <w:sz w:val="24"/>
          <w:szCs w:val="24"/>
        </w:rPr>
      </w:pPr>
    </w:p>
    <w:p w:rsidR="00802FC1" w:rsidRPr="00B84990" w:rsidRDefault="00802FC1" w:rsidP="006F5EB4">
      <w:pPr>
        <w:tabs>
          <w:tab w:val="left" w:pos="284"/>
        </w:tabs>
        <w:autoSpaceDE w:val="0"/>
        <w:autoSpaceDN w:val="0"/>
        <w:adjustRightInd w:val="0"/>
        <w:spacing w:after="0" w:line="240" w:lineRule="auto"/>
        <w:ind w:left="708"/>
        <w:jc w:val="both"/>
        <w:rPr>
          <w:rFonts w:ascii="Times New Roman" w:hAnsi="Times New Roman" w:cs="Times New Roman"/>
          <w:i/>
          <w:iCs/>
          <w:sz w:val="24"/>
          <w:szCs w:val="24"/>
        </w:rPr>
      </w:pPr>
      <w:r w:rsidRPr="00B84990">
        <w:rPr>
          <w:rFonts w:ascii="Times New Roman" w:hAnsi="Times New Roman" w:cs="Times New Roman"/>
          <w:i/>
          <w:iCs/>
          <w:sz w:val="24"/>
          <w:szCs w:val="24"/>
        </w:rPr>
        <w:t>“Todos los documentos que contengan información referida a los requisitos para la admisión de propuestas y factores de evaluación se presentan en idioma castellano o, en su defecto, acompañados de traducción oficial o sin valor oficial efectuada por traductor público juramentado o traducción certificada efectuada por traductor colegiado certificado, salvo el caso de la información técnica complementaria contenida en folletos, instructivos, catálogos o similares, que puede ser presentada en el idioma original. El postor es responsable de la exactitud y veracidad de dichos documentos”</w:t>
      </w:r>
      <w:r w:rsidR="007220A6" w:rsidRPr="00B84990">
        <w:rPr>
          <w:rFonts w:ascii="Times New Roman" w:hAnsi="Times New Roman" w:cs="Times New Roman"/>
          <w:i/>
          <w:iCs/>
          <w:sz w:val="24"/>
          <w:szCs w:val="24"/>
        </w:rPr>
        <w:t xml:space="preserve">. </w:t>
      </w:r>
    </w:p>
    <w:p w:rsidR="00802FC1" w:rsidRPr="00B84990" w:rsidRDefault="00802FC1" w:rsidP="006F5EB4">
      <w:pPr>
        <w:tabs>
          <w:tab w:val="left" w:pos="284"/>
        </w:tabs>
        <w:autoSpaceDE w:val="0"/>
        <w:autoSpaceDN w:val="0"/>
        <w:adjustRightInd w:val="0"/>
        <w:spacing w:after="0" w:line="240" w:lineRule="auto"/>
        <w:ind w:left="426"/>
        <w:jc w:val="both"/>
        <w:rPr>
          <w:rFonts w:ascii="Times New Roman" w:hAnsi="Times New Roman" w:cs="Times New Roman"/>
          <w:i/>
          <w:iCs/>
          <w:sz w:val="24"/>
          <w:szCs w:val="24"/>
        </w:rPr>
      </w:pPr>
    </w:p>
    <w:p w:rsidR="00802FC1" w:rsidRPr="00B84990" w:rsidRDefault="00802FC1" w:rsidP="006F5EB4">
      <w:pPr>
        <w:tabs>
          <w:tab w:val="left" w:pos="284"/>
        </w:tabs>
        <w:autoSpaceDE w:val="0"/>
        <w:autoSpaceDN w:val="0"/>
        <w:adjustRightInd w:val="0"/>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lastRenderedPageBreak/>
        <w:t xml:space="preserve">Asimismo, </w:t>
      </w:r>
      <w:r w:rsidRPr="00B84990">
        <w:rPr>
          <w:rFonts w:ascii="Times New Roman" w:hAnsi="Times New Roman" w:cs="Times New Roman"/>
          <w:b/>
          <w:bCs/>
          <w:sz w:val="24"/>
          <w:szCs w:val="24"/>
          <w:u w:val="single"/>
        </w:rPr>
        <w:t>deberá modificarse el Capítulo III de la Sección General de las Bases</w:t>
      </w:r>
      <w:r w:rsidRPr="00B84990">
        <w:rPr>
          <w:rFonts w:ascii="Times New Roman" w:hAnsi="Times New Roman" w:cs="Times New Roman"/>
          <w:sz w:val="24"/>
          <w:szCs w:val="24"/>
        </w:rPr>
        <w:t xml:space="preserve"> de acuerdo a las Bases Estandarizadas de la </w:t>
      </w:r>
      <w:r w:rsidR="001B20F5" w:rsidRPr="00B84990">
        <w:rPr>
          <w:rFonts w:ascii="Times New Roman" w:hAnsi="Times New Roman" w:cs="Times New Roman"/>
          <w:sz w:val="24"/>
          <w:szCs w:val="24"/>
        </w:rPr>
        <w:t xml:space="preserve">Licitación Pública </w:t>
      </w:r>
      <w:r w:rsidRPr="00B84990">
        <w:rPr>
          <w:rFonts w:ascii="Times New Roman" w:hAnsi="Times New Roman" w:cs="Times New Roman"/>
          <w:sz w:val="24"/>
          <w:szCs w:val="24"/>
        </w:rPr>
        <w:t>para la contratación de</w:t>
      </w:r>
      <w:r w:rsidR="001B20F5" w:rsidRPr="00B84990">
        <w:rPr>
          <w:rFonts w:ascii="Times New Roman" w:hAnsi="Times New Roman" w:cs="Times New Roman"/>
          <w:sz w:val="24"/>
          <w:szCs w:val="24"/>
        </w:rPr>
        <w:t xml:space="preserve"> suministro de bienes</w:t>
      </w:r>
      <w:r w:rsidRPr="00B84990">
        <w:rPr>
          <w:rFonts w:ascii="Times New Roman" w:hAnsi="Times New Roman" w:cs="Times New Roman"/>
          <w:sz w:val="24"/>
          <w:szCs w:val="24"/>
        </w:rPr>
        <w:t xml:space="preserve">, </w:t>
      </w:r>
      <w:r w:rsidRPr="00B84990">
        <w:rPr>
          <w:rFonts w:ascii="Times New Roman" w:hAnsi="Times New Roman" w:cs="Times New Roman"/>
          <w:sz w:val="24"/>
          <w:szCs w:val="24"/>
          <w:u w:val="single"/>
        </w:rPr>
        <w:t>las cuales contienen las modificaciones realizadas en mérito a lo dispuesto en el Decreto Supremo N° 080-2014-EF</w:t>
      </w:r>
      <w:r w:rsidRPr="00B84990">
        <w:rPr>
          <w:rFonts w:ascii="Times New Roman" w:hAnsi="Times New Roman" w:cs="Times New Roman"/>
          <w:sz w:val="24"/>
          <w:szCs w:val="24"/>
        </w:rPr>
        <w:t>.</w:t>
      </w:r>
    </w:p>
    <w:p w:rsidR="00802FC1" w:rsidRPr="00B84990" w:rsidRDefault="00802FC1" w:rsidP="006F5EB4">
      <w:pPr>
        <w:tabs>
          <w:tab w:val="left" w:pos="284"/>
        </w:tabs>
        <w:autoSpaceDE w:val="0"/>
        <w:autoSpaceDN w:val="0"/>
        <w:adjustRightInd w:val="0"/>
        <w:spacing w:after="0" w:line="240" w:lineRule="auto"/>
        <w:ind w:left="426"/>
        <w:jc w:val="both"/>
        <w:rPr>
          <w:rFonts w:ascii="Times New Roman" w:hAnsi="Times New Roman" w:cs="Times New Roman"/>
          <w:sz w:val="24"/>
          <w:szCs w:val="24"/>
        </w:rPr>
      </w:pPr>
    </w:p>
    <w:p w:rsidR="00802FC1" w:rsidRPr="00B84990" w:rsidRDefault="00802FC1" w:rsidP="006F5EB4">
      <w:pPr>
        <w:widowControl w:val="0"/>
        <w:spacing w:after="0" w:line="240" w:lineRule="auto"/>
        <w:jc w:val="both"/>
        <w:rPr>
          <w:rFonts w:ascii="Times New Roman" w:hAnsi="Times New Roman" w:cs="Times New Roman"/>
          <w:sz w:val="24"/>
          <w:szCs w:val="24"/>
        </w:rPr>
      </w:pPr>
      <w:r w:rsidRPr="00B84990">
        <w:rPr>
          <w:rFonts w:ascii="Times New Roman" w:hAnsi="Times New Roman" w:cs="Times New Roman"/>
          <w:sz w:val="24"/>
          <w:szCs w:val="24"/>
        </w:rPr>
        <w:t xml:space="preserve">Cabe precisar que, la Entidad </w:t>
      </w:r>
      <w:r w:rsidRPr="00B84990">
        <w:rPr>
          <w:rFonts w:ascii="Times New Roman" w:hAnsi="Times New Roman" w:cs="Times New Roman"/>
          <w:b/>
          <w:bCs/>
          <w:sz w:val="24"/>
          <w:szCs w:val="24"/>
          <w:u w:val="single"/>
        </w:rPr>
        <w:t>deberá verificar</w:t>
      </w:r>
      <w:r w:rsidRPr="00B84990">
        <w:rPr>
          <w:rFonts w:ascii="Times New Roman" w:hAnsi="Times New Roman" w:cs="Times New Roman"/>
          <w:sz w:val="24"/>
          <w:szCs w:val="24"/>
        </w:rPr>
        <w:t xml:space="preserve"> que las Bases del presente proceso se encuentren acorde con las referidas Bases Estandarizadas, siendo que, en caso de advertir incongruencias entre ambas, </w:t>
      </w:r>
      <w:r w:rsidRPr="00B84990">
        <w:rPr>
          <w:rFonts w:ascii="Times New Roman" w:hAnsi="Times New Roman" w:cs="Times New Roman"/>
          <w:b/>
          <w:bCs/>
          <w:sz w:val="24"/>
          <w:szCs w:val="24"/>
          <w:u w:val="single"/>
        </w:rPr>
        <w:t>deberán realizarse las modificaciones pertinentes con ocasión de la integración de las Bases</w:t>
      </w:r>
      <w:r w:rsidRPr="00B84990">
        <w:rPr>
          <w:rFonts w:ascii="Times New Roman" w:hAnsi="Times New Roman" w:cs="Times New Roman"/>
          <w:sz w:val="24"/>
          <w:szCs w:val="24"/>
        </w:rPr>
        <w:t>.</w:t>
      </w:r>
    </w:p>
    <w:p w:rsidR="007220A6" w:rsidRPr="00B84990" w:rsidRDefault="007220A6" w:rsidP="006F5EB4">
      <w:pPr>
        <w:widowControl w:val="0"/>
        <w:spacing w:after="0" w:line="240" w:lineRule="auto"/>
        <w:jc w:val="both"/>
        <w:rPr>
          <w:rFonts w:ascii="Times New Roman" w:hAnsi="Times New Roman" w:cs="Times New Roman"/>
          <w:sz w:val="24"/>
          <w:szCs w:val="24"/>
        </w:rPr>
      </w:pPr>
    </w:p>
    <w:p w:rsidR="00DD6E71" w:rsidRPr="00B84990" w:rsidRDefault="00DD6E71" w:rsidP="006F5EB4">
      <w:pPr>
        <w:pStyle w:val="Prrafodelista"/>
        <w:widowControl w:val="0"/>
        <w:numPr>
          <w:ilvl w:val="1"/>
          <w:numId w:val="16"/>
        </w:numPr>
        <w:spacing w:after="0" w:line="240" w:lineRule="auto"/>
        <w:contextualSpacing/>
        <w:jc w:val="both"/>
        <w:rPr>
          <w:rFonts w:ascii="Times New Roman" w:hAnsi="Times New Roman" w:cs="Times New Roman"/>
          <w:b/>
          <w:sz w:val="24"/>
          <w:szCs w:val="24"/>
        </w:rPr>
      </w:pPr>
      <w:r w:rsidRPr="00B84990">
        <w:rPr>
          <w:rFonts w:ascii="Times New Roman" w:hAnsi="Times New Roman" w:cs="Times New Roman"/>
          <w:b/>
          <w:sz w:val="24"/>
          <w:szCs w:val="24"/>
        </w:rPr>
        <w:t xml:space="preserve"> Factores de evaluación </w:t>
      </w:r>
    </w:p>
    <w:p w:rsidR="00DD6E71" w:rsidRPr="00B84990" w:rsidRDefault="00DD6E71" w:rsidP="006F5EB4">
      <w:pPr>
        <w:widowControl w:val="0"/>
        <w:spacing w:after="0" w:line="240" w:lineRule="auto"/>
        <w:contextualSpacing/>
        <w:jc w:val="both"/>
        <w:rPr>
          <w:rFonts w:ascii="Times New Roman" w:hAnsi="Times New Roman" w:cs="Times New Roman"/>
          <w:b/>
          <w:sz w:val="24"/>
          <w:szCs w:val="24"/>
        </w:rPr>
      </w:pPr>
    </w:p>
    <w:p w:rsidR="00E75025" w:rsidRPr="00B84990" w:rsidRDefault="00E75025" w:rsidP="00082084">
      <w:pPr>
        <w:widowControl w:val="0"/>
        <w:spacing w:after="0" w:line="240" w:lineRule="auto"/>
        <w:contextualSpacing/>
        <w:jc w:val="both"/>
        <w:rPr>
          <w:rFonts w:ascii="Times New Roman" w:hAnsi="Times New Roman" w:cs="Times New Roman"/>
          <w:sz w:val="24"/>
          <w:szCs w:val="24"/>
        </w:rPr>
      </w:pPr>
      <w:r w:rsidRPr="00B84990">
        <w:rPr>
          <w:rFonts w:ascii="Times New Roman" w:hAnsi="Times New Roman" w:cs="Times New Roman"/>
          <w:sz w:val="24"/>
          <w:szCs w:val="24"/>
        </w:rPr>
        <w:t xml:space="preserve">En el factor de evaluación “Tipo de envasado” se considera el rango de evaluación “envasado manual”. Al respecto, considerando que de acuerdo con lo dispuesto en el artículo 43° del Reglamento sólo se puede otorgar puntaje aquello que constituye una mejora para la Entidad, </w:t>
      </w:r>
      <w:r w:rsidRPr="00B84990">
        <w:rPr>
          <w:rFonts w:ascii="Times New Roman" w:hAnsi="Times New Roman" w:cs="Times New Roman"/>
          <w:b/>
          <w:sz w:val="24"/>
          <w:szCs w:val="24"/>
          <w:u w:val="single"/>
        </w:rPr>
        <w:t>deberá verificarse</w:t>
      </w:r>
      <w:r w:rsidRPr="00B84990">
        <w:rPr>
          <w:rFonts w:ascii="Times New Roman" w:hAnsi="Times New Roman" w:cs="Times New Roman"/>
          <w:sz w:val="24"/>
          <w:szCs w:val="24"/>
        </w:rPr>
        <w:t xml:space="preserve"> que otorgar puntaje al supuesto “envasado manual” no involucra calificar el cumplimiento de un requerimiento técnico mínimo, por lo que, en caso ello sea así, </w:t>
      </w:r>
      <w:r w:rsidRPr="00B84990">
        <w:rPr>
          <w:rFonts w:ascii="Times New Roman" w:hAnsi="Times New Roman" w:cs="Times New Roman"/>
          <w:b/>
          <w:sz w:val="24"/>
          <w:szCs w:val="24"/>
          <w:u w:val="single"/>
        </w:rPr>
        <w:t>deberá suprimirse</w:t>
      </w:r>
      <w:r w:rsidRPr="00B84990">
        <w:rPr>
          <w:rFonts w:ascii="Times New Roman" w:hAnsi="Times New Roman" w:cs="Times New Roman"/>
          <w:sz w:val="24"/>
          <w:szCs w:val="24"/>
        </w:rPr>
        <w:t xml:space="preserve"> dicho rango de evaluación.</w:t>
      </w:r>
    </w:p>
    <w:p w:rsidR="00E75025" w:rsidRPr="00B84990" w:rsidRDefault="00E75025" w:rsidP="006F5EB4">
      <w:pPr>
        <w:widowControl w:val="0"/>
        <w:spacing w:after="0" w:line="240" w:lineRule="auto"/>
        <w:contextualSpacing/>
        <w:jc w:val="both"/>
        <w:rPr>
          <w:rFonts w:ascii="Times New Roman" w:hAnsi="Times New Roman" w:cs="Times New Roman"/>
          <w:b/>
          <w:sz w:val="24"/>
          <w:szCs w:val="24"/>
        </w:rPr>
      </w:pPr>
    </w:p>
    <w:p w:rsidR="007220A6" w:rsidRPr="00B84990" w:rsidRDefault="00082084" w:rsidP="006F5EB4">
      <w:pPr>
        <w:pStyle w:val="Prrafodelista"/>
        <w:widowControl w:val="0"/>
        <w:numPr>
          <w:ilvl w:val="1"/>
          <w:numId w:val="16"/>
        </w:numPr>
        <w:spacing w:after="0" w:line="240" w:lineRule="auto"/>
        <w:contextualSpacing/>
        <w:jc w:val="both"/>
        <w:rPr>
          <w:rFonts w:ascii="Times New Roman" w:hAnsi="Times New Roman" w:cs="Times New Roman"/>
          <w:b/>
          <w:sz w:val="24"/>
          <w:szCs w:val="24"/>
        </w:rPr>
      </w:pPr>
      <w:r w:rsidRPr="00B84990">
        <w:rPr>
          <w:rFonts w:ascii="Times New Roman" w:hAnsi="Times New Roman" w:cs="Times New Roman"/>
          <w:b/>
          <w:sz w:val="24"/>
          <w:szCs w:val="24"/>
        </w:rPr>
        <w:t xml:space="preserve"> </w:t>
      </w:r>
      <w:r w:rsidR="007220A6" w:rsidRPr="00B84990">
        <w:rPr>
          <w:rFonts w:ascii="Times New Roman" w:hAnsi="Times New Roman" w:cs="Times New Roman"/>
          <w:b/>
          <w:sz w:val="24"/>
          <w:szCs w:val="24"/>
        </w:rPr>
        <w:t xml:space="preserve">Resumen Ejecutivo </w:t>
      </w:r>
    </w:p>
    <w:p w:rsidR="007220A6" w:rsidRPr="00B84990" w:rsidRDefault="007220A6" w:rsidP="006F5EB4">
      <w:pPr>
        <w:widowControl w:val="0"/>
        <w:spacing w:after="0" w:line="240" w:lineRule="auto"/>
        <w:contextualSpacing/>
        <w:jc w:val="both"/>
        <w:rPr>
          <w:rFonts w:ascii="Times New Roman" w:hAnsi="Times New Roman" w:cs="Times New Roman"/>
          <w:b/>
          <w:sz w:val="24"/>
          <w:szCs w:val="24"/>
        </w:rPr>
      </w:pPr>
    </w:p>
    <w:p w:rsidR="007220A6" w:rsidRDefault="007220A6" w:rsidP="006F5EB4">
      <w:pPr>
        <w:widowControl w:val="0"/>
        <w:spacing w:after="0" w:line="240" w:lineRule="auto"/>
        <w:contextualSpacing/>
        <w:jc w:val="both"/>
        <w:rPr>
          <w:rFonts w:ascii="Times New Roman" w:hAnsi="Times New Roman" w:cs="Times New Roman"/>
          <w:sz w:val="24"/>
          <w:szCs w:val="24"/>
        </w:rPr>
      </w:pPr>
      <w:r w:rsidRPr="00B84990">
        <w:rPr>
          <w:rFonts w:ascii="Times New Roman" w:hAnsi="Times New Roman" w:cs="Times New Roman"/>
          <w:sz w:val="24"/>
          <w:szCs w:val="24"/>
        </w:rPr>
        <w:t xml:space="preserve">De la revisión del “Formato del Resumen Ejecutivo” se advierte que la Entidad declara que existe pluralidad de proveedores y marcas en la capacidad de cumplir con su requerimiento, sin embargo, en el “Formato del Cuadro Comparativo” se advierte que en el acápite “marcas” no ha omitido señalar la marca ofertada por cada proveedor, lo cual no resulta congruente. En ese sentido, junto con las Bases Integradas, </w:t>
      </w:r>
      <w:r w:rsidRPr="00B84990">
        <w:rPr>
          <w:rFonts w:ascii="Times New Roman" w:hAnsi="Times New Roman" w:cs="Times New Roman"/>
          <w:b/>
          <w:sz w:val="24"/>
          <w:szCs w:val="24"/>
          <w:u w:val="single"/>
        </w:rPr>
        <w:t>deberá registrarse</w:t>
      </w:r>
      <w:r w:rsidRPr="00B84990">
        <w:rPr>
          <w:rFonts w:ascii="Times New Roman" w:hAnsi="Times New Roman" w:cs="Times New Roman"/>
          <w:b/>
          <w:sz w:val="24"/>
          <w:szCs w:val="24"/>
        </w:rPr>
        <w:t xml:space="preserve"> </w:t>
      </w:r>
      <w:r w:rsidRPr="00B84990">
        <w:rPr>
          <w:rFonts w:ascii="Times New Roman" w:hAnsi="Times New Roman" w:cs="Times New Roman"/>
          <w:sz w:val="24"/>
          <w:szCs w:val="24"/>
        </w:rPr>
        <w:t xml:space="preserve">nuevamente el “Formato del Resumen Ejecutivo” y el “Formato del Cuadro Comparativo”, precisando en éste último las marcas de los productos considerados en las fuentes utilizadas en el estudio de posibilidades que ofrece el mercado, conforme lo dispuesto en la Directiva N° 004-2013-OSCE/CD. </w:t>
      </w:r>
    </w:p>
    <w:p w:rsidR="001870CA" w:rsidRPr="00B84990" w:rsidRDefault="001870CA" w:rsidP="006F5EB4">
      <w:pPr>
        <w:widowControl w:val="0"/>
        <w:spacing w:after="0" w:line="240" w:lineRule="auto"/>
        <w:contextualSpacing/>
        <w:jc w:val="both"/>
        <w:rPr>
          <w:rFonts w:ascii="Times New Roman" w:hAnsi="Times New Roman" w:cs="Times New Roman"/>
          <w:sz w:val="24"/>
          <w:szCs w:val="24"/>
        </w:rPr>
      </w:pPr>
      <w:bookmarkStart w:id="0" w:name="_GoBack"/>
      <w:bookmarkEnd w:id="0"/>
    </w:p>
    <w:p w:rsidR="006133D2" w:rsidRPr="00B84990" w:rsidRDefault="006133D2" w:rsidP="006133D2">
      <w:pPr>
        <w:widowControl w:val="0"/>
        <w:spacing w:after="0" w:line="240" w:lineRule="auto"/>
        <w:contextualSpacing/>
        <w:jc w:val="both"/>
        <w:rPr>
          <w:rFonts w:ascii="Times New Roman" w:hAnsi="Times New Roman" w:cs="Times New Roman"/>
          <w:sz w:val="24"/>
          <w:szCs w:val="24"/>
        </w:rPr>
      </w:pPr>
      <w:r w:rsidRPr="00B84990">
        <w:rPr>
          <w:rFonts w:ascii="Times New Roman" w:hAnsi="Times New Roman" w:cs="Times New Roman"/>
          <w:sz w:val="24"/>
          <w:szCs w:val="24"/>
        </w:rPr>
        <w:t xml:space="preserve">Cabe acotar que en caso no exista pluralidad de marcas, deberá sustentarse la evaluación practica por la Entidad sobre dicho aspecto en el “Formato del Resumen Ejecutivo”, conforme lo indicado en el literal a) del numeral 7.3.1 de la Directiva N° 004-2013-OSCE/CD. </w:t>
      </w:r>
    </w:p>
    <w:p w:rsidR="008B7C1F" w:rsidRPr="00B84990" w:rsidRDefault="008B7C1F" w:rsidP="006F5EB4">
      <w:pPr>
        <w:widowControl w:val="0"/>
        <w:spacing w:after="0" w:line="240" w:lineRule="auto"/>
        <w:jc w:val="both"/>
        <w:rPr>
          <w:rFonts w:ascii="Times New Roman" w:hAnsi="Times New Roman" w:cs="Times New Roman"/>
          <w:sz w:val="24"/>
          <w:szCs w:val="24"/>
        </w:rPr>
      </w:pPr>
    </w:p>
    <w:p w:rsidR="00F651BD" w:rsidRPr="00B84990" w:rsidRDefault="00F651BD" w:rsidP="006F5EB4">
      <w:pPr>
        <w:widowControl w:val="0"/>
        <w:numPr>
          <w:ilvl w:val="0"/>
          <w:numId w:val="16"/>
        </w:numPr>
        <w:spacing w:after="0" w:line="240" w:lineRule="auto"/>
        <w:jc w:val="both"/>
        <w:rPr>
          <w:rFonts w:ascii="Times New Roman" w:eastAsia="MS Mincho" w:hAnsi="Times New Roman" w:cs="Times New Roman"/>
          <w:b/>
          <w:snapToGrid w:val="0"/>
          <w:sz w:val="24"/>
          <w:szCs w:val="24"/>
        </w:rPr>
      </w:pPr>
      <w:r w:rsidRPr="00B84990">
        <w:rPr>
          <w:rFonts w:ascii="Times New Roman" w:eastAsia="MS Mincho" w:hAnsi="Times New Roman" w:cs="Times New Roman"/>
          <w:b/>
          <w:snapToGrid w:val="0"/>
          <w:sz w:val="24"/>
          <w:szCs w:val="24"/>
        </w:rPr>
        <w:t xml:space="preserve">CONCLUSIONES </w:t>
      </w:r>
    </w:p>
    <w:p w:rsidR="00F651BD" w:rsidRPr="00B84990" w:rsidRDefault="00F651BD" w:rsidP="006F5EB4">
      <w:pPr>
        <w:widowControl w:val="0"/>
        <w:spacing w:after="0" w:line="240" w:lineRule="auto"/>
        <w:jc w:val="both"/>
        <w:rPr>
          <w:rFonts w:ascii="Times New Roman" w:eastAsia="Times New Roman" w:hAnsi="Times New Roman" w:cs="Times New Roman"/>
          <w:snapToGrid w:val="0"/>
          <w:sz w:val="24"/>
          <w:szCs w:val="24"/>
          <w:lang w:eastAsia="es-MX"/>
        </w:rPr>
      </w:pPr>
    </w:p>
    <w:p w:rsidR="00F651BD" w:rsidRPr="00B84990" w:rsidRDefault="00F651BD" w:rsidP="006F5EB4">
      <w:pPr>
        <w:widowControl w:val="0"/>
        <w:spacing w:after="0" w:line="240" w:lineRule="auto"/>
        <w:jc w:val="both"/>
        <w:rPr>
          <w:rFonts w:ascii="Times New Roman" w:eastAsia="Calibri" w:hAnsi="Times New Roman" w:cs="Times New Roman"/>
          <w:snapToGrid w:val="0"/>
          <w:sz w:val="24"/>
          <w:szCs w:val="24"/>
          <w:lang w:eastAsia="en-US"/>
        </w:rPr>
      </w:pPr>
      <w:r w:rsidRPr="00B84990">
        <w:rPr>
          <w:rFonts w:ascii="Times New Roman" w:hAnsi="Times New Roman" w:cs="Times New Roman"/>
          <w:snapToGrid w:val="0"/>
          <w:sz w:val="24"/>
          <w:szCs w:val="24"/>
        </w:rPr>
        <w:t>En virtud de lo expuesto, este Organismo Supervisor ha dispuesto:</w:t>
      </w:r>
    </w:p>
    <w:p w:rsidR="00F651BD" w:rsidRPr="00B84990" w:rsidRDefault="00F651BD" w:rsidP="006F5EB4">
      <w:pPr>
        <w:widowControl w:val="0"/>
        <w:spacing w:after="0" w:line="240" w:lineRule="auto"/>
        <w:jc w:val="both"/>
        <w:rPr>
          <w:rFonts w:ascii="Times New Roman" w:hAnsi="Times New Roman" w:cs="Times New Roman"/>
          <w:snapToGrid w:val="0"/>
          <w:sz w:val="24"/>
          <w:szCs w:val="24"/>
        </w:rPr>
      </w:pPr>
    </w:p>
    <w:p w:rsidR="00F651BD" w:rsidRPr="00B84990" w:rsidRDefault="00F651BD" w:rsidP="006F5EB4">
      <w:pPr>
        <w:widowControl w:val="0"/>
        <w:numPr>
          <w:ilvl w:val="1"/>
          <w:numId w:val="5"/>
        </w:numPr>
        <w:spacing w:after="0" w:line="240" w:lineRule="auto"/>
        <w:ind w:left="567" w:hanging="567"/>
        <w:jc w:val="both"/>
        <w:rPr>
          <w:rFonts w:ascii="Times New Roman" w:eastAsia="Times New Roman" w:hAnsi="Times New Roman" w:cs="Times New Roman"/>
          <w:sz w:val="24"/>
          <w:szCs w:val="24"/>
          <w:lang w:val="es-MX" w:eastAsia="es-MX"/>
        </w:rPr>
      </w:pPr>
      <w:r w:rsidRPr="00B84990">
        <w:rPr>
          <w:rFonts w:ascii="Times New Roman" w:eastAsia="Times New Roman" w:hAnsi="Times New Roman" w:cs="Times New Roman"/>
          <w:snapToGrid w:val="0"/>
          <w:sz w:val="24"/>
          <w:szCs w:val="24"/>
          <w:lang w:eastAsia="es-MX"/>
        </w:rPr>
        <w:t xml:space="preserve">El </w:t>
      </w:r>
      <w:r w:rsidRPr="00B84990">
        <w:rPr>
          <w:rFonts w:ascii="Times New Roman" w:hAnsi="Times New Roman" w:cs="Times New Roman"/>
          <w:sz w:val="24"/>
          <w:szCs w:val="24"/>
          <w:lang w:val="es-ES" w:eastAsia="es-ES"/>
        </w:rPr>
        <w:t>Comité Especial deberá cumplir con lo dispuesto por este Organismo Supervisor al absolver las observaciones indicadas en el numeral 2 del presente Pronunciamiento.</w:t>
      </w:r>
    </w:p>
    <w:p w:rsidR="00F651BD" w:rsidRPr="00B84990" w:rsidRDefault="00F651BD" w:rsidP="006F5EB4">
      <w:pPr>
        <w:widowControl w:val="0"/>
        <w:spacing w:after="0" w:line="240" w:lineRule="auto"/>
        <w:ind w:left="567"/>
        <w:jc w:val="both"/>
        <w:rPr>
          <w:rFonts w:ascii="Times New Roman" w:eastAsia="Times New Roman" w:hAnsi="Times New Roman" w:cs="Times New Roman"/>
          <w:sz w:val="24"/>
          <w:szCs w:val="24"/>
          <w:lang w:val="es-MX" w:eastAsia="es-MX"/>
        </w:rPr>
      </w:pPr>
    </w:p>
    <w:p w:rsidR="00F651BD" w:rsidRPr="00B84990" w:rsidRDefault="00F651BD" w:rsidP="006F5EB4">
      <w:pPr>
        <w:widowControl w:val="0"/>
        <w:numPr>
          <w:ilvl w:val="1"/>
          <w:numId w:val="5"/>
        </w:numPr>
        <w:spacing w:after="0" w:line="240" w:lineRule="auto"/>
        <w:ind w:left="567" w:hanging="567"/>
        <w:jc w:val="both"/>
        <w:rPr>
          <w:rFonts w:ascii="Times New Roman" w:eastAsia="Times New Roman" w:hAnsi="Times New Roman" w:cs="Times New Roman"/>
          <w:sz w:val="24"/>
          <w:szCs w:val="24"/>
          <w:lang w:val="es-MX" w:eastAsia="es-MX"/>
        </w:rPr>
      </w:pPr>
      <w:r w:rsidRPr="00B84990">
        <w:rPr>
          <w:rFonts w:ascii="Times New Roman" w:hAnsi="Times New Roman" w:cs="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F651BD" w:rsidRPr="00B84990" w:rsidRDefault="00F651BD" w:rsidP="006F5EB4">
      <w:pPr>
        <w:widowControl w:val="0"/>
        <w:spacing w:after="0" w:line="240" w:lineRule="auto"/>
        <w:ind w:left="567"/>
        <w:jc w:val="both"/>
        <w:rPr>
          <w:rFonts w:ascii="Times New Roman" w:eastAsia="Times New Roman" w:hAnsi="Times New Roman" w:cs="Times New Roman"/>
          <w:sz w:val="24"/>
          <w:szCs w:val="24"/>
          <w:lang w:val="es-MX" w:eastAsia="es-MX"/>
        </w:rPr>
      </w:pPr>
    </w:p>
    <w:p w:rsidR="00F651BD" w:rsidRPr="00B84990" w:rsidRDefault="00F651BD" w:rsidP="006F5EB4">
      <w:pPr>
        <w:widowControl w:val="0"/>
        <w:numPr>
          <w:ilvl w:val="1"/>
          <w:numId w:val="5"/>
        </w:numPr>
        <w:spacing w:after="0" w:line="240" w:lineRule="auto"/>
        <w:ind w:left="567" w:hanging="567"/>
        <w:jc w:val="both"/>
        <w:rPr>
          <w:rFonts w:ascii="Times New Roman" w:eastAsia="Times New Roman" w:hAnsi="Times New Roman" w:cs="Times New Roman"/>
          <w:sz w:val="24"/>
          <w:szCs w:val="24"/>
          <w:lang w:val="es-MX" w:eastAsia="es-MX"/>
        </w:rPr>
      </w:pPr>
      <w:r w:rsidRPr="00B84990">
        <w:rPr>
          <w:rFonts w:ascii="Times New Roman" w:hAnsi="Times New Roman" w:cs="Times New Roman"/>
          <w:iCs/>
          <w:sz w:val="24"/>
          <w:szCs w:val="24"/>
        </w:rPr>
        <w:lastRenderedPageBreak/>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F651BD" w:rsidRPr="00B84990" w:rsidRDefault="00F651BD" w:rsidP="006F5EB4">
      <w:pPr>
        <w:widowControl w:val="0"/>
        <w:spacing w:after="0" w:line="240" w:lineRule="auto"/>
        <w:ind w:left="567"/>
        <w:jc w:val="both"/>
        <w:rPr>
          <w:rFonts w:ascii="Times New Roman" w:eastAsia="Times New Roman" w:hAnsi="Times New Roman" w:cs="Times New Roman"/>
          <w:sz w:val="24"/>
          <w:szCs w:val="24"/>
          <w:lang w:val="es-MX" w:eastAsia="es-MX"/>
        </w:rPr>
      </w:pPr>
    </w:p>
    <w:p w:rsidR="00F651BD" w:rsidRPr="00B84990" w:rsidRDefault="00F651BD" w:rsidP="006F5EB4">
      <w:pPr>
        <w:widowControl w:val="0"/>
        <w:numPr>
          <w:ilvl w:val="1"/>
          <w:numId w:val="5"/>
        </w:numPr>
        <w:spacing w:after="0" w:line="240" w:lineRule="auto"/>
        <w:ind w:left="567" w:hanging="567"/>
        <w:jc w:val="both"/>
        <w:rPr>
          <w:rFonts w:ascii="Times New Roman" w:eastAsia="Times New Roman" w:hAnsi="Times New Roman" w:cs="Times New Roman"/>
          <w:sz w:val="24"/>
          <w:szCs w:val="24"/>
          <w:lang w:val="es-MX" w:eastAsia="es-MX"/>
        </w:rPr>
      </w:pPr>
      <w:r w:rsidRPr="00B84990">
        <w:rPr>
          <w:rFonts w:ascii="Times New Roman" w:hAnsi="Times New Roman" w:cs="Times New Roman"/>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w:t>
      </w:r>
      <w:r w:rsidRPr="00B84990">
        <w:rPr>
          <w:rFonts w:ascii="Times New Roman" w:eastAsia="Times New Roman" w:hAnsi="Times New Roman" w:cs="Times New Roman"/>
          <w:sz w:val="24"/>
          <w:szCs w:val="24"/>
          <w:lang w:val="es-MX" w:eastAsia="es-MX"/>
        </w:rPr>
        <w:t xml:space="preserve">un (1) día después de haber quedado integradas las Bases, y que, a tenor del artículo 24 del Reglamento, entre la integración de Bases y la presentación de propuestas no podrá mediar menos de </w:t>
      </w:r>
      <w:r w:rsidR="00A233A6" w:rsidRPr="00B84990">
        <w:rPr>
          <w:rFonts w:ascii="Times New Roman" w:eastAsia="Times New Roman" w:hAnsi="Times New Roman" w:cs="Times New Roman"/>
          <w:sz w:val="24"/>
          <w:szCs w:val="24"/>
          <w:lang w:val="es-MX" w:eastAsia="es-MX"/>
        </w:rPr>
        <w:t>cinco (5</w:t>
      </w:r>
      <w:r w:rsidRPr="00B84990">
        <w:rPr>
          <w:rFonts w:ascii="Times New Roman" w:eastAsia="Times New Roman" w:hAnsi="Times New Roman" w:cs="Times New Roman"/>
          <w:sz w:val="24"/>
          <w:szCs w:val="24"/>
          <w:lang w:val="es-MX" w:eastAsia="es-MX"/>
        </w:rPr>
        <w:t>) días hábiles, computados a partir del día siguiente de la publicación de las Bases integradas en el SEACE.</w:t>
      </w:r>
    </w:p>
    <w:p w:rsidR="00F651BD" w:rsidRPr="00B84990" w:rsidRDefault="00F651BD" w:rsidP="006F5EB4">
      <w:pPr>
        <w:pStyle w:val="Prrafodelista"/>
        <w:spacing w:after="0" w:line="240" w:lineRule="auto"/>
        <w:jc w:val="both"/>
        <w:rPr>
          <w:rFonts w:ascii="Times New Roman" w:eastAsia="Times New Roman" w:hAnsi="Times New Roman" w:cs="Times New Roman"/>
          <w:sz w:val="24"/>
          <w:szCs w:val="24"/>
          <w:lang w:val="es-MX" w:eastAsia="es-MX"/>
        </w:rPr>
      </w:pPr>
    </w:p>
    <w:p w:rsidR="00F651BD" w:rsidRPr="00B84990" w:rsidRDefault="00F651BD" w:rsidP="006F5EB4">
      <w:pPr>
        <w:widowControl w:val="0"/>
        <w:numPr>
          <w:ilvl w:val="1"/>
          <w:numId w:val="5"/>
        </w:numPr>
        <w:spacing w:after="0" w:line="240" w:lineRule="auto"/>
        <w:ind w:left="567" w:hanging="567"/>
        <w:jc w:val="both"/>
        <w:rPr>
          <w:rFonts w:ascii="Times New Roman" w:eastAsia="Times New Roman" w:hAnsi="Times New Roman" w:cs="Times New Roman"/>
          <w:sz w:val="24"/>
          <w:szCs w:val="24"/>
          <w:lang w:val="es-MX" w:eastAsia="es-MX"/>
        </w:rPr>
      </w:pPr>
      <w:r w:rsidRPr="00B84990">
        <w:rPr>
          <w:rFonts w:ascii="Times New Roman" w:hAnsi="Times New Roman" w:cs="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F651BD" w:rsidRPr="00B84990" w:rsidRDefault="00F651BD" w:rsidP="006F5EB4">
      <w:pPr>
        <w:widowControl w:val="0"/>
        <w:spacing w:after="0" w:line="240" w:lineRule="auto"/>
        <w:ind w:left="567"/>
        <w:jc w:val="both"/>
        <w:rPr>
          <w:rFonts w:ascii="Times New Roman" w:eastAsia="Times New Roman" w:hAnsi="Times New Roman" w:cs="Times New Roman"/>
          <w:sz w:val="24"/>
          <w:szCs w:val="24"/>
          <w:lang w:val="es-MX" w:eastAsia="es-MX"/>
        </w:rPr>
      </w:pPr>
    </w:p>
    <w:p w:rsidR="00F651BD" w:rsidRPr="00B84990" w:rsidRDefault="00F651BD" w:rsidP="006F5EB4">
      <w:pPr>
        <w:widowControl w:val="0"/>
        <w:numPr>
          <w:ilvl w:val="1"/>
          <w:numId w:val="5"/>
        </w:numPr>
        <w:spacing w:after="0" w:line="240" w:lineRule="auto"/>
        <w:ind w:left="567" w:hanging="567"/>
        <w:jc w:val="both"/>
        <w:rPr>
          <w:rFonts w:ascii="Times New Roman" w:eastAsia="Calibri" w:hAnsi="Times New Roman" w:cs="Times New Roman"/>
          <w:iCs/>
          <w:sz w:val="24"/>
          <w:szCs w:val="24"/>
          <w:lang w:eastAsia="en-US"/>
        </w:rPr>
      </w:pPr>
      <w:r w:rsidRPr="00B84990">
        <w:rPr>
          <w:rFonts w:ascii="Times New Roman" w:hAnsi="Times New Roman" w:cs="Times New Roman"/>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F651BD" w:rsidRPr="00B84990" w:rsidRDefault="00F651BD" w:rsidP="006F5EB4">
      <w:pPr>
        <w:pStyle w:val="Prrafodelista"/>
        <w:spacing w:after="0" w:line="240" w:lineRule="auto"/>
        <w:jc w:val="both"/>
        <w:rPr>
          <w:rFonts w:ascii="Times New Roman" w:hAnsi="Times New Roman" w:cs="Times New Roman"/>
          <w:iCs/>
          <w:sz w:val="24"/>
          <w:szCs w:val="24"/>
        </w:rPr>
      </w:pPr>
    </w:p>
    <w:p w:rsidR="00F651BD" w:rsidRPr="00B84990" w:rsidRDefault="00F651BD" w:rsidP="006F5EB4">
      <w:pPr>
        <w:widowControl w:val="0"/>
        <w:numPr>
          <w:ilvl w:val="1"/>
          <w:numId w:val="5"/>
        </w:numPr>
        <w:spacing w:after="0" w:line="240" w:lineRule="auto"/>
        <w:ind w:left="567" w:hanging="567"/>
        <w:jc w:val="both"/>
        <w:rPr>
          <w:rFonts w:ascii="Times New Roman" w:hAnsi="Times New Roman" w:cs="Times New Roman"/>
          <w:iCs/>
          <w:sz w:val="24"/>
          <w:szCs w:val="24"/>
        </w:rPr>
      </w:pPr>
      <w:r w:rsidRPr="00B84990">
        <w:rPr>
          <w:rFonts w:ascii="Times New Roman" w:hAnsi="Times New Roman" w:cs="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8E1493" w:rsidRPr="00B84990" w:rsidRDefault="008E1493" w:rsidP="006F5EB4">
      <w:pPr>
        <w:widowControl w:val="0"/>
        <w:spacing w:after="0" w:line="240" w:lineRule="auto"/>
        <w:jc w:val="both"/>
        <w:rPr>
          <w:rFonts w:ascii="Times New Roman" w:hAnsi="Times New Roman" w:cs="Times New Roman"/>
          <w:iCs/>
          <w:sz w:val="24"/>
          <w:szCs w:val="24"/>
        </w:rPr>
      </w:pPr>
    </w:p>
    <w:p w:rsidR="00F651BD" w:rsidRPr="00B84990" w:rsidRDefault="00A233A6" w:rsidP="006F5EB4">
      <w:pPr>
        <w:widowControl w:val="0"/>
        <w:spacing w:after="0" w:line="240" w:lineRule="auto"/>
        <w:ind w:left="3545" w:firstLine="709"/>
        <w:jc w:val="both"/>
        <w:rPr>
          <w:rFonts w:ascii="Times New Roman" w:hAnsi="Times New Roman" w:cs="Times New Roman"/>
          <w:sz w:val="24"/>
          <w:szCs w:val="24"/>
        </w:rPr>
      </w:pPr>
      <w:r w:rsidRPr="00B84990">
        <w:rPr>
          <w:rFonts w:ascii="Times New Roman" w:hAnsi="Times New Roman" w:cs="Times New Roman"/>
          <w:sz w:val="24"/>
          <w:szCs w:val="24"/>
        </w:rPr>
        <w:t xml:space="preserve">          </w:t>
      </w:r>
      <w:r w:rsidR="00FB4B59" w:rsidRPr="00B84990">
        <w:rPr>
          <w:rFonts w:ascii="Times New Roman" w:hAnsi="Times New Roman" w:cs="Times New Roman"/>
          <w:sz w:val="24"/>
          <w:szCs w:val="24"/>
        </w:rPr>
        <w:t xml:space="preserve">             </w:t>
      </w:r>
      <w:r w:rsidR="0097034A" w:rsidRPr="00B84990">
        <w:rPr>
          <w:rFonts w:ascii="Times New Roman" w:hAnsi="Times New Roman" w:cs="Times New Roman"/>
          <w:sz w:val="24"/>
          <w:szCs w:val="24"/>
        </w:rPr>
        <w:t>Jesús María, 21</w:t>
      </w:r>
      <w:r w:rsidR="00ED28B3" w:rsidRPr="00B84990">
        <w:rPr>
          <w:rFonts w:ascii="Times New Roman" w:hAnsi="Times New Roman" w:cs="Times New Roman"/>
          <w:sz w:val="24"/>
          <w:szCs w:val="24"/>
        </w:rPr>
        <w:t xml:space="preserve"> de abril</w:t>
      </w:r>
      <w:r w:rsidR="00F651BD" w:rsidRPr="00B84990">
        <w:rPr>
          <w:rFonts w:ascii="Times New Roman" w:hAnsi="Times New Roman" w:cs="Times New Roman"/>
          <w:sz w:val="24"/>
          <w:szCs w:val="24"/>
        </w:rPr>
        <w:t xml:space="preserve"> de 2015.</w:t>
      </w:r>
    </w:p>
    <w:p w:rsidR="00A233A6" w:rsidRPr="00B84990" w:rsidRDefault="00A233A6" w:rsidP="006F5EB4">
      <w:pPr>
        <w:keepNext/>
        <w:keepLines/>
        <w:widowControl w:val="0"/>
        <w:tabs>
          <w:tab w:val="left" w:pos="2660"/>
        </w:tabs>
        <w:spacing w:after="0" w:line="240" w:lineRule="auto"/>
        <w:jc w:val="center"/>
        <w:rPr>
          <w:rFonts w:ascii="Times New Roman" w:hAnsi="Times New Roman" w:cs="Times New Roman"/>
          <w:b/>
          <w:sz w:val="24"/>
          <w:szCs w:val="24"/>
        </w:rPr>
      </w:pPr>
    </w:p>
    <w:p w:rsidR="00A233A6" w:rsidRPr="00B84990" w:rsidRDefault="00A233A6" w:rsidP="006F5EB4">
      <w:pPr>
        <w:widowControl w:val="0"/>
        <w:spacing w:after="0" w:line="240" w:lineRule="auto"/>
        <w:ind w:left="540" w:hanging="540"/>
        <w:jc w:val="both"/>
        <w:rPr>
          <w:rFonts w:ascii="Times New Roman" w:hAnsi="Times New Roman" w:cs="Times New Roman"/>
          <w:b/>
          <w:sz w:val="24"/>
          <w:szCs w:val="24"/>
        </w:rPr>
      </w:pPr>
    </w:p>
    <w:p w:rsidR="00A233A6" w:rsidRPr="00B84990" w:rsidRDefault="00A233A6" w:rsidP="006F5EB4">
      <w:pPr>
        <w:pStyle w:val="Textoindependiente2"/>
        <w:widowControl w:val="0"/>
        <w:tabs>
          <w:tab w:val="left" w:pos="284"/>
        </w:tabs>
        <w:spacing w:after="0" w:line="240" w:lineRule="auto"/>
        <w:ind w:left="426"/>
        <w:jc w:val="both"/>
        <w:rPr>
          <w:rFonts w:ascii="Times New Roman" w:hAnsi="Times New Roman" w:cs="Times New Roman"/>
          <w:sz w:val="24"/>
          <w:szCs w:val="24"/>
        </w:rPr>
      </w:pPr>
    </w:p>
    <w:p w:rsidR="00A233A6" w:rsidRPr="00B84990" w:rsidRDefault="00A233A6" w:rsidP="006F5EB4">
      <w:pPr>
        <w:spacing w:after="0" w:line="240" w:lineRule="auto"/>
        <w:ind w:left="1080" w:right="139" w:firstLine="54"/>
        <w:jc w:val="center"/>
        <w:rPr>
          <w:rFonts w:ascii="Times New Roman" w:eastAsia="Times New Roman" w:hAnsi="Times New Roman" w:cs="Times New Roman"/>
          <w:b/>
          <w:sz w:val="24"/>
          <w:szCs w:val="24"/>
          <w:lang w:val="es-MX" w:eastAsia="es-MX"/>
        </w:rPr>
      </w:pPr>
      <w:r w:rsidRPr="00B84990">
        <w:rPr>
          <w:rFonts w:ascii="Times New Roman" w:eastAsia="Times New Roman" w:hAnsi="Times New Roman" w:cs="Times New Roman"/>
          <w:b/>
          <w:sz w:val="24"/>
          <w:szCs w:val="24"/>
          <w:lang w:val="es-MX" w:eastAsia="es-MX"/>
        </w:rPr>
        <w:t>PATRICIA ALARCÓN ALVIZURI</w:t>
      </w:r>
    </w:p>
    <w:p w:rsidR="00A233A6" w:rsidRPr="00B84990" w:rsidRDefault="00A233A6" w:rsidP="006F5EB4">
      <w:pPr>
        <w:spacing w:after="0" w:line="240" w:lineRule="auto"/>
        <w:ind w:left="1080" w:right="139" w:firstLine="54"/>
        <w:jc w:val="center"/>
        <w:rPr>
          <w:rFonts w:ascii="Times New Roman" w:eastAsia="Times New Roman" w:hAnsi="Times New Roman" w:cs="Times New Roman"/>
          <w:b/>
          <w:sz w:val="24"/>
          <w:szCs w:val="24"/>
          <w:lang w:val="es-MX" w:eastAsia="es-MX"/>
        </w:rPr>
      </w:pPr>
      <w:r w:rsidRPr="00B84990">
        <w:rPr>
          <w:rFonts w:ascii="Times New Roman" w:eastAsia="Times New Roman" w:hAnsi="Times New Roman" w:cs="Times New Roman"/>
          <w:b/>
          <w:sz w:val="24"/>
          <w:szCs w:val="24"/>
          <w:lang w:val="es-MX" w:eastAsia="es-MX"/>
        </w:rPr>
        <w:t>Directora de Supervisión</w:t>
      </w:r>
    </w:p>
    <w:p w:rsidR="00A233A6" w:rsidRPr="00B84990" w:rsidRDefault="006F5EB4" w:rsidP="006F5EB4">
      <w:pPr>
        <w:spacing w:after="0" w:line="240" w:lineRule="auto"/>
        <w:ind w:right="139"/>
        <w:rPr>
          <w:rFonts w:ascii="Times New Roman" w:hAnsi="Times New Roman" w:cs="Times New Roman"/>
          <w:sz w:val="24"/>
          <w:szCs w:val="24"/>
          <w:lang w:val="es-MX"/>
        </w:rPr>
      </w:pPr>
      <w:r w:rsidRPr="00B84990">
        <w:rPr>
          <w:rFonts w:ascii="Times New Roman" w:eastAsia="Times New Roman" w:hAnsi="Times New Roman" w:cs="Times New Roman"/>
          <w:sz w:val="24"/>
          <w:szCs w:val="24"/>
          <w:lang w:val="es-MX" w:eastAsia="es-MX"/>
        </w:rPr>
        <w:t xml:space="preserve">LMD/. </w:t>
      </w:r>
    </w:p>
    <w:p w:rsidR="006243A4" w:rsidRPr="00B84990" w:rsidRDefault="006243A4" w:rsidP="006F5EB4">
      <w:pPr>
        <w:widowControl w:val="0"/>
        <w:spacing w:after="0" w:line="240" w:lineRule="auto"/>
        <w:ind w:left="540" w:hanging="540"/>
        <w:jc w:val="both"/>
        <w:rPr>
          <w:rFonts w:ascii="Times New Roman" w:hAnsi="Times New Roman" w:cs="Times New Roman"/>
          <w:sz w:val="24"/>
          <w:szCs w:val="24"/>
        </w:rPr>
      </w:pPr>
    </w:p>
    <w:sectPr w:rsidR="006243A4" w:rsidRPr="00B84990" w:rsidSect="00CB248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80A" w:rsidRDefault="00F5080A" w:rsidP="00F651BD">
      <w:pPr>
        <w:spacing w:after="0" w:line="240" w:lineRule="auto"/>
      </w:pPr>
      <w:r>
        <w:separator/>
      </w:r>
    </w:p>
  </w:endnote>
  <w:endnote w:type="continuationSeparator" w:id="0">
    <w:p w:rsidR="00F5080A" w:rsidRDefault="00F5080A" w:rsidP="00F65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80A" w:rsidRDefault="00F5080A" w:rsidP="00F651BD">
      <w:pPr>
        <w:spacing w:after="0" w:line="240" w:lineRule="auto"/>
      </w:pPr>
      <w:r>
        <w:separator/>
      </w:r>
    </w:p>
  </w:footnote>
  <w:footnote w:type="continuationSeparator" w:id="0">
    <w:p w:rsidR="00F5080A" w:rsidRDefault="00F5080A" w:rsidP="00F651BD">
      <w:pPr>
        <w:spacing w:after="0" w:line="240" w:lineRule="auto"/>
      </w:pPr>
      <w:r>
        <w:continuationSeparator/>
      </w:r>
    </w:p>
  </w:footnote>
  <w:footnote w:id="1">
    <w:p w:rsidR="0099441B" w:rsidRPr="00797AEB" w:rsidRDefault="0099441B" w:rsidP="0099441B">
      <w:pPr>
        <w:pStyle w:val="Prrafodelista"/>
        <w:widowControl w:val="0"/>
        <w:tabs>
          <w:tab w:val="left" w:pos="142"/>
        </w:tabs>
        <w:ind w:left="142" w:hanging="142"/>
        <w:contextualSpacing/>
        <w:jc w:val="both"/>
      </w:pPr>
      <w:r w:rsidRPr="00D83E18">
        <w:rPr>
          <w:rStyle w:val="Refdenotaalpie"/>
        </w:rPr>
        <w:footnoteRef/>
      </w:r>
      <w:r>
        <w:t xml:space="preserve">  </w:t>
      </w:r>
      <w:r w:rsidRPr="00D83E18">
        <w:rPr>
          <w:u w:val="single"/>
        </w:rPr>
        <w:t>(Gramos de hojuelas por beneficiario x N° de beneficiarios x N° de días del suministro)</w:t>
      </w:r>
    </w:p>
    <w:p w:rsidR="0099441B" w:rsidRPr="00D83E18" w:rsidRDefault="0099441B" w:rsidP="0099441B">
      <w:pPr>
        <w:jc w:val="both"/>
        <w:rPr>
          <w:sz w:val="20"/>
          <w:szCs w:val="20"/>
        </w:rPr>
      </w:pPr>
      <w:r w:rsidRPr="00D83E18">
        <w:rPr>
          <w:sz w:val="20"/>
          <w:szCs w:val="20"/>
        </w:rPr>
        <w:t xml:space="preserve">                                               Gramos de hojuelas por bolsa</w:t>
      </w:r>
    </w:p>
    <w:p w:rsidR="0099441B" w:rsidRPr="00B45F46" w:rsidRDefault="0099441B" w:rsidP="0099441B">
      <w:pPr>
        <w:pStyle w:val="Textonotapie"/>
        <w:rPr>
          <w:lang w:val="es-MX"/>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92A3D"/>
    <w:multiLevelType w:val="hybridMultilevel"/>
    <w:tmpl w:val="5ED23BBE"/>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1B9A1878"/>
    <w:multiLevelType w:val="hybridMultilevel"/>
    <w:tmpl w:val="AFAC02F8"/>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1DDF2F93"/>
    <w:multiLevelType w:val="hybridMultilevel"/>
    <w:tmpl w:val="205CD264"/>
    <w:lvl w:ilvl="0" w:tplc="711CDBA0">
      <w:numFmt w:val="bullet"/>
      <w:lvlText w:val="-"/>
      <w:lvlJc w:val="left"/>
      <w:pPr>
        <w:ind w:left="720" w:hanging="360"/>
      </w:pPr>
      <w:rPr>
        <w:rFonts w:ascii="Times New Roman" w:eastAsia="Times New Roman" w:hAnsi="Times New Roman" w:cs="Times New Roman"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3">
    <w:nsid w:val="276C10F9"/>
    <w:multiLevelType w:val="hybridMultilevel"/>
    <w:tmpl w:val="CDCCA920"/>
    <w:lvl w:ilvl="0" w:tplc="280A0017">
      <w:start w:val="7"/>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2C9D2C71"/>
    <w:multiLevelType w:val="hybridMultilevel"/>
    <w:tmpl w:val="5C0A6778"/>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37A21299"/>
    <w:multiLevelType w:val="multilevel"/>
    <w:tmpl w:val="17706F8E"/>
    <w:lvl w:ilvl="0">
      <w:start w:val="1"/>
      <w:numFmt w:val="decimal"/>
      <w:lvlText w:val="%1."/>
      <w:lvlJc w:val="left"/>
      <w:pPr>
        <w:ind w:left="1800" w:hanging="360"/>
      </w:pPr>
      <w:rPr>
        <w:rFonts w:cs="Times New Roman"/>
        <w:lang w:val="es-MX"/>
      </w:rPr>
    </w:lvl>
    <w:lvl w:ilvl="1">
      <w:start w:val="1"/>
      <w:numFmt w:val="decimal"/>
      <w:isLgl/>
      <w:lvlText w:val="%1.%2"/>
      <w:lvlJc w:val="left"/>
      <w:pPr>
        <w:ind w:left="4897" w:hanging="360"/>
      </w:pPr>
      <w:rPr>
        <w:rFonts w:hint="default"/>
        <w:b/>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6">
    <w:nsid w:val="4D36554C"/>
    <w:multiLevelType w:val="multilevel"/>
    <w:tmpl w:val="FE685F76"/>
    <w:lvl w:ilvl="0">
      <w:start w:val="3"/>
      <w:numFmt w:val="decimal"/>
      <w:lvlText w:val="%1."/>
      <w:lvlJc w:val="left"/>
      <w:pPr>
        <w:tabs>
          <w:tab w:val="num" w:pos="360"/>
        </w:tabs>
        <w:ind w:left="360" w:hanging="360"/>
      </w:pPr>
      <w:rPr>
        <w:b/>
      </w:rPr>
    </w:lvl>
    <w:lvl w:ilvl="1">
      <w:start w:val="1"/>
      <w:numFmt w:val="decimal"/>
      <w:isLgl/>
      <w:lvlText w:val="%1.%2."/>
      <w:lvlJc w:val="left"/>
      <w:pPr>
        <w:tabs>
          <w:tab w:val="num" w:pos="540"/>
        </w:tabs>
        <w:ind w:left="540" w:hanging="540"/>
      </w:pPr>
      <w:rPr>
        <w:b/>
        <w:i w:val="0"/>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7">
    <w:nsid w:val="4D54497F"/>
    <w:multiLevelType w:val="hybridMultilevel"/>
    <w:tmpl w:val="7E805270"/>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9">
    <w:nsid w:val="51DE7B89"/>
    <w:multiLevelType w:val="multilevel"/>
    <w:tmpl w:val="35B0EB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4906647"/>
    <w:multiLevelType w:val="hybridMultilevel"/>
    <w:tmpl w:val="E800EF7E"/>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586B43AC"/>
    <w:multiLevelType w:val="hybridMultilevel"/>
    <w:tmpl w:val="B6CE7184"/>
    <w:lvl w:ilvl="0" w:tplc="280A000F">
      <w:start w:val="1"/>
      <w:numFmt w:val="decimal"/>
      <w:lvlText w:val="%1."/>
      <w:lvlJc w:val="left"/>
      <w:pPr>
        <w:ind w:left="720" w:hanging="360"/>
      </w:pPr>
    </w:lvl>
    <w:lvl w:ilvl="1" w:tplc="280A0019">
      <w:start w:val="1"/>
      <w:numFmt w:val="decimal"/>
      <w:lvlText w:val="%2."/>
      <w:lvlJc w:val="left"/>
      <w:pPr>
        <w:tabs>
          <w:tab w:val="num" w:pos="1440"/>
        </w:tabs>
        <w:ind w:left="1440" w:hanging="360"/>
      </w:pPr>
    </w:lvl>
    <w:lvl w:ilvl="2" w:tplc="280A001B">
      <w:start w:val="1"/>
      <w:numFmt w:val="decimal"/>
      <w:lvlText w:val="%3."/>
      <w:lvlJc w:val="left"/>
      <w:pPr>
        <w:tabs>
          <w:tab w:val="num" w:pos="2160"/>
        </w:tabs>
        <w:ind w:left="2160" w:hanging="360"/>
      </w:pPr>
    </w:lvl>
    <w:lvl w:ilvl="3" w:tplc="280A000F">
      <w:start w:val="1"/>
      <w:numFmt w:val="decimal"/>
      <w:lvlText w:val="%4."/>
      <w:lvlJc w:val="left"/>
      <w:pPr>
        <w:tabs>
          <w:tab w:val="num" w:pos="2880"/>
        </w:tabs>
        <w:ind w:left="2880" w:hanging="360"/>
      </w:pPr>
    </w:lvl>
    <w:lvl w:ilvl="4" w:tplc="280A0019">
      <w:start w:val="1"/>
      <w:numFmt w:val="decimal"/>
      <w:lvlText w:val="%5."/>
      <w:lvlJc w:val="left"/>
      <w:pPr>
        <w:tabs>
          <w:tab w:val="num" w:pos="3600"/>
        </w:tabs>
        <w:ind w:left="3600" w:hanging="360"/>
      </w:pPr>
    </w:lvl>
    <w:lvl w:ilvl="5" w:tplc="280A001B">
      <w:start w:val="1"/>
      <w:numFmt w:val="decimal"/>
      <w:lvlText w:val="%6."/>
      <w:lvlJc w:val="left"/>
      <w:pPr>
        <w:tabs>
          <w:tab w:val="num" w:pos="4320"/>
        </w:tabs>
        <w:ind w:left="4320" w:hanging="360"/>
      </w:pPr>
    </w:lvl>
    <w:lvl w:ilvl="6" w:tplc="280A000F">
      <w:start w:val="1"/>
      <w:numFmt w:val="decimal"/>
      <w:lvlText w:val="%7."/>
      <w:lvlJc w:val="left"/>
      <w:pPr>
        <w:tabs>
          <w:tab w:val="num" w:pos="5040"/>
        </w:tabs>
        <w:ind w:left="5040" w:hanging="360"/>
      </w:pPr>
    </w:lvl>
    <w:lvl w:ilvl="7" w:tplc="280A0019">
      <w:start w:val="1"/>
      <w:numFmt w:val="decimal"/>
      <w:lvlText w:val="%8."/>
      <w:lvlJc w:val="left"/>
      <w:pPr>
        <w:tabs>
          <w:tab w:val="num" w:pos="5760"/>
        </w:tabs>
        <w:ind w:left="5760" w:hanging="360"/>
      </w:pPr>
    </w:lvl>
    <w:lvl w:ilvl="8" w:tplc="280A001B">
      <w:start w:val="1"/>
      <w:numFmt w:val="decimal"/>
      <w:lvlText w:val="%9."/>
      <w:lvlJc w:val="left"/>
      <w:pPr>
        <w:tabs>
          <w:tab w:val="num" w:pos="6480"/>
        </w:tabs>
        <w:ind w:left="6480" w:hanging="360"/>
      </w:pPr>
    </w:lvl>
  </w:abstractNum>
  <w:abstractNum w:abstractNumId="12">
    <w:nsid w:val="5B1507F2"/>
    <w:multiLevelType w:val="hybridMultilevel"/>
    <w:tmpl w:val="06705262"/>
    <w:lvl w:ilvl="0" w:tplc="280A0001">
      <w:start w:val="1"/>
      <w:numFmt w:val="bullet"/>
      <w:lvlText w:val=""/>
      <w:lvlJc w:val="left"/>
      <w:pPr>
        <w:ind w:left="1530" w:hanging="360"/>
      </w:pPr>
      <w:rPr>
        <w:rFonts w:ascii="Symbol" w:hAnsi="Symbol" w:hint="default"/>
      </w:rPr>
    </w:lvl>
    <w:lvl w:ilvl="1" w:tplc="280A0003" w:tentative="1">
      <w:start w:val="1"/>
      <w:numFmt w:val="bullet"/>
      <w:lvlText w:val="o"/>
      <w:lvlJc w:val="left"/>
      <w:pPr>
        <w:ind w:left="2250" w:hanging="360"/>
      </w:pPr>
      <w:rPr>
        <w:rFonts w:ascii="Courier New" w:hAnsi="Courier New" w:cs="Courier New" w:hint="default"/>
      </w:rPr>
    </w:lvl>
    <w:lvl w:ilvl="2" w:tplc="280A0005" w:tentative="1">
      <w:start w:val="1"/>
      <w:numFmt w:val="bullet"/>
      <w:lvlText w:val=""/>
      <w:lvlJc w:val="left"/>
      <w:pPr>
        <w:ind w:left="2970" w:hanging="360"/>
      </w:pPr>
      <w:rPr>
        <w:rFonts w:ascii="Wingdings" w:hAnsi="Wingdings" w:hint="default"/>
      </w:rPr>
    </w:lvl>
    <w:lvl w:ilvl="3" w:tplc="280A0001" w:tentative="1">
      <w:start w:val="1"/>
      <w:numFmt w:val="bullet"/>
      <w:lvlText w:val=""/>
      <w:lvlJc w:val="left"/>
      <w:pPr>
        <w:ind w:left="3690" w:hanging="360"/>
      </w:pPr>
      <w:rPr>
        <w:rFonts w:ascii="Symbol" w:hAnsi="Symbol" w:hint="default"/>
      </w:rPr>
    </w:lvl>
    <w:lvl w:ilvl="4" w:tplc="280A0003" w:tentative="1">
      <w:start w:val="1"/>
      <w:numFmt w:val="bullet"/>
      <w:lvlText w:val="o"/>
      <w:lvlJc w:val="left"/>
      <w:pPr>
        <w:ind w:left="4410" w:hanging="360"/>
      </w:pPr>
      <w:rPr>
        <w:rFonts w:ascii="Courier New" w:hAnsi="Courier New" w:cs="Courier New" w:hint="default"/>
      </w:rPr>
    </w:lvl>
    <w:lvl w:ilvl="5" w:tplc="280A0005" w:tentative="1">
      <w:start w:val="1"/>
      <w:numFmt w:val="bullet"/>
      <w:lvlText w:val=""/>
      <w:lvlJc w:val="left"/>
      <w:pPr>
        <w:ind w:left="5130" w:hanging="360"/>
      </w:pPr>
      <w:rPr>
        <w:rFonts w:ascii="Wingdings" w:hAnsi="Wingdings" w:hint="default"/>
      </w:rPr>
    </w:lvl>
    <w:lvl w:ilvl="6" w:tplc="280A0001" w:tentative="1">
      <w:start w:val="1"/>
      <w:numFmt w:val="bullet"/>
      <w:lvlText w:val=""/>
      <w:lvlJc w:val="left"/>
      <w:pPr>
        <w:ind w:left="5850" w:hanging="360"/>
      </w:pPr>
      <w:rPr>
        <w:rFonts w:ascii="Symbol" w:hAnsi="Symbol" w:hint="default"/>
      </w:rPr>
    </w:lvl>
    <w:lvl w:ilvl="7" w:tplc="280A0003" w:tentative="1">
      <w:start w:val="1"/>
      <w:numFmt w:val="bullet"/>
      <w:lvlText w:val="o"/>
      <w:lvlJc w:val="left"/>
      <w:pPr>
        <w:ind w:left="6570" w:hanging="360"/>
      </w:pPr>
      <w:rPr>
        <w:rFonts w:ascii="Courier New" w:hAnsi="Courier New" w:cs="Courier New" w:hint="default"/>
      </w:rPr>
    </w:lvl>
    <w:lvl w:ilvl="8" w:tplc="280A0005" w:tentative="1">
      <w:start w:val="1"/>
      <w:numFmt w:val="bullet"/>
      <w:lvlText w:val=""/>
      <w:lvlJc w:val="left"/>
      <w:pPr>
        <w:ind w:left="7290" w:hanging="360"/>
      </w:pPr>
      <w:rPr>
        <w:rFonts w:ascii="Wingdings" w:hAnsi="Wingdings" w:hint="default"/>
      </w:rPr>
    </w:lvl>
  </w:abstractNum>
  <w:abstractNum w:abstractNumId="13">
    <w:nsid w:val="5C7F4890"/>
    <w:multiLevelType w:val="multilevel"/>
    <w:tmpl w:val="2D0C9144"/>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14F4FB6"/>
    <w:multiLevelType w:val="hybridMultilevel"/>
    <w:tmpl w:val="48E29270"/>
    <w:lvl w:ilvl="0" w:tplc="280A0017">
      <w:start w:val="7"/>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62EC5625"/>
    <w:multiLevelType w:val="hybridMultilevel"/>
    <w:tmpl w:val="6CD49AB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696E60B9"/>
    <w:multiLevelType w:val="hybridMultilevel"/>
    <w:tmpl w:val="DCD8DA00"/>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nsid w:val="704D169B"/>
    <w:multiLevelType w:val="multilevel"/>
    <w:tmpl w:val="ED465F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58747E"/>
    <w:multiLevelType w:val="hybridMultilevel"/>
    <w:tmpl w:val="551EC11E"/>
    <w:lvl w:ilvl="0" w:tplc="D01C6B36">
      <w:start w:val="1"/>
      <w:numFmt w:val="upperLetter"/>
      <w:lvlText w:val="%1."/>
      <w:lvlJc w:val="left"/>
      <w:pPr>
        <w:ind w:left="928" w:hanging="360"/>
      </w:pPr>
      <w:rPr>
        <w:rFonts w:hint="default"/>
        <w:b/>
      </w:rPr>
    </w:lvl>
    <w:lvl w:ilvl="1" w:tplc="0C0A0019" w:tentative="1">
      <w:start w:val="1"/>
      <w:numFmt w:val="lowerLetter"/>
      <w:lvlText w:val="%2."/>
      <w:lvlJc w:val="left"/>
      <w:pPr>
        <w:ind w:left="1648" w:hanging="360"/>
      </w:pPr>
    </w:lvl>
    <w:lvl w:ilvl="2" w:tplc="0C0A001B" w:tentative="1">
      <w:start w:val="1"/>
      <w:numFmt w:val="lowerRoman"/>
      <w:lvlText w:val="%3."/>
      <w:lvlJc w:val="right"/>
      <w:pPr>
        <w:ind w:left="2368" w:hanging="180"/>
      </w:pPr>
    </w:lvl>
    <w:lvl w:ilvl="3" w:tplc="0C0A000F" w:tentative="1">
      <w:start w:val="1"/>
      <w:numFmt w:val="decimal"/>
      <w:lvlText w:val="%4."/>
      <w:lvlJc w:val="left"/>
      <w:pPr>
        <w:ind w:left="3088" w:hanging="360"/>
      </w:pPr>
    </w:lvl>
    <w:lvl w:ilvl="4" w:tplc="0C0A0019" w:tentative="1">
      <w:start w:val="1"/>
      <w:numFmt w:val="lowerLetter"/>
      <w:lvlText w:val="%5."/>
      <w:lvlJc w:val="left"/>
      <w:pPr>
        <w:ind w:left="3808" w:hanging="360"/>
      </w:pPr>
    </w:lvl>
    <w:lvl w:ilvl="5" w:tplc="0C0A001B" w:tentative="1">
      <w:start w:val="1"/>
      <w:numFmt w:val="lowerRoman"/>
      <w:lvlText w:val="%6."/>
      <w:lvlJc w:val="right"/>
      <w:pPr>
        <w:ind w:left="4528" w:hanging="180"/>
      </w:pPr>
    </w:lvl>
    <w:lvl w:ilvl="6" w:tplc="0C0A000F" w:tentative="1">
      <w:start w:val="1"/>
      <w:numFmt w:val="decimal"/>
      <w:lvlText w:val="%7."/>
      <w:lvlJc w:val="left"/>
      <w:pPr>
        <w:ind w:left="5248" w:hanging="360"/>
      </w:pPr>
    </w:lvl>
    <w:lvl w:ilvl="7" w:tplc="0C0A0019" w:tentative="1">
      <w:start w:val="1"/>
      <w:numFmt w:val="lowerLetter"/>
      <w:lvlText w:val="%8."/>
      <w:lvlJc w:val="left"/>
      <w:pPr>
        <w:ind w:left="5968" w:hanging="360"/>
      </w:pPr>
    </w:lvl>
    <w:lvl w:ilvl="8" w:tplc="0C0A001B" w:tentative="1">
      <w:start w:val="1"/>
      <w:numFmt w:val="lowerRoman"/>
      <w:lvlText w:val="%9."/>
      <w:lvlJc w:val="right"/>
      <w:pPr>
        <w:ind w:left="6688" w:hanging="180"/>
      </w:pPr>
    </w:lvl>
  </w:abstractNum>
  <w:abstractNum w:abstractNumId="19">
    <w:nsid w:val="74AC4567"/>
    <w:multiLevelType w:val="hybridMultilevel"/>
    <w:tmpl w:val="9C0E39B6"/>
    <w:lvl w:ilvl="0" w:tplc="0C0A0001">
      <w:start w:val="1"/>
      <w:numFmt w:val="bullet"/>
      <w:lvlText w:val=""/>
      <w:lvlJc w:val="left"/>
      <w:pPr>
        <w:tabs>
          <w:tab w:val="num" w:pos="1080"/>
        </w:tabs>
        <w:ind w:left="1080" w:hanging="360"/>
      </w:pPr>
      <w:rPr>
        <w:rFonts w:ascii="Symbol" w:hAnsi="Symbol" w:hint="default"/>
      </w:rPr>
    </w:lvl>
    <w:lvl w:ilvl="1" w:tplc="0C0A0003">
      <w:start w:val="1"/>
      <w:numFmt w:val="bullet"/>
      <w:lvlText w:val="o"/>
      <w:lvlJc w:val="left"/>
      <w:pPr>
        <w:tabs>
          <w:tab w:val="num" w:pos="1800"/>
        </w:tabs>
        <w:ind w:left="1800" w:hanging="360"/>
      </w:pPr>
      <w:rPr>
        <w:rFonts w:ascii="Courier New" w:hAnsi="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hint="default"/>
      </w:rPr>
    </w:lvl>
    <w:lvl w:ilvl="8" w:tplc="0C0A0005">
      <w:start w:val="1"/>
      <w:numFmt w:val="bullet"/>
      <w:lvlText w:val=""/>
      <w:lvlJc w:val="left"/>
      <w:pPr>
        <w:tabs>
          <w:tab w:val="num" w:pos="6840"/>
        </w:tabs>
        <w:ind w:left="6840" w:hanging="360"/>
      </w:pPr>
      <w:rPr>
        <w:rFonts w:ascii="Wingdings" w:hAnsi="Wingdings" w:hint="default"/>
      </w:rPr>
    </w:lvl>
  </w:abstractNum>
  <w:num w:numId="1">
    <w:abstractNumId w:val="8"/>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5"/>
  </w:num>
  <w:num w:numId="8">
    <w:abstractNumId w:val="17"/>
  </w:num>
  <w:num w:numId="9">
    <w:abstractNumId w:val="2"/>
  </w:num>
  <w:num w:numId="10">
    <w:abstractNumId w:val="11"/>
  </w:num>
  <w:num w:numId="11">
    <w:abstractNumId w:val="7"/>
  </w:num>
  <w:num w:numId="12">
    <w:abstractNumId w:val="0"/>
  </w:num>
  <w:num w:numId="13">
    <w:abstractNumId w:val="19"/>
  </w:num>
  <w:num w:numId="14">
    <w:abstractNumId w:val="18"/>
  </w:num>
  <w:num w:numId="15">
    <w:abstractNumId w:val="12"/>
  </w:num>
  <w:num w:numId="16">
    <w:abstractNumId w:val="9"/>
  </w:num>
  <w:num w:numId="17">
    <w:abstractNumId w:val="10"/>
  </w:num>
  <w:num w:numId="18">
    <w:abstractNumId w:val="15"/>
  </w:num>
  <w:num w:numId="19">
    <w:abstractNumId w:val="1"/>
  </w:num>
  <w:num w:numId="20">
    <w:abstractNumId w:val="14"/>
  </w:num>
  <w:num w:numId="21">
    <w:abstractNumId w:val="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1BD"/>
    <w:rsid w:val="00005392"/>
    <w:rsid w:val="00012160"/>
    <w:rsid w:val="0001288B"/>
    <w:rsid w:val="00016174"/>
    <w:rsid w:val="000614AF"/>
    <w:rsid w:val="00067274"/>
    <w:rsid w:val="000732D0"/>
    <w:rsid w:val="0008035F"/>
    <w:rsid w:val="00082084"/>
    <w:rsid w:val="0009699B"/>
    <w:rsid w:val="000A688B"/>
    <w:rsid w:val="000B3FFF"/>
    <w:rsid w:val="000C0AE4"/>
    <w:rsid w:val="000D4EB0"/>
    <w:rsid w:val="000D543F"/>
    <w:rsid w:val="000E07A4"/>
    <w:rsid w:val="00101137"/>
    <w:rsid w:val="00142AB4"/>
    <w:rsid w:val="001433DD"/>
    <w:rsid w:val="00144D6A"/>
    <w:rsid w:val="001870CA"/>
    <w:rsid w:val="00193FA0"/>
    <w:rsid w:val="001949F6"/>
    <w:rsid w:val="001B20F5"/>
    <w:rsid w:val="001C46FA"/>
    <w:rsid w:val="001F35C3"/>
    <w:rsid w:val="00203D01"/>
    <w:rsid w:val="002143AA"/>
    <w:rsid w:val="002841CB"/>
    <w:rsid w:val="0029555F"/>
    <w:rsid w:val="002A6ED4"/>
    <w:rsid w:val="002B1032"/>
    <w:rsid w:val="002D03C1"/>
    <w:rsid w:val="00307EF1"/>
    <w:rsid w:val="0032513A"/>
    <w:rsid w:val="0035178F"/>
    <w:rsid w:val="00367880"/>
    <w:rsid w:val="003A7403"/>
    <w:rsid w:val="003F0B28"/>
    <w:rsid w:val="003F1AFD"/>
    <w:rsid w:val="00411A52"/>
    <w:rsid w:val="00432C72"/>
    <w:rsid w:val="00441C04"/>
    <w:rsid w:val="00447B57"/>
    <w:rsid w:val="0045241E"/>
    <w:rsid w:val="00462A92"/>
    <w:rsid w:val="004713E8"/>
    <w:rsid w:val="004B1FF6"/>
    <w:rsid w:val="005005BF"/>
    <w:rsid w:val="00522E75"/>
    <w:rsid w:val="005569E3"/>
    <w:rsid w:val="00585842"/>
    <w:rsid w:val="0059080A"/>
    <w:rsid w:val="005C5587"/>
    <w:rsid w:val="005D4C1B"/>
    <w:rsid w:val="005E7E21"/>
    <w:rsid w:val="005F15DD"/>
    <w:rsid w:val="005F69DA"/>
    <w:rsid w:val="006133D2"/>
    <w:rsid w:val="00621BA9"/>
    <w:rsid w:val="006243A4"/>
    <w:rsid w:val="00640D1D"/>
    <w:rsid w:val="006422B5"/>
    <w:rsid w:val="006533FF"/>
    <w:rsid w:val="00653A1D"/>
    <w:rsid w:val="006573BF"/>
    <w:rsid w:val="00671E87"/>
    <w:rsid w:val="00672B4C"/>
    <w:rsid w:val="00683041"/>
    <w:rsid w:val="006D383B"/>
    <w:rsid w:val="006F0E18"/>
    <w:rsid w:val="006F5EB4"/>
    <w:rsid w:val="006F6863"/>
    <w:rsid w:val="006F7AB9"/>
    <w:rsid w:val="007220A6"/>
    <w:rsid w:val="00743285"/>
    <w:rsid w:val="00751CCE"/>
    <w:rsid w:val="00752AF1"/>
    <w:rsid w:val="00765C0E"/>
    <w:rsid w:val="007A6222"/>
    <w:rsid w:val="007E763F"/>
    <w:rsid w:val="007F5A8F"/>
    <w:rsid w:val="00802FC1"/>
    <w:rsid w:val="00810049"/>
    <w:rsid w:val="008177B9"/>
    <w:rsid w:val="00817996"/>
    <w:rsid w:val="00834D70"/>
    <w:rsid w:val="0083578C"/>
    <w:rsid w:val="008404F6"/>
    <w:rsid w:val="00882649"/>
    <w:rsid w:val="008B7C1F"/>
    <w:rsid w:val="008E1493"/>
    <w:rsid w:val="008E38F9"/>
    <w:rsid w:val="0093147D"/>
    <w:rsid w:val="0097034A"/>
    <w:rsid w:val="00974392"/>
    <w:rsid w:val="00981638"/>
    <w:rsid w:val="0099441B"/>
    <w:rsid w:val="00995EE8"/>
    <w:rsid w:val="009F24A9"/>
    <w:rsid w:val="009F2A31"/>
    <w:rsid w:val="00A233A6"/>
    <w:rsid w:val="00A265F1"/>
    <w:rsid w:val="00A6146C"/>
    <w:rsid w:val="00A86F76"/>
    <w:rsid w:val="00A91A91"/>
    <w:rsid w:val="00AA46D0"/>
    <w:rsid w:val="00AA7D3B"/>
    <w:rsid w:val="00AB3DEB"/>
    <w:rsid w:val="00AC34F8"/>
    <w:rsid w:val="00AF77AD"/>
    <w:rsid w:val="00B138CB"/>
    <w:rsid w:val="00B270A8"/>
    <w:rsid w:val="00B60C9A"/>
    <w:rsid w:val="00B6582F"/>
    <w:rsid w:val="00B83381"/>
    <w:rsid w:val="00B84990"/>
    <w:rsid w:val="00BA2420"/>
    <w:rsid w:val="00BB77A6"/>
    <w:rsid w:val="00C26898"/>
    <w:rsid w:val="00C34D68"/>
    <w:rsid w:val="00C53889"/>
    <w:rsid w:val="00C53F60"/>
    <w:rsid w:val="00C86CD7"/>
    <w:rsid w:val="00C95D61"/>
    <w:rsid w:val="00CB2489"/>
    <w:rsid w:val="00CC019D"/>
    <w:rsid w:val="00CC55BE"/>
    <w:rsid w:val="00CD2ED3"/>
    <w:rsid w:val="00CE77BC"/>
    <w:rsid w:val="00CF22E7"/>
    <w:rsid w:val="00CF45CD"/>
    <w:rsid w:val="00CF5CAE"/>
    <w:rsid w:val="00D229BD"/>
    <w:rsid w:val="00D41BFE"/>
    <w:rsid w:val="00D4488E"/>
    <w:rsid w:val="00D956ED"/>
    <w:rsid w:val="00DB5900"/>
    <w:rsid w:val="00DB6555"/>
    <w:rsid w:val="00DD526E"/>
    <w:rsid w:val="00DD6E71"/>
    <w:rsid w:val="00E01644"/>
    <w:rsid w:val="00E018EF"/>
    <w:rsid w:val="00E1010C"/>
    <w:rsid w:val="00E123A4"/>
    <w:rsid w:val="00E3135D"/>
    <w:rsid w:val="00E75025"/>
    <w:rsid w:val="00EC5172"/>
    <w:rsid w:val="00EC59FE"/>
    <w:rsid w:val="00EC7C17"/>
    <w:rsid w:val="00ED28B3"/>
    <w:rsid w:val="00ED3ECA"/>
    <w:rsid w:val="00EF3A8B"/>
    <w:rsid w:val="00F15EB0"/>
    <w:rsid w:val="00F235DC"/>
    <w:rsid w:val="00F3305C"/>
    <w:rsid w:val="00F3727B"/>
    <w:rsid w:val="00F46457"/>
    <w:rsid w:val="00F5080A"/>
    <w:rsid w:val="00F651BD"/>
    <w:rsid w:val="00F814B0"/>
    <w:rsid w:val="00F84544"/>
    <w:rsid w:val="00F91F1C"/>
    <w:rsid w:val="00FA110E"/>
    <w:rsid w:val="00FA78ED"/>
    <w:rsid w:val="00FB4B59"/>
    <w:rsid w:val="00FB7C1C"/>
    <w:rsid w:val="00FC4A37"/>
    <w:rsid w:val="00FC5088"/>
    <w:rsid w:val="00FE5E5B"/>
    <w:rsid w:val="00FF38C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D02067-A639-49C2-9031-F04B30CCB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48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semiHidden/>
    <w:unhideWhenUsed/>
    <w:rsid w:val="00F651BD"/>
    <w:rPr>
      <w:color w:val="0000FF"/>
      <w:u w:val="single"/>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Car Car, Car2 Car Car Car Car Car Car, Car2 Car Car,f Car"/>
    <w:basedOn w:val="Fuentedeprrafopredeter"/>
    <w:link w:val="Textonotapie"/>
    <w:locked/>
    <w:rsid w:val="00F651BD"/>
  </w:style>
  <w:style w:type="paragraph" w:styleId="Textonotapie">
    <w:name w:val="footnote text"/>
    <w:aliases w:val="Car,Car1 Car Car,Car2 Car Car Car Car Car,Car2 Car,Car2,Car1 Car,Car1,Car1 Car Car Car Car,Car1 Car Car Car Car Car Car,Car Car Ca, Car, Car2 Car Car Car Car Car, Car2 Car, Car2, Car1 Car, Car1, Car1 Car Car Car Car Car, Car Car Car Car,f"/>
    <w:basedOn w:val="Normal"/>
    <w:link w:val="TextonotapieCar"/>
    <w:unhideWhenUsed/>
    <w:rsid w:val="00F651BD"/>
    <w:pPr>
      <w:spacing w:after="0" w:line="240" w:lineRule="auto"/>
    </w:pPr>
  </w:style>
  <w:style w:type="character" w:customStyle="1" w:styleId="TextonotapieCar1">
    <w:name w:val="Texto nota pie Car1"/>
    <w:basedOn w:val="Fuentedeprrafopredeter"/>
    <w:uiPriority w:val="99"/>
    <w:semiHidden/>
    <w:rsid w:val="00F651BD"/>
    <w:rPr>
      <w:sz w:val="20"/>
      <w:szCs w:val="20"/>
    </w:rPr>
  </w:style>
  <w:style w:type="paragraph" w:styleId="Textoindependiente">
    <w:name w:val="Body Text"/>
    <w:basedOn w:val="Normal"/>
    <w:link w:val="TextoindependienteCar"/>
    <w:uiPriority w:val="99"/>
    <w:semiHidden/>
    <w:unhideWhenUsed/>
    <w:rsid w:val="00F651BD"/>
    <w:pPr>
      <w:spacing w:after="120"/>
    </w:pPr>
    <w:rPr>
      <w:rFonts w:ascii="Calibri" w:eastAsia="Calibri" w:hAnsi="Calibri" w:cs="Times New Roman"/>
      <w:sz w:val="20"/>
      <w:szCs w:val="20"/>
    </w:rPr>
  </w:style>
  <w:style w:type="character" w:customStyle="1" w:styleId="TextoindependienteCar">
    <w:name w:val="Texto independiente Car"/>
    <w:basedOn w:val="Fuentedeprrafopredeter"/>
    <w:link w:val="Textoindependiente"/>
    <w:uiPriority w:val="99"/>
    <w:semiHidden/>
    <w:rsid w:val="00F651BD"/>
    <w:rPr>
      <w:rFonts w:ascii="Calibri" w:eastAsia="Calibri" w:hAnsi="Calibri" w:cs="Times New Roman"/>
      <w:sz w:val="20"/>
      <w:szCs w:val="20"/>
    </w:rPr>
  </w:style>
  <w:style w:type="character" w:customStyle="1" w:styleId="SinespaciadoCar">
    <w:name w:val="Sin espaciado Car"/>
    <w:link w:val="Sinespaciado"/>
    <w:uiPriority w:val="1"/>
    <w:locked/>
    <w:rsid w:val="00F651BD"/>
    <w:rPr>
      <w:lang w:eastAsia="en-US"/>
    </w:rPr>
  </w:style>
  <w:style w:type="paragraph" w:styleId="Sinespaciado">
    <w:name w:val="No Spacing"/>
    <w:link w:val="SinespaciadoCar"/>
    <w:uiPriority w:val="1"/>
    <w:qFormat/>
    <w:rsid w:val="00F651BD"/>
    <w:pPr>
      <w:spacing w:after="0" w:line="240" w:lineRule="auto"/>
    </w:pPr>
    <w:rPr>
      <w:lang w:eastAsia="en-US"/>
    </w:rPr>
  </w:style>
  <w:style w:type="character" w:customStyle="1" w:styleId="PrrafodelistaCar">
    <w:name w:val="Párrafo de lista Car"/>
    <w:aliases w:val="Titulo de Fígura Car,TITULO A Car"/>
    <w:link w:val="Prrafodelista"/>
    <w:uiPriority w:val="34"/>
    <w:locked/>
    <w:rsid w:val="00F651BD"/>
    <w:rPr>
      <w:lang w:eastAsia="en-US"/>
    </w:rPr>
  </w:style>
  <w:style w:type="paragraph" w:styleId="Prrafodelista">
    <w:name w:val="List Paragraph"/>
    <w:aliases w:val="Titulo de Fígura,TITULO A"/>
    <w:basedOn w:val="Normal"/>
    <w:link w:val="PrrafodelistaCar"/>
    <w:uiPriority w:val="34"/>
    <w:qFormat/>
    <w:rsid w:val="00F651BD"/>
    <w:pPr>
      <w:ind w:left="708"/>
    </w:pPr>
    <w:rPr>
      <w:lang w:eastAsia="en-US"/>
    </w:rPr>
  </w:style>
  <w:style w:type="paragraph" w:customStyle="1" w:styleId="WW-Sangra3detindependiente">
    <w:name w:val="WW-Sangría 3 de t. independiente"/>
    <w:basedOn w:val="Normal"/>
    <w:rsid w:val="00F651BD"/>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character" w:customStyle="1" w:styleId="ListParagraphChar">
    <w:name w:val="List Paragraph Char"/>
    <w:link w:val="Prrafodelista1"/>
    <w:locked/>
    <w:rsid w:val="00F651BD"/>
    <w:rPr>
      <w:rFonts w:ascii="Times New Roman" w:eastAsia="Times New Roman" w:hAnsi="Times New Roman" w:cs="Times New Roman"/>
      <w:lang w:val="es-ES"/>
    </w:rPr>
  </w:style>
  <w:style w:type="paragraph" w:customStyle="1" w:styleId="Prrafodelista1">
    <w:name w:val="Párrafo de lista1"/>
    <w:basedOn w:val="Normal"/>
    <w:link w:val="ListParagraphChar"/>
    <w:rsid w:val="00F651BD"/>
    <w:pPr>
      <w:ind w:left="708"/>
    </w:pPr>
    <w:rPr>
      <w:rFonts w:ascii="Times New Roman" w:eastAsia="Times New Roman" w:hAnsi="Times New Roman" w:cs="Times New Roman"/>
      <w:lang w:val="es-ES"/>
    </w:rPr>
  </w:style>
  <w:style w:type="character" w:styleId="Refdenotaalpie">
    <w:name w:val="footnote reference"/>
    <w:aliases w:val="16 Point,Superscript 6 Point,FC,referencia nota al pie"/>
    <w:unhideWhenUsed/>
    <w:rsid w:val="00F651BD"/>
    <w:rPr>
      <w:vertAlign w:val="superscript"/>
    </w:rPr>
  </w:style>
  <w:style w:type="paragraph" w:styleId="Textodeglobo">
    <w:name w:val="Balloon Text"/>
    <w:basedOn w:val="Normal"/>
    <w:link w:val="TextodegloboCar"/>
    <w:uiPriority w:val="99"/>
    <w:semiHidden/>
    <w:unhideWhenUsed/>
    <w:rsid w:val="00F651B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51BD"/>
    <w:rPr>
      <w:rFonts w:ascii="Tahoma" w:hAnsi="Tahoma" w:cs="Tahoma"/>
      <w:sz w:val="16"/>
      <w:szCs w:val="16"/>
    </w:rPr>
  </w:style>
  <w:style w:type="paragraph" w:customStyle="1" w:styleId="CarCarCarCarCarCarCarCarCar1CarCarCarCarCarCarCar">
    <w:name w:val="Car Car Car Car Car Car Car Car Car1 Car Car Car Car Car Car Car"/>
    <w:basedOn w:val="Normal"/>
    <w:rsid w:val="00DB6555"/>
    <w:pPr>
      <w:spacing w:after="160" w:line="240" w:lineRule="exact"/>
    </w:pPr>
    <w:rPr>
      <w:rFonts w:ascii="Tahoma" w:eastAsia="Times New Roman" w:hAnsi="Tahoma" w:cs="Times New Roman"/>
      <w:sz w:val="20"/>
      <w:szCs w:val="20"/>
      <w:lang w:val="en-US" w:eastAsia="en-US"/>
    </w:rPr>
  </w:style>
  <w:style w:type="paragraph" w:customStyle="1" w:styleId="WW-Textoindependiente2">
    <w:name w:val="WW-Texto independiente 2"/>
    <w:basedOn w:val="Normal"/>
    <w:rsid w:val="00F3727B"/>
    <w:pPr>
      <w:spacing w:after="0" w:line="240" w:lineRule="auto"/>
      <w:jc w:val="both"/>
    </w:pPr>
    <w:rPr>
      <w:rFonts w:ascii="Arial" w:eastAsia="Times New Roman" w:hAnsi="Arial" w:cs="Times New Roman"/>
      <w:snapToGrid w:val="0"/>
      <w:sz w:val="24"/>
      <w:szCs w:val="24"/>
      <w:lang w:val="es-ES" w:eastAsia="es-MX"/>
    </w:rPr>
  </w:style>
  <w:style w:type="paragraph" w:customStyle="1" w:styleId="WW-Textosinformato">
    <w:name w:val="WW-Texto sin formato"/>
    <w:basedOn w:val="Normal"/>
    <w:rsid w:val="00FF38CE"/>
    <w:pPr>
      <w:suppressAutoHyphens/>
      <w:spacing w:after="0" w:line="240" w:lineRule="auto"/>
    </w:pPr>
    <w:rPr>
      <w:rFonts w:ascii="Courier New" w:eastAsia="MS Mincho" w:hAnsi="Courier New" w:cs="Times New Roman"/>
      <w:sz w:val="20"/>
      <w:szCs w:val="20"/>
      <w:lang w:eastAsia="es-ES"/>
    </w:rPr>
  </w:style>
  <w:style w:type="paragraph" w:styleId="NormalWeb">
    <w:name w:val="Normal (Web)"/>
    <w:basedOn w:val="Normal"/>
    <w:uiPriority w:val="99"/>
    <w:semiHidden/>
    <w:unhideWhenUsed/>
    <w:rsid w:val="000732D0"/>
    <w:pPr>
      <w:spacing w:after="0" w:line="240" w:lineRule="auto"/>
    </w:pPr>
    <w:rPr>
      <w:rFonts w:ascii="Times New Roman" w:eastAsia="Times New Roman" w:hAnsi="Times New Roman" w:cs="Times New Roman"/>
      <w:sz w:val="24"/>
      <w:szCs w:val="24"/>
    </w:rPr>
  </w:style>
  <w:style w:type="paragraph" w:customStyle="1" w:styleId="Default">
    <w:name w:val="Default"/>
    <w:rsid w:val="00067274"/>
    <w:pPr>
      <w:autoSpaceDE w:val="0"/>
      <w:autoSpaceDN w:val="0"/>
      <w:adjustRightInd w:val="0"/>
      <w:spacing w:after="0" w:line="240" w:lineRule="auto"/>
    </w:pPr>
    <w:rPr>
      <w:rFonts w:ascii="Arial" w:hAnsi="Arial" w:cs="Arial"/>
      <w:color w:val="000000"/>
      <w:sz w:val="24"/>
      <w:szCs w:val="24"/>
    </w:rPr>
  </w:style>
  <w:style w:type="paragraph" w:styleId="Textoindependiente2">
    <w:name w:val="Body Text 2"/>
    <w:basedOn w:val="Normal"/>
    <w:link w:val="Textoindependiente2Car"/>
    <w:uiPriority w:val="99"/>
    <w:unhideWhenUsed/>
    <w:rsid w:val="00A233A6"/>
    <w:pPr>
      <w:spacing w:after="120" w:line="480" w:lineRule="auto"/>
    </w:pPr>
  </w:style>
  <w:style w:type="character" w:customStyle="1" w:styleId="Textoindependiente2Car">
    <w:name w:val="Texto independiente 2 Car"/>
    <w:basedOn w:val="Fuentedeprrafopredeter"/>
    <w:link w:val="Textoindependiente2"/>
    <w:uiPriority w:val="99"/>
    <w:rsid w:val="00A233A6"/>
  </w:style>
  <w:style w:type="paragraph" w:styleId="Piedepgina">
    <w:name w:val="footer"/>
    <w:basedOn w:val="Normal"/>
    <w:link w:val="PiedepginaCar"/>
    <w:uiPriority w:val="99"/>
    <w:unhideWhenUsed/>
    <w:rsid w:val="00DD6E71"/>
    <w:pPr>
      <w:tabs>
        <w:tab w:val="center" w:pos="4419"/>
        <w:tab w:val="right" w:pos="8838"/>
      </w:tabs>
      <w:spacing w:after="0" w:line="240" w:lineRule="auto"/>
    </w:pPr>
    <w:rPr>
      <w:rFonts w:ascii="Calibri" w:eastAsia="Calibri" w:hAnsi="Calibri" w:cs="Times New Roman"/>
      <w:lang w:eastAsia="en-US"/>
    </w:rPr>
  </w:style>
  <w:style w:type="character" w:customStyle="1" w:styleId="PiedepginaCar">
    <w:name w:val="Pie de página Car"/>
    <w:basedOn w:val="Fuentedeprrafopredeter"/>
    <w:link w:val="Piedepgina"/>
    <w:uiPriority w:val="99"/>
    <w:rsid w:val="00DD6E71"/>
    <w:rPr>
      <w:rFonts w:ascii="Calibri" w:eastAsia="Calibri" w:hAnsi="Calibri" w:cs="Times New Roman"/>
      <w:lang w:eastAsia="en-US"/>
    </w:rPr>
  </w:style>
  <w:style w:type="paragraph" w:customStyle="1" w:styleId="Normaltimes">
    <w:name w:val="Normal+times"/>
    <w:basedOn w:val="Normal"/>
    <w:link w:val="NormaltimesCar"/>
    <w:rsid w:val="00101137"/>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101137"/>
    <w:rPr>
      <w:rFonts w:ascii="Times New Roman" w:eastAsia="Times New Roman" w:hAnsi="Times New Roman" w:cs="Times New Roman"/>
      <w:sz w:val="24"/>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89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090FE-5ECD-4F8B-8BE4-115C75E16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13</Pages>
  <Words>5733</Words>
  <Characters>31534</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mgarridor</dc:creator>
  <cp:lastModifiedBy>Luz Lizbhet Miguel Diaz</cp:lastModifiedBy>
  <cp:revision>28</cp:revision>
  <cp:lastPrinted>2015-04-21T21:01:00Z</cp:lastPrinted>
  <dcterms:created xsi:type="dcterms:W3CDTF">2015-04-20T16:17:00Z</dcterms:created>
  <dcterms:modified xsi:type="dcterms:W3CDTF">2015-04-22T00:48:00Z</dcterms:modified>
</cp:coreProperties>
</file>