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635" w:rsidRPr="00BB006A" w:rsidRDefault="00EE4635" w:rsidP="00EE4635">
      <w:pPr>
        <w:widowControl w:val="0"/>
        <w:jc w:val="center"/>
        <w:rPr>
          <w:b/>
          <w:sz w:val="24"/>
          <w:szCs w:val="24"/>
          <w:u w:val="single"/>
        </w:rPr>
      </w:pPr>
      <w:r w:rsidRPr="00BB006A">
        <w:rPr>
          <w:b/>
          <w:sz w:val="24"/>
          <w:szCs w:val="24"/>
          <w:u w:val="single"/>
        </w:rPr>
        <w:t xml:space="preserve">PRONUNCIAMIENTO Nº </w:t>
      </w:r>
      <w:r w:rsidR="00DF43D7">
        <w:rPr>
          <w:b/>
          <w:sz w:val="24"/>
          <w:szCs w:val="24"/>
          <w:u w:val="single"/>
        </w:rPr>
        <w:t>1302</w:t>
      </w:r>
      <w:r w:rsidRPr="00BB006A">
        <w:rPr>
          <w:b/>
          <w:sz w:val="24"/>
          <w:szCs w:val="24"/>
          <w:u w:val="single"/>
        </w:rPr>
        <w:t xml:space="preserve"> -2015/DSU</w:t>
      </w:r>
    </w:p>
    <w:p w:rsidR="00EE4635" w:rsidRPr="00BB006A" w:rsidRDefault="00EE4635" w:rsidP="00EE4635">
      <w:pPr>
        <w:widowControl w:val="0"/>
        <w:jc w:val="center"/>
        <w:rPr>
          <w:b/>
          <w:sz w:val="24"/>
          <w:szCs w:val="24"/>
          <w:u w:val="single"/>
        </w:rPr>
      </w:pPr>
    </w:p>
    <w:p w:rsidR="00EE4635" w:rsidRPr="00BB006A" w:rsidRDefault="00EE4635" w:rsidP="00EE4635">
      <w:pPr>
        <w:widowControl w:val="0"/>
        <w:ind w:left="2835" w:hanging="2835"/>
        <w:jc w:val="both"/>
        <w:rPr>
          <w:sz w:val="24"/>
          <w:szCs w:val="24"/>
        </w:rPr>
      </w:pPr>
      <w:r w:rsidRPr="00BB006A">
        <w:rPr>
          <w:sz w:val="24"/>
          <w:szCs w:val="24"/>
        </w:rPr>
        <w:t>Entidad:</w:t>
      </w:r>
      <w:r w:rsidRPr="00BB006A">
        <w:rPr>
          <w:sz w:val="24"/>
          <w:szCs w:val="24"/>
        </w:rPr>
        <w:tab/>
        <w:t>Superintendencia Nacional de Aduanas y de Administración Tributaria - SUNAT</w:t>
      </w:r>
    </w:p>
    <w:p w:rsidR="00EE4635" w:rsidRPr="00BB006A" w:rsidRDefault="00EE4635" w:rsidP="00EE4635">
      <w:pPr>
        <w:widowControl w:val="0"/>
        <w:jc w:val="both"/>
        <w:rPr>
          <w:snapToGrid w:val="0"/>
          <w:sz w:val="24"/>
          <w:szCs w:val="24"/>
        </w:rPr>
      </w:pPr>
    </w:p>
    <w:p w:rsidR="00EE4635" w:rsidRPr="00BB006A" w:rsidRDefault="00EE4635" w:rsidP="00EE4635">
      <w:pPr>
        <w:widowControl w:val="0"/>
        <w:tabs>
          <w:tab w:val="left" w:pos="1980"/>
        </w:tabs>
        <w:ind w:left="2880" w:hanging="2880"/>
        <w:jc w:val="both"/>
        <w:rPr>
          <w:sz w:val="24"/>
          <w:szCs w:val="24"/>
        </w:rPr>
      </w:pPr>
      <w:r w:rsidRPr="00BB006A">
        <w:rPr>
          <w:sz w:val="24"/>
          <w:szCs w:val="24"/>
        </w:rPr>
        <w:t>Referencia:</w:t>
      </w:r>
      <w:r w:rsidRPr="00BB006A">
        <w:rPr>
          <w:sz w:val="24"/>
          <w:szCs w:val="24"/>
        </w:rPr>
        <w:tab/>
      </w:r>
      <w:r w:rsidRPr="00BB006A">
        <w:rPr>
          <w:sz w:val="24"/>
          <w:szCs w:val="24"/>
        </w:rPr>
        <w:tab/>
        <w:t>Concurso Público N° 40-2015-SUNAT-8B1200-1, convocado para el "Servicio de mantenimiento preventivo del sistema de alarma contra incendio para las sedes de SUNAT ámbito Nacional”</w:t>
      </w:r>
      <w:r w:rsidRPr="00BB006A">
        <w:rPr>
          <w:bCs/>
          <w:sz w:val="24"/>
          <w:szCs w:val="24"/>
        </w:rPr>
        <w:t>.</w:t>
      </w:r>
    </w:p>
    <w:p w:rsidR="00EE4635" w:rsidRPr="00BB006A" w:rsidRDefault="00EE4635" w:rsidP="00EE4635">
      <w:pPr>
        <w:widowControl w:val="0"/>
        <w:suppressLineNumbers/>
        <w:pBdr>
          <w:bottom w:val="single" w:sz="6" w:space="0" w:color="auto"/>
        </w:pBdr>
        <w:jc w:val="both"/>
        <w:rPr>
          <w:rFonts w:eastAsia="MS Mincho"/>
          <w:sz w:val="24"/>
          <w:szCs w:val="24"/>
          <w:lang w:eastAsia="es-PE"/>
        </w:rPr>
      </w:pPr>
    </w:p>
    <w:p w:rsidR="00EE4635" w:rsidRPr="00BB006A" w:rsidRDefault="00EE4635" w:rsidP="00EE4635">
      <w:pPr>
        <w:widowControl w:val="0"/>
        <w:suppressLineNumbers/>
        <w:jc w:val="both"/>
        <w:rPr>
          <w:rFonts w:eastAsia="MS Mincho"/>
          <w:sz w:val="24"/>
          <w:szCs w:val="24"/>
          <w:lang w:eastAsia="es-PE"/>
        </w:rPr>
      </w:pPr>
    </w:p>
    <w:p w:rsidR="00EE4635" w:rsidRPr="00BB006A" w:rsidRDefault="00EE4635" w:rsidP="00EE4635">
      <w:pPr>
        <w:numPr>
          <w:ilvl w:val="0"/>
          <w:numId w:val="1"/>
        </w:numPr>
        <w:tabs>
          <w:tab w:val="left" w:pos="567"/>
        </w:tabs>
        <w:ind w:left="567" w:hanging="567"/>
        <w:jc w:val="both"/>
        <w:rPr>
          <w:b/>
          <w:snapToGrid w:val="0"/>
          <w:sz w:val="24"/>
          <w:szCs w:val="24"/>
        </w:rPr>
      </w:pPr>
      <w:r w:rsidRPr="00BB006A">
        <w:rPr>
          <w:b/>
          <w:snapToGrid w:val="0"/>
          <w:sz w:val="24"/>
          <w:szCs w:val="24"/>
        </w:rPr>
        <w:t>ANTECEDENTES</w:t>
      </w:r>
    </w:p>
    <w:p w:rsidR="00EE4635" w:rsidRPr="00BB006A" w:rsidRDefault="00EE4635" w:rsidP="00EE4635">
      <w:pPr>
        <w:pStyle w:val="WW-Sangra3detindependiente"/>
        <w:widowControl/>
        <w:suppressAutoHyphens w:val="0"/>
        <w:ind w:left="1"/>
        <w:rPr>
          <w:szCs w:val="24"/>
          <w:lang w:val="es-PE"/>
        </w:rPr>
      </w:pPr>
    </w:p>
    <w:p w:rsidR="00EE4635" w:rsidRPr="00BB006A" w:rsidRDefault="00EE4635" w:rsidP="00EE4635">
      <w:pPr>
        <w:widowControl w:val="0"/>
        <w:ind w:left="1" w:firstLine="1"/>
        <w:jc w:val="both"/>
        <w:rPr>
          <w:rFonts w:eastAsia="MS Mincho"/>
          <w:sz w:val="24"/>
          <w:szCs w:val="24"/>
          <w:lang w:eastAsia="es-ES"/>
        </w:rPr>
      </w:pPr>
      <w:r w:rsidRPr="00BB006A">
        <w:rPr>
          <w:rFonts w:eastAsia="MS Mincho"/>
          <w:sz w:val="24"/>
          <w:szCs w:val="24"/>
          <w:lang w:eastAsia="es-ES"/>
        </w:rPr>
        <w:t xml:space="preserve">Mediante el Oficio Nº 17-2015-SUNAT/4A0000, recibido el 02.10.2015, el Presidente del Comité Especial remitió al Organismo Supervisor de las Contrataciones del Estado (OSCE) las nueve (9) observaciones, formulados por el participante </w:t>
      </w:r>
      <w:r w:rsidRPr="00BB006A">
        <w:rPr>
          <w:rFonts w:eastAsia="MS Mincho"/>
          <w:b/>
          <w:sz w:val="24"/>
          <w:szCs w:val="24"/>
          <w:lang w:eastAsia="es-ES"/>
        </w:rPr>
        <w:t xml:space="preserve">UNIDEN ELECTRONICS S.R.L., </w:t>
      </w:r>
      <w:r w:rsidRPr="00BB006A">
        <w:rPr>
          <w:rFonts w:eastAsia="MS Mincho"/>
          <w:sz w:val="24"/>
          <w:szCs w:val="24"/>
          <w:lang w:eastAsia="es-ES"/>
        </w:rPr>
        <w:t>así como el informe técnico respectivo, en cumplimiento de lo dispuesto por el artículo 28°</w:t>
      </w:r>
      <w:r w:rsidRPr="00BB006A">
        <w:rPr>
          <w:rFonts w:eastAsia="MS Mincho"/>
          <w:sz w:val="24"/>
          <w:szCs w:val="24"/>
          <w:lang w:eastAsia="es-PE"/>
        </w:rPr>
        <w:t xml:space="preserve"> del Decreto Legislativo Nº 1017, </w:t>
      </w:r>
      <w:r w:rsidRPr="00BB006A">
        <w:rPr>
          <w:rFonts w:eastAsia="MS Mincho"/>
          <w:sz w:val="24"/>
          <w:szCs w:val="24"/>
          <w:lang w:eastAsia="es-ES"/>
        </w:rPr>
        <w:t>que aprueba la Ley de Contrataciones del Estado, en adelante la Ley, y el artículo 58° de su Reglamento, aprobado por Decreto Supremo Nº 184-2008-EF, en adelante el Reglamento.</w:t>
      </w:r>
    </w:p>
    <w:p w:rsidR="00EE4635" w:rsidRPr="00BB006A" w:rsidRDefault="00EE4635" w:rsidP="00EE4635">
      <w:pPr>
        <w:widowControl w:val="0"/>
        <w:ind w:left="1" w:firstLine="1"/>
        <w:jc w:val="both"/>
        <w:rPr>
          <w:rFonts w:eastAsia="MS Mincho"/>
          <w:sz w:val="24"/>
          <w:szCs w:val="24"/>
          <w:lang w:eastAsia="es-ES"/>
        </w:rPr>
      </w:pPr>
    </w:p>
    <w:p w:rsidR="00EE4635" w:rsidRPr="00BB006A" w:rsidRDefault="00EE4635" w:rsidP="00EE4635">
      <w:pPr>
        <w:ind w:left="1" w:firstLine="1"/>
        <w:jc w:val="both"/>
        <w:rPr>
          <w:sz w:val="24"/>
          <w:szCs w:val="24"/>
        </w:rPr>
      </w:pPr>
      <w:r w:rsidRPr="00BB006A">
        <w:rPr>
          <w:sz w:val="24"/>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que fueron acogidas parcialmente; b) las respuestas a las observaciones del solicitante que, pese a haber sido acogidas, fueron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EE4635" w:rsidRPr="00BB006A" w:rsidRDefault="00EE4635" w:rsidP="00EE4635">
      <w:pPr>
        <w:jc w:val="both"/>
        <w:rPr>
          <w:sz w:val="24"/>
          <w:szCs w:val="24"/>
          <w:lang w:eastAsia="es-ES"/>
        </w:rPr>
      </w:pPr>
    </w:p>
    <w:p w:rsidR="00BC74A4" w:rsidRPr="00BB006A" w:rsidRDefault="00EE4635" w:rsidP="00BC74A4">
      <w:pPr>
        <w:pStyle w:val="WW-Sangra3detindependiente"/>
        <w:suppressAutoHyphens w:val="0"/>
        <w:ind w:left="1"/>
        <w:rPr>
          <w:szCs w:val="24"/>
        </w:rPr>
      </w:pPr>
      <w:r w:rsidRPr="00BB006A">
        <w:rPr>
          <w:szCs w:val="24"/>
        </w:rPr>
        <w:t xml:space="preserve">En ese sentido, respecto de </w:t>
      </w:r>
      <w:r w:rsidRPr="00BB006A">
        <w:rPr>
          <w:szCs w:val="24"/>
          <w:lang w:val="es-PE" w:eastAsia="es-ES"/>
        </w:rPr>
        <w:t xml:space="preserve">las </w:t>
      </w:r>
      <w:r w:rsidRPr="00BB006A">
        <w:rPr>
          <w:szCs w:val="24"/>
          <w:lang w:val="es-PE"/>
        </w:rPr>
        <w:t xml:space="preserve">nueve (9) observaciones  formuladas por el participante </w:t>
      </w:r>
      <w:r w:rsidRPr="00BB006A">
        <w:rPr>
          <w:rFonts w:eastAsia="MS Mincho"/>
          <w:b/>
          <w:szCs w:val="24"/>
          <w:lang w:eastAsia="es-ES"/>
        </w:rPr>
        <w:t>UNIDEN ELECTRONICS S.R.L.</w:t>
      </w:r>
      <w:r w:rsidRPr="00BB006A">
        <w:rPr>
          <w:b/>
          <w:szCs w:val="24"/>
          <w:lang w:val="es-PE" w:eastAsia="es-ES"/>
        </w:rPr>
        <w:t>,</w:t>
      </w:r>
      <w:r w:rsidRPr="00BB006A">
        <w:rPr>
          <w:szCs w:val="24"/>
        </w:rPr>
        <w:t xml:space="preserve"> c</w:t>
      </w:r>
      <w:r w:rsidRPr="00BB006A">
        <w:rPr>
          <w:szCs w:val="24"/>
          <w:lang w:eastAsia="es-ES"/>
        </w:rPr>
        <w:t xml:space="preserve">on relación a </w:t>
      </w:r>
      <w:r w:rsidRPr="00BB006A">
        <w:rPr>
          <w:szCs w:val="24"/>
        </w:rPr>
        <w:t xml:space="preserve">las Observaciones </w:t>
      </w:r>
      <w:r w:rsidR="00BC74A4">
        <w:rPr>
          <w:szCs w:val="24"/>
        </w:rPr>
        <w:t>2, 3,</w:t>
      </w:r>
      <w:r w:rsidR="00BC74A4" w:rsidRPr="00BB006A">
        <w:rPr>
          <w:szCs w:val="24"/>
        </w:rPr>
        <w:t xml:space="preserve"> 5, 6, 7</w:t>
      </w:r>
      <w:r w:rsidR="00BC74A4">
        <w:rPr>
          <w:szCs w:val="24"/>
        </w:rPr>
        <w:t>, 8, 9</w:t>
      </w:r>
      <w:r w:rsidR="00BC74A4" w:rsidRPr="00BB006A">
        <w:rPr>
          <w:szCs w:val="24"/>
        </w:rPr>
        <w:t xml:space="preserve"> cabe señalar que de la revisión del pliego absolutorio de observaciones se advierte que, en estricto, se trata de una solicitud de </w:t>
      </w:r>
      <w:r w:rsidR="00B02E62">
        <w:rPr>
          <w:szCs w:val="24"/>
        </w:rPr>
        <w:t xml:space="preserve">precisiones y/o </w:t>
      </w:r>
      <w:r w:rsidR="00BC74A4" w:rsidRPr="00BB006A">
        <w:rPr>
          <w:szCs w:val="24"/>
        </w:rPr>
        <w:t>modificaciones a las Bases, es decir, una consulta, supuesto no previsto en el artículo 58° del Reglamento, por lo que este Organismo Supervisor no se pronunciará al respecto.</w:t>
      </w:r>
    </w:p>
    <w:p w:rsidR="00EE4635" w:rsidRPr="00BC74A4" w:rsidRDefault="00EE4635" w:rsidP="00BC74A4">
      <w:pPr>
        <w:pStyle w:val="WW-Sangra3detindependiente"/>
        <w:widowControl/>
        <w:suppressAutoHyphens w:val="0"/>
        <w:ind w:left="2"/>
        <w:rPr>
          <w:szCs w:val="24"/>
          <w:highlight w:val="yellow"/>
        </w:rPr>
      </w:pPr>
    </w:p>
    <w:p w:rsidR="00787846" w:rsidRDefault="00EE4635" w:rsidP="00EE4635">
      <w:pPr>
        <w:pStyle w:val="WW-Sangra3detindependiente"/>
        <w:suppressAutoHyphens w:val="0"/>
        <w:ind w:left="1"/>
        <w:rPr>
          <w:szCs w:val="24"/>
        </w:rPr>
      </w:pPr>
      <w:r w:rsidRPr="00BB006A">
        <w:rPr>
          <w:szCs w:val="24"/>
        </w:rPr>
        <w:t>Con relación a la</w:t>
      </w:r>
      <w:r>
        <w:rPr>
          <w:szCs w:val="24"/>
        </w:rPr>
        <w:t>s Observaciones</w:t>
      </w:r>
      <w:r w:rsidRPr="00BB006A">
        <w:rPr>
          <w:szCs w:val="24"/>
        </w:rPr>
        <w:t xml:space="preserve"> N° 1, cabe señalar que </w:t>
      </w:r>
      <w:r w:rsidR="00BC74A4">
        <w:rPr>
          <w:szCs w:val="24"/>
        </w:rPr>
        <w:t>contiene dos extremos</w:t>
      </w:r>
      <w:r w:rsidR="00787846">
        <w:rPr>
          <w:szCs w:val="24"/>
        </w:rPr>
        <w:t>, s</w:t>
      </w:r>
      <w:r w:rsidR="00BC74A4">
        <w:rPr>
          <w:szCs w:val="24"/>
        </w:rPr>
        <w:t xml:space="preserve">iendo que </w:t>
      </w:r>
      <w:r w:rsidRPr="00BB006A">
        <w:rPr>
          <w:szCs w:val="24"/>
        </w:rPr>
        <w:t>de la revisión del pliego absolutorio de</w:t>
      </w:r>
      <w:r w:rsidR="00B02E62">
        <w:rPr>
          <w:szCs w:val="24"/>
        </w:rPr>
        <w:t xml:space="preserve"> observaciones se advierte que:</w:t>
      </w:r>
    </w:p>
    <w:p w:rsidR="00B02E62" w:rsidRDefault="00B02E62" w:rsidP="00EE4635">
      <w:pPr>
        <w:pStyle w:val="WW-Sangra3detindependiente"/>
        <w:suppressAutoHyphens w:val="0"/>
        <w:ind w:left="1"/>
        <w:rPr>
          <w:szCs w:val="24"/>
        </w:rPr>
      </w:pPr>
    </w:p>
    <w:p w:rsidR="00EE4635" w:rsidRDefault="00787846" w:rsidP="00EE4635">
      <w:pPr>
        <w:pStyle w:val="WW-Sangra3detindependiente"/>
        <w:suppressAutoHyphens w:val="0"/>
        <w:ind w:left="1"/>
        <w:rPr>
          <w:szCs w:val="24"/>
          <w:lang w:val="es-PE"/>
        </w:rPr>
      </w:pPr>
      <w:r>
        <w:rPr>
          <w:szCs w:val="24"/>
        </w:rPr>
        <w:t>- E</w:t>
      </w:r>
      <w:r w:rsidR="00BC74A4">
        <w:rPr>
          <w:szCs w:val="24"/>
        </w:rPr>
        <w:t xml:space="preserve">l primer extremo fue </w:t>
      </w:r>
      <w:r w:rsidR="00EE4635" w:rsidRPr="00BB006A">
        <w:rPr>
          <w:szCs w:val="24"/>
          <w:lang w:val="es-PE"/>
        </w:rPr>
        <w:t>acogid</w:t>
      </w:r>
      <w:r w:rsidR="00BC74A4">
        <w:rPr>
          <w:szCs w:val="24"/>
          <w:lang w:val="es-PE"/>
        </w:rPr>
        <w:t>o</w:t>
      </w:r>
      <w:r w:rsidR="00EE4635" w:rsidRPr="00BB006A">
        <w:rPr>
          <w:szCs w:val="24"/>
          <w:lang w:val="es-PE"/>
        </w:rPr>
        <w:t xml:space="preserve">, </w:t>
      </w:r>
      <w:r w:rsidR="00BC74A4">
        <w:rPr>
          <w:szCs w:val="24"/>
          <w:lang w:val="es-PE"/>
        </w:rPr>
        <w:t xml:space="preserve">por lo que </w:t>
      </w:r>
      <w:proofErr w:type="spellStart"/>
      <w:r w:rsidR="00BC74A4">
        <w:rPr>
          <w:szCs w:val="24"/>
          <w:lang w:val="es-PE" w:eastAsia="es-ES"/>
        </w:rPr>
        <w:t>és</w:t>
      </w:r>
      <w:proofErr w:type="spellEnd"/>
      <w:r w:rsidR="00EE4635" w:rsidRPr="00BB006A">
        <w:rPr>
          <w:szCs w:val="24"/>
          <w:lang w:eastAsia="es-ES"/>
        </w:rPr>
        <w:t>te Organismo Supervisor no se pronunciará respecto del extremo acogido</w:t>
      </w:r>
      <w:r w:rsidR="00EE4635" w:rsidRPr="00BB006A">
        <w:rPr>
          <w:szCs w:val="24"/>
          <w:lang w:val="es-PE"/>
        </w:rPr>
        <w:t>.</w:t>
      </w:r>
    </w:p>
    <w:p w:rsidR="00787846" w:rsidRDefault="00787846" w:rsidP="00EE4635">
      <w:pPr>
        <w:pStyle w:val="WW-Sangra3detindependiente"/>
        <w:suppressAutoHyphens w:val="0"/>
        <w:ind w:left="1"/>
        <w:rPr>
          <w:szCs w:val="24"/>
          <w:lang w:val="es-PE"/>
        </w:rPr>
      </w:pPr>
    </w:p>
    <w:p w:rsidR="00787846" w:rsidRPr="00BB006A" w:rsidRDefault="00787846" w:rsidP="00787846">
      <w:pPr>
        <w:pStyle w:val="WW-Sangra3detindependiente"/>
        <w:suppressAutoHyphens w:val="0"/>
        <w:ind w:left="1"/>
        <w:rPr>
          <w:szCs w:val="24"/>
        </w:rPr>
      </w:pPr>
      <w:r>
        <w:rPr>
          <w:szCs w:val="24"/>
          <w:lang w:val="es-PE"/>
        </w:rPr>
        <w:t xml:space="preserve">- El segundo extremo </w:t>
      </w:r>
      <w:r w:rsidRPr="00BB006A">
        <w:rPr>
          <w:szCs w:val="24"/>
        </w:rPr>
        <w:t>en estricto, se trata de una solicitud de modificaciones a las Bases, es decir, una consulta, supuesto no previsto en el artículo 58° del Reglamento, por lo que este Organismo Supervisor no se pronunciará al respecto.</w:t>
      </w:r>
    </w:p>
    <w:p w:rsidR="00EE4635" w:rsidRPr="00BB006A" w:rsidRDefault="00EE4635" w:rsidP="00EE4635">
      <w:pPr>
        <w:pStyle w:val="WW-Sangra3detindependiente"/>
        <w:widowControl/>
        <w:tabs>
          <w:tab w:val="left" w:pos="4536"/>
        </w:tabs>
        <w:suppressAutoHyphens w:val="0"/>
        <w:ind w:left="2"/>
        <w:rPr>
          <w:szCs w:val="24"/>
          <w:lang w:val="es-PE" w:eastAsia="es-ES"/>
        </w:rPr>
      </w:pPr>
      <w:r w:rsidRPr="00BB006A">
        <w:rPr>
          <w:szCs w:val="24"/>
          <w:lang w:val="es-PE"/>
        </w:rPr>
        <w:lastRenderedPageBreak/>
        <w:t>Todo ello, sin perjuicio de las observaciones de oficio que se formulen respecto de aspectos relevantes de las Bases, de conformidad con el inciso a) del artículo 58 de la Ley</w:t>
      </w:r>
      <w:r w:rsidRPr="00BB006A">
        <w:rPr>
          <w:szCs w:val="24"/>
          <w:lang w:val="es-PE" w:eastAsia="es-ES"/>
        </w:rPr>
        <w:t>.</w:t>
      </w:r>
    </w:p>
    <w:p w:rsidR="00EE4635" w:rsidRPr="00BB006A" w:rsidRDefault="00EE4635" w:rsidP="00EE4635">
      <w:pPr>
        <w:pStyle w:val="WW-Sangra3detindependiente"/>
        <w:widowControl/>
        <w:tabs>
          <w:tab w:val="left" w:pos="4536"/>
        </w:tabs>
        <w:suppressAutoHyphens w:val="0"/>
        <w:ind w:left="2"/>
        <w:rPr>
          <w:szCs w:val="24"/>
          <w:lang w:val="es-PE" w:eastAsia="es-ES"/>
        </w:rPr>
      </w:pPr>
    </w:p>
    <w:p w:rsidR="00EE4635" w:rsidRPr="00BB006A" w:rsidRDefault="00EE4635" w:rsidP="00EE4635">
      <w:pPr>
        <w:numPr>
          <w:ilvl w:val="0"/>
          <w:numId w:val="1"/>
        </w:numPr>
        <w:tabs>
          <w:tab w:val="left" w:pos="567"/>
        </w:tabs>
        <w:ind w:left="567" w:hanging="567"/>
        <w:jc w:val="both"/>
        <w:rPr>
          <w:b/>
          <w:sz w:val="24"/>
          <w:szCs w:val="24"/>
        </w:rPr>
      </w:pPr>
      <w:r w:rsidRPr="00BB006A">
        <w:rPr>
          <w:b/>
          <w:sz w:val="24"/>
          <w:szCs w:val="24"/>
        </w:rPr>
        <w:t>OBSERVACIONES</w:t>
      </w:r>
    </w:p>
    <w:p w:rsidR="00EE4635" w:rsidRPr="00BB006A" w:rsidRDefault="00EE4635" w:rsidP="00EE4635">
      <w:pPr>
        <w:jc w:val="both"/>
        <w:rPr>
          <w:b/>
          <w:sz w:val="24"/>
          <w:szCs w:val="24"/>
        </w:rPr>
      </w:pPr>
    </w:p>
    <w:p w:rsidR="00EE4635" w:rsidRPr="00BB006A" w:rsidRDefault="00EE4635" w:rsidP="00EE4635">
      <w:pPr>
        <w:ind w:left="4111" w:hanging="4111"/>
        <w:jc w:val="both"/>
        <w:rPr>
          <w:b/>
          <w:sz w:val="24"/>
          <w:szCs w:val="24"/>
        </w:rPr>
      </w:pPr>
      <w:r w:rsidRPr="00BB006A">
        <w:rPr>
          <w:b/>
          <w:sz w:val="24"/>
          <w:szCs w:val="24"/>
        </w:rPr>
        <w:t>Observante:</w:t>
      </w:r>
      <w:r w:rsidRPr="00BB006A">
        <w:rPr>
          <w:b/>
          <w:sz w:val="24"/>
          <w:szCs w:val="24"/>
        </w:rPr>
        <w:tab/>
      </w:r>
      <w:r w:rsidRPr="00BB006A">
        <w:rPr>
          <w:rFonts w:eastAsia="MS Mincho"/>
          <w:b/>
          <w:sz w:val="24"/>
          <w:szCs w:val="24"/>
          <w:lang w:eastAsia="es-ES"/>
        </w:rPr>
        <w:t>UNIDEN ELECTRONICS S.R.L.</w:t>
      </w:r>
    </w:p>
    <w:p w:rsidR="00EE4635" w:rsidRPr="00BB006A" w:rsidRDefault="00EE4635" w:rsidP="00EE4635">
      <w:pPr>
        <w:widowControl w:val="0"/>
        <w:ind w:left="3686" w:hanging="3686"/>
        <w:jc w:val="both"/>
        <w:rPr>
          <w:sz w:val="24"/>
          <w:szCs w:val="24"/>
        </w:rPr>
      </w:pPr>
    </w:p>
    <w:p w:rsidR="00787846" w:rsidRDefault="00EE4635" w:rsidP="00787846">
      <w:pPr>
        <w:widowControl w:val="0"/>
        <w:ind w:left="4111" w:hanging="4111"/>
        <w:jc w:val="both"/>
        <w:rPr>
          <w:b/>
          <w:sz w:val="24"/>
          <w:szCs w:val="24"/>
          <w:lang w:val="es-ES"/>
        </w:rPr>
      </w:pPr>
      <w:r w:rsidRPr="00BB006A">
        <w:rPr>
          <w:b/>
          <w:sz w:val="24"/>
          <w:szCs w:val="24"/>
          <w:lang w:val="es-ES"/>
        </w:rPr>
        <w:t xml:space="preserve">Observación Nº </w:t>
      </w:r>
      <w:r w:rsidR="00787846">
        <w:rPr>
          <w:b/>
          <w:sz w:val="24"/>
          <w:szCs w:val="24"/>
          <w:lang w:val="es-ES"/>
        </w:rPr>
        <w:t>4</w:t>
      </w:r>
      <w:r w:rsidRPr="00BB006A">
        <w:rPr>
          <w:b/>
          <w:sz w:val="24"/>
          <w:szCs w:val="24"/>
          <w:lang w:val="es-ES"/>
        </w:rPr>
        <w:tab/>
      </w:r>
      <w:r w:rsidR="00787846">
        <w:rPr>
          <w:b/>
          <w:sz w:val="24"/>
          <w:szCs w:val="24"/>
          <w:lang w:val="es-ES"/>
        </w:rPr>
        <w:t>Contra el literal i) de la documentación de presentación obligatoria</w:t>
      </w:r>
    </w:p>
    <w:p w:rsidR="00787846" w:rsidRDefault="00787846" w:rsidP="00787846">
      <w:pPr>
        <w:widowControl w:val="0"/>
        <w:ind w:left="4111" w:hanging="4111"/>
        <w:jc w:val="both"/>
        <w:rPr>
          <w:b/>
          <w:sz w:val="24"/>
          <w:szCs w:val="24"/>
          <w:lang w:val="es-ES"/>
        </w:rPr>
      </w:pPr>
    </w:p>
    <w:p w:rsidR="00787846" w:rsidRPr="00787846" w:rsidRDefault="00787846" w:rsidP="00787846">
      <w:pPr>
        <w:pStyle w:val="WW-Sangra3detindependiente"/>
        <w:widowControl/>
        <w:tabs>
          <w:tab w:val="left" w:pos="4536"/>
        </w:tabs>
        <w:suppressAutoHyphens w:val="0"/>
        <w:ind w:left="2"/>
        <w:rPr>
          <w:b/>
          <w:szCs w:val="24"/>
          <w:lang w:val="es-ES"/>
        </w:rPr>
      </w:pPr>
      <w:r>
        <w:rPr>
          <w:szCs w:val="24"/>
          <w:lang w:eastAsia="es-ES"/>
        </w:rPr>
        <w:t xml:space="preserve">El participante cuestiona que se </w:t>
      </w:r>
      <w:r w:rsidR="006D4A10">
        <w:rPr>
          <w:szCs w:val="24"/>
          <w:lang w:eastAsia="es-ES"/>
        </w:rPr>
        <w:t xml:space="preserve">solicite que </w:t>
      </w:r>
      <w:r>
        <w:rPr>
          <w:szCs w:val="24"/>
          <w:lang w:eastAsia="es-ES"/>
        </w:rPr>
        <w:t xml:space="preserve">la copia </w:t>
      </w:r>
      <w:r w:rsidRPr="00BB006A">
        <w:rPr>
          <w:szCs w:val="24"/>
          <w:lang w:eastAsia="es-ES"/>
        </w:rPr>
        <w:t>simple del certificado o documento de representación del fabricante que lo autorice para el manejo de los sistemas</w:t>
      </w:r>
      <w:r w:rsidR="006D4A10">
        <w:rPr>
          <w:szCs w:val="24"/>
          <w:lang w:eastAsia="es-ES"/>
        </w:rPr>
        <w:t xml:space="preserve"> sólo puede ser emitido por el </w:t>
      </w:r>
      <w:r w:rsidRPr="00BB006A">
        <w:rPr>
          <w:szCs w:val="24"/>
          <w:lang w:eastAsia="es-ES"/>
        </w:rPr>
        <w:t>fabricante y de los distribuidores extranjeros</w:t>
      </w:r>
      <w:r>
        <w:rPr>
          <w:szCs w:val="24"/>
          <w:lang w:eastAsia="es-ES"/>
        </w:rPr>
        <w:t>, dado que en el mercado peruano existen distribuidores autorizados de las marcas que pueden confir</w:t>
      </w:r>
      <w:r w:rsidR="006D4A10">
        <w:rPr>
          <w:szCs w:val="24"/>
          <w:lang w:eastAsia="es-ES"/>
        </w:rPr>
        <w:t>mar que los postores al proceso</w:t>
      </w:r>
      <w:r>
        <w:rPr>
          <w:szCs w:val="24"/>
          <w:lang w:eastAsia="es-ES"/>
        </w:rPr>
        <w:t xml:space="preserve"> están autorizados para el manejo de sistemas solicitados en las Bases</w:t>
      </w:r>
      <w:r w:rsidR="00827D59">
        <w:rPr>
          <w:szCs w:val="24"/>
          <w:lang w:eastAsia="es-ES"/>
        </w:rPr>
        <w:t xml:space="preserve"> tales como Bosch, </w:t>
      </w:r>
      <w:proofErr w:type="spellStart"/>
      <w:r w:rsidR="00827D59">
        <w:rPr>
          <w:szCs w:val="24"/>
          <w:lang w:eastAsia="es-ES"/>
        </w:rPr>
        <w:t>Notifler</w:t>
      </w:r>
      <w:proofErr w:type="spellEnd"/>
      <w:r w:rsidR="00827D59">
        <w:rPr>
          <w:szCs w:val="24"/>
          <w:lang w:eastAsia="es-ES"/>
        </w:rPr>
        <w:t xml:space="preserve">, Simplex, </w:t>
      </w:r>
      <w:proofErr w:type="spellStart"/>
      <w:r w:rsidR="00827D59">
        <w:rPr>
          <w:szCs w:val="24"/>
          <w:lang w:eastAsia="es-ES"/>
        </w:rPr>
        <w:t>Secutron</w:t>
      </w:r>
      <w:proofErr w:type="spellEnd"/>
      <w:r w:rsidR="00827D59">
        <w:rPr>
          <w:szCs w:val="24"/>
          <w:lang w:eastAsia="es-ES"/>
        </w:rPr>
        <w:t xml:space="preserve">, </w:t>
      </w:r>
      <w:proofErr w:type="spellStart"/>
      <w:r w:rsidR="00827D59">
        <w:rPr>
          <w:szCs w:val="24"/>
          <w:lang w:eastAsia="es-ES"/>
        </w:rPr>
        <w:t>Mircom</w:t>
      </w:r>
      <w:proofErr w:type="spellEnd"/>
      <w:r>
        <w:rPr>
          <w:szCs w:val="24"/>
          <w:lang w:eastAsia="es-ES"/>
        </w:rPr>
        <w:t>; por lo cual a efectos de contar con mayor concurrencia, requiere que se acepte el certificado o documento de distribuidores nacionales.</w:t>
      </w:r>
    </w:p>
    <w:p w:rsidR="00787846" w:rsidRDefault="00787846" w:rsidP="00787846">
      <w:pPr>
        <w:pStyle w:val="WW-Sangra3detindependiente"/>
        <w:widowControl/>
        <w:tabs>
          <w:tab w:val="left" w:pos="4536"/>
        </w:tabs>
        <w:suppressAutoHyphens w:val="0"/>
        <w:ind w:left="2"/>
        <w:rPr>
          <w:szCs w:val="24"/>
          <w:lang w:eastAsia="es-ES"/>
        </w:rPr>
      </w:pPr>
    </w:p>
    <w:p w:rsidR="00EE4635" w:rsidRPr="00BB006A" w:rsidRDefault="00EE4635" w:rsidP="00EE4635">
      <w:pPr>
        <w:jc w:val="both"/>
        <w:rPr>
          <w:b/>
          <w:sz w:val="24"/>
          <w:szCs w:val="24"/>
          <w:lang w:val="es-ES"/>
        </w:rPr>
      </w:pPr>
      <w:r w:rsidRPr="00BB006A">
        <w:rPr>
          <w:b/>
          <w:sz w:val="24"/>
          <w:szCs w:val="24"/>
          <w:lang w:val="es-ES"/>
        </w:rPr>
        <w:t>Pronunciamiento</w:t>
      </w:r>
    </w:p>
    <w:p w:rsidR="00EE4635" w:rsidRPr="00BB006A" w:rsidRDefault="00EE4635" w:rsidP="00EE4635">
      <w:pPr>
        <w:jc w:val="both"/>
        <w:rPr>
          <w:sz w:val="24"/>
          <w:szCs w:val="24"/>
          <w:lang w:val="es-ES"/>
        </w:rPr>
      </w:pPr>
    </w:p>
    <w:p w:rsidR="00EE4635" w:rsidRPr="00BB006A" w:rsidRDefault="00EE4635" w:rsidP="00EE4635">
      <w:pPr>
        <w:widowControl w:val="0"/>
        <w:jc w:val="both"/>
        <w:rPr>
          <w:rFonts w:eastAsia="MS Mincho"/>
          <w:sz w:val="24"/>
          <w:szCs w:val="24"/>
          <w:lang w:val="es-ES_tradnl" w:eastAsia="es-PE"/>
        </w:rPr>
      </w:pPr>
      <w:r w:rsidRPr="00BB006A">
        <w:rPr>
          <w:rFonts w:eastAsia="MS Mincho"/>
          <w:sz w:val="24"/>
          <w:szCs w:val="24"/>
          <w:lang w:val="es-ES_tradnl" w:eastAsia="es-PE"/>
        </w:rPr>
        <w:t xml:space="preserve">De la revisión del Capítulo </w:t>
      </w:r>
      <w:r w:rsidR="00787846">
        <w:rPr>
          <w:rFonts w:eastAsia="MS Mincho"/>
          <w:sz w:val="24"/>
          <w:szCs w:val="24"/>
          <w:lang w:val="es-ES_tradnl" w:eastAsia="es-PE"/>
        </w:rPr>
        <w:t>I</w:t>
      </w:r>
      <w:r w:rsidRPr="00BB006A">
        <w:rPr>
          <w:rFonts w:eastAsia="MS Mincho"/>
          <w:sz w:val="24"/>
          <w:szCs w:val="24"/>
          <w:lang w:val="es-ES_tradnl" w:eastAsia="es-PE"/>
        </w:rPr>
        <w:t xml:space="preserve"> de la sección específica de las Bases, </w:t>
      </w:r>
      <w:r w:rsidR="006D4A10">
        <w:rPr>
          <w:rFonts w:eastAsia="MS Mincho"/>
          <w:sz w:val="24"/>
          <w:szCs w:val="24"/>
          <w:lang w:val="es-ES_tradnl" w:eastAsia="es-PE"/>
        </w:rPr>
        <w:t xml:space="preserve">se advierte que </w:t>
      </w:r>
      <w:r w:rsidRPr="00BB006A">
        <w:rPr>
          <w:rFonts w:eastAsia="MS Mincho"/>
          <w:sz w:val="24"/>
          <w:szCs w:val="24"/>
          <w:lang w:val="es-ES_tradnl" w:eastAsia="es-PE"/>
        </w:rPr>
        <w:t xml:space="preserve">en el </w:t>
      </w:r>
      <w:r w:rsidR="00787846">
        <w:rPr>
          <w:rFonts w:eastAsia="MS Mincho"/>
          <w:sz w:val="24"/>
          <w:szCs w:val="24"/>
          <w:lang w:val="es-ES_tradnl" w:eastAsia="es-PE"/>
        </w:rPr>
        <w:t>literal i)</w:t>
      </w:r>
      <w:r w:rsidR="006D4A10">
        <w:rPr>
          <w:rFonts w:eastAsia="MS Mincho"/>
          <w:sz w:val="24"/>
          <w:szCs w:val="24"/>
          <w:lang w:val="es-ES_tradnl" w:eastAsia="es-PE"/>
        </w:rPr>
        <w:t xml:space="preserve"> del Capítulo I </w:t>
      </w:r>
      <w:r w:rsidRPr="00BB006A">
        <w:rPr>
          <w:rFonts w:eastAsia="MS Mincho"/>
          <w:sz w:val="24"/>
          <w:szCs w:val="24"/>
          <w:lang w:val="es-ES_tradnl" w:eastAsia="es-PE"/>
        </w:rPr>
        <w:t>, se ha considerado lo siguiente:</w:t>
      </w:r>
    </w:p>
    <w:p w:rsidR="00EE4635" w:rsidRPr="00BB006A" w:rsidRDefault="00EE4635" w:rsidP="00EE4635">
      <w:pPr>
        <w:widowControl w:val="0"/>
        <w:jc w:val="both"/>
        <w:rPr>
          <w:rFonts w:eastAsia="MS Mincho"/>
          <w:sz w:val="24"/>
          <w:szCs w:val="24"/>
          <w:lang w:val="es-ES_tradnl" w:eastAsia="es-PE"/>
        </w:rPr>
      </w:pPr>
    </w:p>
    <w:p w:rsidR="00787846" w:rsidRPr="00787846" w:rsidRDefault="00787846" w:rsidP="00787846">
      <w:pPr>
        <w:pStyle w:val="WW-Sangra3detindependiente"/>
        <w:widowControl/>
        <w:tabs>
          <w:tab w:val="left" w:pos="4536"/>
        </w:tabs>
        <w:suppressAutoHyphens w:val="0"/>
        <w:ind w:left="142"/>
        <w:rPr>
          <w:b/>
          <w:i/>
          <w:szCs w:val="24"/>
          <w:lang w:val="es-ES"/>
        </w:rPr>
      </w:pPr>
      <w:r w:rsidRPr="00787846">
        <w:rPr>
          <w:i/>
          <w:szCs w:val="24"/>
          <w:lang w:eastAsia="es-ES"/>
        </w:rPr>
        <w:t xml:space="preserve">"La documentación de presentación obligatoria se solicita para </w:t>
      </w:r>
      <w:proofErr w:type="spellStart"/>
      <w:r w:rsidRPr="00787846">
        <w:rPr>
          <w:i/>
          <w:szCs w:val="24"/>
          <w:lang w:eastAsia="es-ES"/>
        </w:rPr>
        <w:t>el</w:t>
      </w:r>
      <w:proofErr w:type="spellEnd"/>
      <w:r w:rsidRPr="00787846">
        <w:rPr>
          <w:i/>
          <w:szCs w:val="24"/>
          <w:lang w:eastAsia="es-ES"/>
        </w:rPr>
        <w:t xml:space="preserve"> ítem 1 que deberá presentar copia simple del certificado o documento de representación del fabricante que lo autorice para el manejo de los sistemas. Se aceptarán del fabricante y de los distribuidores extranjeros"</w:t>
      </w:r>
    </w:p>
    <w:p w:rsidR="00787846" w:rsidRPr="00BB006A" w:rsidRDefault="00787846" w:rsidP="00787846">
      <w:pPr>
        <w:widowControl w:val="0"/>
        <w:ind w:left="540"/>
        <w:jc w:val="both"/>
        <w:rPr>
          <w:sz w:val="24"/>
          <w:szCs w:val="24"/>
          <w:lang w:eastAsia="es-ES"/>
        </w:rPr>
      </w:pPr>
    </w:p>
    <w:p w:rsidR="00EE4635" w:rsidRPr="00BB006A" w:rsidRDefault="00787846" w:rsidP="00EE4635">
      <w:pPr>
        <w:pStyle w:val="Prrafodelista"/>
        <w:ind w:left="0"/>
        <w:jc w:val="both"/>
        <w:rPr>
          <w:sz w:val="24"/>
          <w:szCs w:val="24"/>
        </w:rPr>
      </w:pPr>
      <w:r>
        <w:rPr>
          <w:sz w:val="24"/>
          <w:szCs w:val="24"/>
        </w:rPr>
        <w:t>D</w:t>
      </w:r>
      <w:r w:rsidR="00EE4635" w:rsidRPr="00BB006A">
        <w:rPr>
          <w:sz w:val="24"/>
          <w:szCs w:val="24"/>
        </w:rPr>
        <w:t xml:space="preserve">e la revisión del pliego absolutorio se advierte que, el Comité Especial, considerando los argumentos expuestos por el recurrente, señaló </w:t>
      </w:r>
      <w:r>
        <w:rPr>
          <w:sz w:val="24"/>
          <w:szCs w:val="24"/>
        </w:rPr>
        <w:t xml:space="preserve">que </w:t>
      </w:r>
      <w:r w:rsidR="006D4A10">
        <w:rPr>
          <w:sz w:val="24"/>
          <w:szCs w:val="24"/>
        </w:rPr>
        <w:t xml:space="preserve">no accedía a lo solicitado por el participante y señaló que debería remitirse a </w:t>
      </w:r>
      <w:r>
        <w:rPr>
          <w:sz w:val="24"/>
          <w:szCs w:val="24"/>
        </w:rPr>
        <w:t>la absolución 1 del participante GEWALT PERU S.A.C. el cual refiere</w:t>
      </w:r>
      <w:r w:rsidR="00EE4635" w:rsidRPr="00BB006A">
        <w:rPr>
          <w:rFonts w:eastAsia="MS Mincho"/>
          <w:sz w:val="24"/>
          <w:szCs w:val="24"/>
          <w:lang w:eastAsia="es-PE"/>
        </w:rPr>
        <w:t>:</w:t>
      </w:r>
    </w:p>
    <w:p w:rsidR="00EE4635" w:rsidRPr="00787846" w:rsidRDefault="00EE4635" w:rsidP="00EE4635">
      <w:pPr>
        <w:widowControl w:val="0"/>
        <w:jc w:val="both"/>
        <w:rPr>
          <w:i/>
          <w:sz w:val="24"/>
          <w:szCs w:val="24"/>
          <w:lang w:val="es-ES"/>
        </w:rPr>
      </w:pPr>
    </w:p>
    <w:p w:rsidR="00787846" w:rsidRPr="00787846" w:rsidRDefault="00787846" w:rsidP="00787846">
      <w:pPr>
        <w:ind w:left="142"/>
        <w:jc w:val="both"/>
        <w:rPr>
          <w:i/>
          <w:sz w:val="24"/>
          <w:szCs w:val="24"/>
        </w:rPr>
      </w:pPr>
      <w:r>
        <w:rPr>
          <w:i/>
          <w:sz w:val="24"/>
          <w:szCs w:val="24"/>
        </w:rPr>
        <w:t>"</w:t>
      </w:r>
      <w:r w:rsidRPr="00787846">
        <w:rPr>
          <w:i/>
          <w:sz w:val="24"/>
          <w:szCs w:val="24"/>
        </w:rPr>
        <w:t xml:space="preserve">En relación al requisito solicitado en el literal d) del numeral 9.1 de los Términos de Referencia, se ratifica lo solicitado, debido a que la Entidad  debe velar por el buen funcionamiento de los sistemas, motivo por el cual se solicita la representación del fabricante o de los distribuidores extranjeros que lo autorice para el manejo de los sistemas, ya que obteniendo esta certificación, el contratista puede solicitar asesoramiento, los </w:t>
      </w:r>
      <w:proofErr w:type="spellStart"/>
      <w:r w:rsidRPr="00787846">
        <w:rPr>
          <w:i/>
          <w:sz w:val="24"/>
          <w:szCs w:val="24"/>
        </w:rPr>
        <w:t>password</w:t>
      </w:r>
      <w:proofErr w:type="spellEnd"/>
      <w:r w:rsidRPr="00787846">
        <w:rPr>
          <w:i/>
          <w:sz w:val="24"/>
          <w:szCs w:val="24"/>
        </w:rPr>
        <w:t xml:space="preserve"> y repuestos; con lo cual se garantiza a la Entidad mantener al 100% operativos los sistemas del </w:t>
      </w:r>
      <w:proofErr w:type="spellStart"/>
      <w:r w:rsidRPr="00787846">
        <w:rPr>
          <w:i/>
          <w:sz w:val="24"/>
          <w:szCs w:val="24"/>
        </w:rPr>
        <w:t>Item</w:t>
      </w:r>
      <w:proofErr w:type="spellEnd"/>
      <w:r w:rsidRPr="00787846">
        <w:rPr>
          <w:i/>
          <w:sz w:val="24"/>
          <w:szCs w:val="24"/>
        </w:rPr>
        <w:t xml:space="preserve"> 1 de la presente contratación por cuanto a que son de tipo </w:t>
      </w:r>
      <w:r w:rsidRPr="00787846">
        <w:rPr>
          <w:b/>
          <w:i/>
          <w:sz w:val="24"/>
          <w:szCs w:val="24"/>
        </w:rPr>
        <w:t>Inteligentes/analógicos</w:t>
      </w:r>
      <w:r w:rsidRPr="00787846">
        <w:rPr>
          <w:i/>
          <w:sz w:val="24"/>
          <w:szCs w:val="24"/>
        </w:rPr>
        <w:t>.</w:t>
      </w:r>
    </w:p>
    <w:p w:rsidR="00787846" w:rsidRPr="00787846" w:rsidRDefault="00787846" w:rsidP="00787846">
      <w:pPr>
        <w:ind w:left="142"/>
        <w:jc w:val="both"/>
        <w:rPr>
          <w:i/>
          <w:sz w:val="24"/>
          <w:szCs w:val="24"/>
        </w:rPr>
      </w:pPr>
    </w:p>
    <w:p w:rsidR="00787846" w:rsidRPr="00787846" w:rsidRDefault="00787846" w:rsidP="00787846">
      <w:pPr>
        <w:ind w:left="142"/>
        <w:jc w:val="both"/>
        <w:rPr>
          <w:i/>
          <w:sz w:val="24"/>
          <w:szCs w:val="24"/>
        </w:rPr>
      </w:pPr>
      <w:r w:rsidRPr="00787846">
        <w:rPr>
          <w:i/>
          <w:sz w:val="24"/>
          <w:szCs w:val="24"/>
        </w:rPr>
        <w:t xml:space="preserve">Cabe señalar, que las empresas al mantener la representación del fabricante o de los distribuidores extranjeros pueden obtener capacitación y certificación de su personal lo cual da garantía para el buen manejo y mantenimiento de los sistemas de SUNAT. </w:t>
      </w:r>
    </w:p>
    <w:p w:rsidR="00787846" w:rsidRPr="00787846" w:rsidRDefault="00787846" w:rsidP="00787846">
      <w:pPr>
        <w:ind w:left="142"/>
        <w:jc w:val="both"/>
        <w:rPr>
          <w:i/>
          <w:sz w:val="24"/>
          <w:szCs w:val="24"/>
        </w:rPr>
      </w:pPr>
    </w:p>
    <w:p w:rsidR="00787846" w:rsidRPr="00787846" w:rsidRDefault="00787846" w:rsidP="00787846">
      <w:pPr>
        <w:ind w:left="142"/>
        <w:jc w:val="both"/>
        <w:rPr>
          <w:i/>
          <w:sz w:val="24"/>
          <w:szCs w:val="24"/>
          <w:u w:val="single"/>
        </w:rPr>
      </w:pPr>
      <w:r w:rsidRPr="00787846">
        <w:rPr>
          <w:i/>
          <w:sz w:val="24"/>
          <w:szCs w:val="24"/>
        </w:rPr>
        <w:lastRenderedPageBreak/>
        <w:t xml:space="preserve">Si bien el único obligado a cumplir con sus obligaciones en los términos y condiciones ofertados en el proceso de selección es el contratista, independientemente de su calidad de representante del fabricante o de los distribuidores extranjeros; con el requisito solicitado, </w:t>
      </w:r>
      <w:r w:rsidRPr="00787846">
        <w:rPr>
          <w:i/>
          <w:sz w:val="24"/>
          <w:szCs w:val="24"/>
          <w:u w:val="single"/>
        </w:rPr>
        <w:t xml:space="preserve">su exigencia busca garantizar el cumplimiento del objeto de la contratación, por cuanto a que el proveedor que cumpla con el requisito solicitado, podrá obtener asesoramiento, capacitación, repuestos, los </w:t>
      </w:r>
      <w:proofErr w:type="spellStart"/>
      <w:r w:rsidRPr="00787846">
        <w:rPr>
          <w:i/>
          <w:sz w:val="24"/>
          <w:szCs w:val="24"/>
          <w:u w:val="single"/>
        </w:rPr>
        <w:t>password</w:t>
      </w:r>
      <w:proofErr w:type="spellEnd"/>
      <w:r w:rsidRPr="00787846">
        <w:rPr>
          <w:i/>
          <w:sz w:val="24"/>
          <w:szCs w:val="24"/>
          <w:u w:val="single"/>
        </w:rPr>
        <w:t xml:space="preserve"> y la solución cuando se presente el problema de las claves (por si no se cuenta) o ante el bloqueo del sistema que evitaría cambiar el panel, lo cual da garantía para el buen manejo y mantenimiento de los sistemas de SUNAT, mas aun considerando que el </w:t>
      </w:r>
      <w:proofErr w:type="spellStart"/>
      <w:r w:rsidRPr="00787846">
        <w:rPr>
          <w:i/>
          <w:sz w:val="24"/>
          <w:szCs w:val="24"/>
          <w:u w:val="single"/>
        </w:rPr>
        <w:t>Item</w:t>
      </w:r>
      <w:proofErr w:type="spellEnd"/>
      <w:r w:rsidRPr="00787846">
        <w:rPr>
          <w:i/>
          <w:sz w:val="24"/>
          <w:szCs w:val="24"/>
          <w:u w:val="single"/>
        </w:rPr>
        <w:t xml:space="preserve"> 1 de la presente contratación corresponde a equipos del tipo Inteligentes/analógicos.</w:t>
      </w:r>
    </w:p>
    <w:p w:rsidR="00787846" w:rsidRPr="00787846" w:rsidRDefault="00787846" w:rsidP="00787846">
      <w:pPr>
        <w:ind w:left="142"/>
        <w:jc w:val="both"/>
        <w:rPr>
          <w:i/>
          <w:sz w:val="24"/>
          <w:szCs w:val="24"/>
        </w:rPr>
      </w:pPr>
      <w:r w:rsidRPr="00787846">
        <w:rPr>
          <w:i/>
          <w:sz w:val="24"/>
          <w:szCs w:val="24"/>
        </w:rPr>
        <w:t xml:space="preserve"> </w:t>
      </w:r>
    </w:p>
    <w:p w:rsidR="00787846" w:rsidRPr="00787846" w:rsidRDefault="00787846" w:rsidP="00787846">
      <w:pPr>
        <w:ind w:left="142"/>
        <w:jc w:val="both"/>
        <w:rPr>
          <w:i/>
          <w:sz w:val="24"/>
          <w:szCs w:val="24"/>
        </w:rPr>
      </w:pPr>
      <w:r w:rsidRPr="00787846">
        <w:rPr>
          <w:i/>
          <w:sz w:val="24"/>
          <w:szCs w:val="24"/>
        </w:rPr>
        <w:t>El requisito exigido cumple con la función de asegurar a la Entidad que el postor ofertará lo mínimo necesario para cubrir adecuadamente la operatividad y funcionalidad de lo requerido.</w:t>
      </w:r>
    </w:p>
    <w:p w:rsidR="00787846" w:rsidRPr="00787846" w:rsidRDefault="00787846" w:rsidP="00787846">
      <w:pPr>
        <w:ind w:left="142"/>
        <w:jc w:val="both"/>
        <w:rPr>
          <w:i/>
          <w:sz w:val="24"/>
          <w:szCs w:val="24"/>
        </w:rPr>
      </w:pPr>
    </w:p>
    <w:p w:rsidR="00787846" w:rsidRPr="00787846" w:rsidRDefault="00787846" w:rsidP="00787846">
      <w:pPr>
        <w:ind w:left="142"/>
        <w:jc w:val="both"/>
        <w:rPr>
          <w:i/>
          <w:sz w:val="24"/>
          <w:szCs w:val="24"/>
        </w:rPr>
      </w:pPr>
      <w:r w:rsidRPr="00787846">
        <w:rPr>
          <w:i/>
          <w:sz w:val="24"/>
          <w:szCs w:val="24"/>
        </w:rPr>
        <w:t xml:space="preserve">Por lo tanto, el proveedor que no reúna el requisito señalado en el literal d) del numeral 9.1 de los Términos de Referencia, no garantiza que el contratista pueda solicitar asesoramiento, capacitación, repuestos, los </w:t>
      </w:r>
      <w:proofErr w:type="spellStart"/>
      <w:r w:rsidRPr="00787846">
        <w:rPr>
          <w:i/>
          <w:sz w:val="24"/>
          <w:szCs w:val="24"/>
        </w:rPr>
        <w:t>password</w:t>
      </w:r>
      <w:proofErr w:type="spellEnd"/>
      <w:r w:rsidRPr="00787846">
        <w:rPr>
          <w:i/>
          <w:sz w:val="24"/>
          <w:szCs w:val="24"/>
        </w:rPr>
        <w:t>, solución ante el problema de las claves (por si no se cuenta) o la solución ante el bloqueo del sistema que evitaría cambiar el panel lo que ocasionaría un perjuicio a la Entidad.</w:t>
      </w:r>
    </w:p>
    <w:p w:rsidR="00787846" w:rsidRPr="00787846" w:rsidRDefault="00787846" w:rsidP="00787846">
      <w:pPr>
        <w:ind w:left="142"/>
        <w:jc w:val="both"/>
        <w:rPr>
          <w:i/>
          <w:sz w:val="24"/>
          <w:szCs w:val="24"/>
        </w:rPr>
      </w:pPr>
    </w:p>
    <w:p w:rsidR="00787846" w:rsidRPr="00787846" w:rsidRDefault="00787846" w:rsidP="00787846">
      <w:pPr>
        <w:ind w:left="142"/>
        <w:jc w:val="both"/>
        <w:rPr>
          <w:i/>
          <w:sz w:val="24"/>
          <w:szCs w:val="24"/>
        </w:rPr>
      </w:pPr>
      <w:r w:rsidRPr="00787846">
        <w:rPr>
          <w:i/>
          <w:sz w:val="24"/>
          <w:szCs w:val="24"/>
        </w:rPr>
        <w:t xml:space="preserve">Sumado a lo antes expuesto, es necesario señalar, que de la revisión del Estudio de Posibilidades que Ofrece el Mercado realizado por el Órgano Encargado de las Contrataciones, se advierte que </w:t>
      </w:r>
      <w:r w:rsidRPr="00787846">
        <w:rPr>
          <w:i/>
          <w:sz w:val="24"/>
          <w:szCs w:val="24"/>
          <w:u w:val="single"/>
        </w:rPr>
        <w:t>sí existe pluralidad de proveedores que cumplen con el requerimiento</w:t>
      </w:r>
      <w:r w:rsidRPr="00787846">
        <w:rPr>
          <w:i/>
          <w:sz w:val="24"/>
          <w:szCs w:val="24"/>
        </w:rPr>
        <w:t xml:space="preserve">, por lo tanto, no se contraviene los principios señalados en el artículo 4° de la Ley de Contrataciones del Estado, entre ellos, el principio de Libre Concurrencia y Competencia y el Principio de trato justo e igualitario. </w:t>
      </w:r>
    </w:p>
    <w:p w:rsidR="00787846" w:rsidRPr="00787846" w:rsidRDefault="00787846" w:rsidP="00787846">
      <w:pPr>
        <w:ind w:left="142"/>
        <w:jc w:val="both"/>
        <w:rPr>
          <w:i/>
          <w:sz w:val="24"/>
          <w:szCs w:val="24"/>
        </w:rPr>
      </w:pPr>
    </w:p>
    <w:p w:rsidR="00787846" w:rsidRPr="00787846" w:rsidRDefault="00787846" w:rsidP="00787846">
      <w:pPr>
        <w:ind w:left="142"/>
        <w:jc w:val="both"/>
        <w:rPr>
          <w:b/>
          <w:i/>
          <w:sz w:val="24"/>
          <w:szCs w:val="24"/>
        </w:rPr>
      </w:pPr>
      <w:r w:rsidRPr="00787846">
        <w:rPr>
          <w:b/>
          <w:i/>
          <w:sz w:val="24"/>
          <w:szCs w:val="24"/>
        </w:rPr>
        <w:t>NO SE ACOGE LA OBSERVACIÓN</w:t>
      </w:r>
      <w:r>
        <w:rPr>
          <w:b/>
          <w:i/>
          <w:sz w:val="24"/>
          <w:szCs w:val="24"/>
        </w:rPr>
        <w:t>"</w:t>
      </w:r>
      <w:r w:rsidRPr="00787846">
        <w:rPr>
          <w:b/>
          <w:i/>
          <w:sz w:val="24"/>
          <w:szCs w:val="24"/>
        </w:rPr>
        <w:t>.</w:t>
      </w:r>
    </w:p>
    <w:p w:rsidR="00EE4635" w:rsidRPr="00787846" w:rsidRDefault="00EE4635" w:rsidP="00EE4635">
      <w:pPr>
        <w:widowControl w:val="0"/>
        <w:jc w:val="both"/>
        <w:rPr>
          <w:rFonts w:eastAsia="MS Mincho"/>
          <w:i/>
          <w:sz w:val="24"/>
          <w:szCs w:val="24"/>
          <w:lang w:eastAsia="es-PE"/>
        </w:rPr>
      </w:pPr>
    </w:p>
    <w:p w:rsidR="004A1CAF" w:rsidRDefault="00560F67" w:rsidP="00DE4A04">
      <w:pPr>
        <w:widowControl w:val="0"/>
        <w:jc w:val="both"/>
        <w:rPr>
          <w:bCs/>
          <w:snapToGrid w:val="0"/>
          <w:sz w:val="24"/>
          <w:szCs w:val="24"/>
          <w:lang w:eastAsia="es-ES"/>
        </w:rPr>
      </w:pPr>
      <w:r>
        <w:rPr>
          <w:bCs/>
          <w:snapToGrid w:val="0"/>
          <w:sz w:val="24"/>
          <w:szCs w:val="24"/>
          <w:lang w:eastAsia="es-ES"/>
        </w:rPr>
        <w:t xml:space="preserve">Asimismo, en el informe técnico, remitido con ocasión de la elevación de observaciones, el Comité Especial manifestó lo siguiente: </w:t>
      </w:r>
      <w:r w:rsidR="004A1CAF" w:rsidRPr="00110C72">
        <w:rPr>
          <w:bCs/>
          <w:i/>
          <w:snapToGrid w:val="0"/>
          <w:sz w:val="24"/>
          <w:szCs w:val="24"/>
          <w:lang w:eastAsia="es-ES"/>
        </w:rPr>
        <w:t>"en la absolución del primer extremo de la Observación N° 1 de GEWALT PERÚ SAC, se fundament</w:t>
      </w:r>
      <w:r w:rsidR="00DF43D7">
        <w:rPr>
          <w:bCs/>
          <w:i/>
          <w:snapToGrid w:val="0"/>
          <w:sz w:val="24"/>
          <w:szCs w:val="24"/>
          <w:lang w:eastAsia="es-ES"/>
        </w:rPr>
        <w:t>ó  que el proveedor que no reúna</w:t>
      </w:r>
      <w:r w:rsidR="004A1CAF" w:rsidRPr="00110C72">
        <w:rPr>
          <w:bCs/>
          <w:i/>
          <w:snapToGrid w:val="0"/>
          <w:sz w:val="24"/>
          <w:szCs w:val="24"/>
          <w:lang w:eastAsia="es-ES"/>
        </w:rPr>
        <w:t xml:space="preserve"> el requisito señalado en el literal d) del numeral 9.1 de los Término de Referencia (Literal i) del numeral 2.5.1 del Capítulo II de la sección específica de las bases), no garantiza que el contratista pueda solicitar asesoramiento, capacitación, repuestos, los </w:t>
      </w:r>
      <w:proofErr w:type="spellStart"/>
      <w:r w:rsidR="004A1CAF" w:rsidRPr="00110C72">
        <w:rPr>
          <w:bCs/>
          <w:i/>
          <w:snapToGrid w:val="0"/>
          <w:sz w:val="24"/>
          <w:szCs w:val="24"/>
          <w:lang w:eastAsia="es-ES"/>
        </w:rPr>
        <w:t>password</w:t>
      </w:r>
      <w:proofErr w:type="spellEnd"/>
      <w:r w:rsidR="004A1CAF" w:rsidRPr="00110C72">
        <w:rPr>
          <w:bCs/>
          <w:i/>
          <w:snapToGrid w:val="0"/>
          <w:sz w:val="24"/>
          <w:szCs w:val="24"/>
          <w:lang w:eastAsia="es-ES"/>
        </w:rPr>
        <w:t xml:space="preserve">, solución ante el problema de las claves (por si no se cuenta) o la solución ante el bloqueo del sistemas que </w:t>
      </w:r>
      <w:r w:rsidR="00110C72" w:rsidRPr="00110C72">
        <w:rPr>
          <w:bCs/>
          <w:i/>
          <w:snapToGrid w:val="0"/>
          <w:sz w:val="24"/>
          <w:szCs w:val="24"/>
          <w:lang w:eastAsia="es-ES"/>
        </w:rPr>
        <w:t>evitaría</w:t>
      </w:r>
      <w:r w:rsidR="004A1CAF" w:rsidRPr="00110C72">
        <w:rPr>
          <w:bCs/>
          <w:i/>
          <w:snapToGrid w:val="0"/>
          <w:sz w:val="24"/>
          <w:szCs w:val="24"/>
          <w:lang w:eastAsia="es-ES"/>
        </w:rPr>
        <w:t xml:space="preserve"> cambiar el panel lo que ocasionaría un perjuicio a la Entidad</w:t>
      </w:r>
      <w:r w:rsidR="00110C72">
        <w:rPr>
          <w:bCs/>
          <w:i/>
          <w:snapToGrid w:val="0"/>
          <w:sz w:val="24"/>
          <w:szCs w:val="24"/>
          <w:lang w:eastAsia="es-ES"/>
        </w:rPr>
        <w:t>"</w:t>
      </w:r>
      <w:r w:rsidR="004A1CAF" w:rsidRPr="00110C72">
        <w:rPr>
          <w:bCs/>
          <w:i/>
          <w:snapToGrid w:val="0"/>
          <w:sz w:val="24"/>
          <w:szCs w:val="24"/>
          <w:lang w:eastAsia="es-ES"/>
        </w:rPr>
        <w:t xml:space="preserve">. </w:t>
      </w:r>
    </w:p>
    <w:p w:rsidR="004A1CAF" w:rsidRDefault="004A1CAF" w:rsidP="00DE4A04">
      <w:pPr>
        <w:widowControl w:val="0"/>
        <w:jc w:val="both"/>
        <w:rPr>
          <w:bCs/>
          <w:snapToGrid w:val="0"/>
          <w:sz w:val="24"/>
          <w:szCs w:val="24"/>
          <w:lang w:eastAsia="es-ES"/>
        </w:rPr>
      </w:pPr>
    </w:p>
    <w:p w:rsidR="00560F67" w:rsidRPr="00DF43D7" w:rsidRDefault="00560F67" w:rsidP="00DE4A04">
      <w:pPr>
        <w:widowControl w:val="0"/>
        <w:jc w:val="both"/>
        <w:rPr>
          <w:bCs/>
          <w:i/>
          <w:snapToGrid w:val="0"/>
          <w:sz w:val="24"/>
          <w:szCs w:val="24"/>
          <w:u w:val="single"/>
          <w:lang w:eastAsia="es-ES"/>
        </w:rPr>
      </w:pPr>
      <w:r w:rsidRPr="00560F67">
        <w:rPr>
          <w:bCs/>
          <w:i/>
          <w:snapToGrid w:val="0"/>
          <w:sz w:val="24"/>
          <w:szCs w:val="24"/>
          <w:lang w:eastAsia="es-ES"/>
        </w:rPr>
        <w:t xml:space="preserve">"...es necesario señalar que en el mercado nacional existen proveedores que cuentan </w:t>
      </w:r>
      <w:r w:rsidRPr="00DF43D7">
        <w:rPr>
          <w:bCs/>
          <w:i/>
          <w:snapToGrid w:val="0"/>
          <w:sz w:val="24"/>
          <w:szCs w:val="24"/>
          <w:u w:val="single"/>
          <w:lang w:eastAsia="es-ES"/>
        </w:rPr>
        <w:t>con certificado o documentos de distribuidores nacionales (Peruanos)</w:t>
      </w:r>
      <w:r w:rsidRPr="00560F67">
        <w:rPr>
          <w:bCs/>
          <w:i/>
          <w:snapToGrid w:val="0"/>
          <w:sz w:val="24"/>
          <w:szCs w:val="24"/>
          <w:lang w:eastAsia="es-ES"/>
        </w:rPr>
        <w:t xml:space="preserve">; sin embargo, existe en el mercado nacional una mala práctica de algunas empresas que obtienen </w:t>
      </w:r>
      <w:r w:rsidRPr="00DF43D7">
        <w:rPr>
          <w:bCs/>
          <w:i/>
          <w:snapToGrid w:val="0"/>
          <w:sz w:val="24"/>
          <w:szCs w:val="24"/>
          <w:u w:val="single"/>
          <w:lang w:eastAsia="es-ES"/>
        </w:rPr>
        <w:t>certificados o documentos de distribuidores nacionales (Peruanos)</w:t>
      </w:r>
      <w:r w:rsidRPr="00560F67">
        <w:rPr>
          <w:bCs/>
          <w:i/>
          <w:snapToGrid w:val="0"/>
          <w:sz w:val="24"/>
          <w:szCs w:val="24"/>
          <w:lang w:eastAsia="es-ES"/>
        </w:rPr>
        <w:t xml:space="preserve"> de un día para el otro, inclusive transgrediendo el Principio de Moralidad establecido en el artículo 4 de la Ley de Contrataciones del Estado, </w:t>
      </w:r>
      <w:r w:rsidRPr="00DF43D7">
        <w:rPr>
          <w:bCs/>
          <w:i/>
          <w:snapToGrid w:val="0"/>
          <w:sz w:val="24"/>
          <w:szCs w:val="24"/>
          <w:u w:val="single"/>
          <w:lang w:eastAsia="es-ES"/>
        </w:rPr>
        <w:t xml:space="preserve">por lo que no da certeza a la Entidad, si con dicha documentación el proveedor el proveedor garantizaría el cumplimiento objeto del contrato". </w:t>
      </w:r>
    </w:p>
    <w:p w:rsidR="00560F67" w:rsidRDefault="00560F67" w:rsidP="00DE4A04">
      <w:pPr>
        <w:widowControl w:val="0"/>
        <w:jc w:val="both"/>
        <w:rPr>
          <w:bCs/>
          <w:i/>
          <w:snapToGrid w:val="0"/>
          <w:sz w:val="24"/>
          <w:szCs w:val="24"/>
          <w:lang w:eastAsia="es-ES"/>
        </w:rPr>
      </w:pPr>
    </w:p>
    <w:p w:rsidR="00560F67" w:rsidRPr="004A1CAF" w:rsidRDefault="00560F67" w:rsidP="00DE4A04">
      <w:pPr>
        <w:widowControl w:val="0"/>
        <w:jc w:val="both"/>
        <w:rPr>
          <w:bCs/>
          <w:snapToGrid w:val="0"/>
          <w:sz w:val="24"/>
          <w:szCs w:val="24"/>
          <w:lang w:eastAsia="es-ES"/>
        </w:rPr>
      </w:pPr>
      <w:r w:rsidRPr="004A1CAF">
        <w:rPr>
          <w:bCs/>
          <w:snapToGrid w:val="0"/>
          <w:sz w:val="24"/>
          <w:szCs w:val="24"/>
          <w:lang w:eastAsia="es-ES"/>
        </w:rPr>
        <w:t xml:space="preserve">Además, dicho colegiado aclaró que en el literal i) del numeral 2.5.1 de la documentación de presentación </w:t>
      </w:r>
      <w:r w:rsidR="004A1CAF">
        <w:rPr>
          <w:bCs/>
          <w:snapToGrid w:val="0"/>
          <w:sz w:val="24"/>
          <w:szCs w:val="24"/>
          <w:lang w:eastAsia="es-ES"/>
        </w:rPr>
        <w:t xml:space="preserve">se aceptará que el documento sea emitido por el fabricante o distribuidores extranjeros. </w:t>
      </w:r>
    </w:p>
    <w:p w:rsidR="00560F67" w:rsidRDefault="00560F67" w:rsidP="00DE4A04">
      <w:pPr>
        <w:widowControl w:val="0"/>
        <w:jc w:val="both"/>
        <w:rPr>
          <w:bCs/>
          <w:snapToGrid w:val="0"/>
          <w:sz w:val="24"/>
          <w:szCs w:val="24"/>
          <w:lang w:eastAsia="es-ES"/>
        </w:rPr>
      </w:pPr>
    </w:p>
    <w:p w:rsidR="00DE4A04" w:rsidRPr="005219EC" w:rsidRDefault="00DE4A04" w:rsidP="00DE4A04">
      <w:pPr>
        <w:widowControl w:val="0"/>
        <w:jc w:val="both"/>
        <w:rPr>
          <w:b/>
          <w:bCs/>
          <w:snapToGrid w:val="0"/>
          <w:sz w:val="24"/>
          <w:szCs w:val="24"/>
          <w:u w:val="single"/>
          <w:lang w:eastAsia="es-ES"/>
        </w:rPr>
      </w:pPr>
      <w:r w:rsidRPr="00EC188E">
        <w:rPr>
          <w:bCs/>
          <w:snapToGrid w:val="0"/>
          <w:sz w:val="24"/>
          <w:szCs w:val="24"/>
          <w:lang w:eastAsia="es-ES"/>
        </w:rPr>
        <w:t xml:space="preserve">De acuerdo con el artículo 13 de la Ley y el artículo 11 del Reglamento, es competencia de la Entidad definir sus requerimientos, cuidando que estos se encuentren orientados a la adecuada satisfacción de sus necesidades y no orienten la contratación hacia determinado postor, por lo que estos deben sujetarse a criterios de </w:t>
      </w:r>
      <w:r w:rsidRPr="005219EC">
        <w:rPr>
          <w:b/>
          <w:bCs/>
          <w:snapToGrid w:val="0"/>
          <w:sz w:val="24"/>
          <w:szCs w:val="24"/>
          <w:u w:val="single"/>
          <w:lang w:eastAsia="es-ES"/>
        </w:rPr>
        <w:t xml:space="preserve">razonabilidad, congruencia </w:t>
      </w:r>
      <w:r w:rsidRPr="005219EC">
        <w:rPr>
          <w:bCs/>
          <w:snapToGrid w:val="0"/>
          <w:sz w:val="24"/>
          <w:szCs w:val="24"/>
          <w:lang w:eastAsia="es-ES"/>
        </w:rPr>
        <w:t>y proporcionalidad</w:t>
      </w:r>
      <w:r w:rsidRPr="004A1CAF">
        <w:rPr>
          <w:b/>
          <w:bCs/>
          <w:snapToGrid w:val="0"/>
          <w:sz w:val="24"/>
          <w:szCs w:val="24"/>
          <w:lang w:eastAsia="es-ES"/>
        </w:rPr>
        <w:t>.</w:t>
      </w:r>
    </w:p>
    <w:p w:rsidR="00DE4A04" w:rsidRPr="00EC188E" w:rsidRDefault="00DE4A04" w:rsidP="00DE4A04">
      <w:pPr>
        <w:widowControl w:val="0"/>
        <w:jc w:val="both"/>
        <w:rPr>
          <w:bCs/>
          <w:snapToGrid w:val="0"/>
          <w:sz w:val="24"/>
          <w:szCs w:val="24"/>
          <w:lang w:eastAsia="es-ES"/>
        </w:rPr>
      </w:pPr>
    </w:p>
    <w:p w:rsidR="004A1CAF" w:rsidRDefault="00DE4A04" w:rsidP="00DE4A04">
      <w:pPr>
        <w:widowControl w:val="0"/>
        <w:jc w:val="both"/>
        <w:rPr>
          <w:bCs/>
          <w:snapToGrid w:val="0"/>
          <w:sz w:val="24"/>
          <w:szCs w:val="24"/>
          <w:lang w:eastAsia="es-ES"/>
        </w:rPr>
      </w:pPr>
      <w:r w:rsidRPr="00EC188E">
        <w:rPr>
          <w:bCs/>
          <w:snapToGrid w:val="0"/>
          <w:sz w:val="24"/>
          <w:szCs w:val="24"/>
          <w:lang w:eastAsia="es-ES"/>
        </w:rPr>
        <w:t>De lo expuesto</w:t>
      </w:r>
      <w:r w:rsidR="004A1CAF">
        <w:rPr>
          <w:bCs/>
          <w:snapToGrid w:val="0"/>
          <w:sz w:val="24"/>
          <w:szCs w:val="24"/>
          <w:lang w:eastAsia="es-ES"/>
        </w:rPr>
        <w:t xml:space="preserve"> se desprende que la exigencia contenida en el referido literal tendría por finalidad principal acreditar que el postor es representante del fabricante o distribuidor extranjero</w:t>
      </w:r>
      <w:r w:rsidR="00110C72">
        <w:rPr>
          <w:bCs/>
          <w:snapToGrid w:val="0"/>
          <w:sz w:val="24"/>
          <w:szCs w:val="24"/>
          <w:lang w:eastAsia="es-ES"/>
        </w:rPr>
        <w:t xml:space="preserve"> para la manipulación </w:t>
      </w:r>
      <w:r w:rsidR="004A1CAF">
        <w:rPr>
          <w:bCs/>
          <w:snapToGrid w:val="0"/>
          <w:sz w:val="24"/>
          <w:szCs w:val="24"/>
          <w:lang w:eastAsia="es-ES"/>
        </w:rPr>
        <w:t xml:space="preserve"> </w:t>
      </w:r>
      <w:r w:rsidR="00DB0D0C">
        <w:rPr>
          <w:bCs/>
          <w:snapToGrid w:val="0"/>
          <w:sz w:val="24"/>
          <w:szCs w:val="24"/>
          <w:lang w:eastAsia="es-ES"/>
        </w:rPr>
        <w:t xml:space="preserve">de los sistemas señalados en las Bases. </w:t>
      </w:r>
    </w:p>
    <w:p w:rsidR="00DB0D0C" w:rsidRDefault="00DB0D0C" w:rsidP="00DE4A04">
      <w:pPr>
        <w:widowControl w:val="0"/>
        <w:jc w:val="both"/>
        <w:rPr>
          <w:bCs/>
          <w:snapToGrid w:val="0"/>
          <w:sz w:val="24"/>
          <w:szCs w:val="24"/>
          <w:lang w:eastAsia="es-ES"/>
        </w:rPr>
      </w:pPr>
    </w:p>
    <w:p w:rsidR="00DB0D0C" w:rsidRDefault="00DB0D0C" w:rsidP="00DB0D0C">
      <w:pPr>
        <w:pStyle w:val="Textoindependiente2"/>
        <w:spacing w:after="0" w:line="240" w:lineRule="auto"/>
        <w:jc w:val="both"/>
        <w:rPr>
          <w:bCs/>
          <w:snapToGrid w:val="0"/>
          <w:lang w:eastAsia="es-ES"/>
        </w:rPr>
      </w:pPr>
      <w:r>
        <w:rPr>
          <w:color w:val="000000"/>
          <w:lang w:val="es-PE" w:eastAsia="es-PE"/>
        </w:rPr>
        <w:t xml:space="preserve">Sobre el particular, </w:t>
      </w:r>
      <w:r w:rsidRPr="005B0253">
        <w:rPr>
          <w:color w:val="000000"/>
          <w:lang w:val="es-PE" w:eastAsia="es-PE"/>
        </w:rPr>
        <w:t xml:space="preserve">corresponde señalar que </w:t>
      </w:r>
      <w:r w:rsidRPr="005B0253">
        <w:rPr>
          <w:rFonts w:eastAsia="MS Mincho"/>
          <w:lang w:eastAsia="es-PE"/>
        </w:rPr>
        <w:t xml:space="preserve">el único obligado a cumplir con las obligaciones en los términos y condiciones ofertados en el proceso de selección es el proveedor que haya suscrito contrato con la Entidad, independientemente de su calidad de distribuidor autorizado o no por el fabricante; por lo que, </w:t>
      </w:r>
      <w:r w:rsidRPr="005B0253">
        <w:rPr>
          <w:color w:val="000000"/>
          <w:lang w:val="es-PE" w:eastAsia="es-PE"/>
        </w:rPr>
        <w:t xml:space="preserve">dicho requerimiento resulta restrictivo de la competencia en la medida que </w:t>
      </w:r>
      <w:r w:rsidRPr="005B0253">
        <w:t>únicamente podría ser cumplido por el fabricante, el distribuidor o el representante autorizado de la marca del bien ofertado, excluyendo a aquellos postores que no cumplan tal calidad.</w:t>
      </w:r>
      <w:r>
        <w:t xml:space="preserve"> Por lo tanto, con ocasión de la integración de las Bases, </w:t>
      </w:r>
      <w:r w:rsidRPr="00DB0D0C">
        <w:rPr>
          <w:b/>
          <w:u w:val="single"/>
        </w:rPr>
        <w:t>deberá suprimirse</w:t>
      </w:r>
      <w:r>
        <w:t xml:space="preserve"> la exigencia contenida en el </w:t>
      </w:r>
      <w:r w:rsidRPr="004A1CAF">
        <w:rPr>
          <w:bCs/>
          <w:snapToGrid w:val="0"/>
          <w:lang w:eastAsia="es-ES"/>
        </w:rPr>
        <w:t>i) del numeral 2.5.1 de la documentación de presentación</w:t>
      </w:r>
      <w:r>
        <w:rPr>
          <w:bCs/>
          <w:snapToGrid w:val="0"/>
          <w:lang w:eastAsia="es-ES"/>
        </w:rPr>
        <w:t xml:space="preserve"> obligatoria. </w:t>
      </w:r>
    </w:p>
    <w:p w:rsidR="00DB0D0C" w:rsidRDefault="00DB0D0C" w:rsidP="00DB0D0C">
      <w:pPr>
        <w:pStyle w:val="Textoindependiente2"/>
        <w:spacing w:after="0" w:line="240" w:lineRule="auto"/>
        <w:jc w:val="both"/>
        <w:rPr>
          <w:bCs/>
          <w:snapToGrid w:val="0"/>
          <w:lang w:eastAsia="es-ES"/>
        </w:rPr>
      </w:pPr>
    </w:p>
    <w:p w:rsidR="00DB0D0C" w:rsidRDefault="00DB0D0C" w:rsidP="00DB0D0C">
      <w:pPr>
        <w:pStyle w:val="Textoindependiente2"/>
        <w:spacing w:after="0" w:line="240" w:lineRule="auto"/>
        <w:jc w:val="both"/>
      </w:pPr>
      <w:r>
        <w:rPr>
          <w:bCs/>
          <w:snapToGrid w:val="0"/>
          <w:lang w:eastAsia="es-ES"/>
        </w:rPr>
        <w:t xml:space="preserve">En ese sentido, </w:t>
      </w:r>
      <w:r w:rsidRPr="00DB0D0C">
        <w:rPr>
          <w:b/>
          <w:bCs/>
          <w:snapToGrid w:val="0"/>
          <w:lang w:eastAsia="es-ES"/>
        </w:rPr>
        <w:t>CARECE DE OBJETO</w:t>
      </w:r>
      <w:r>
        <w:rPr>
          <w:bCs/>
          <w:snapToGrid w:val="0"/>
          <w:lang w:eastAsia="es-ES"/>
        </w:rPr>
        <w:t xml:space="preserve"> pronunciarnos respecto de la presente observación. </w:t>
      </w:r>
    </w:p>
    <w:p w:rsidR="00DB0D0C" w:rsidRPr="005B0253" w:rsidRDefault="00DB0D0C" w:rsidP="00DB0D0C">
      <w:pPr>
        <w:pStyle w:val="Textoindependiente2"/>
        <w:spacing w:after="0" w:line="240" w:lineRule="auto"/>
        <w:jc w:val="both"/>
      </w:pPr>
    </w:p>
    <w:p w:rsidR="00DB0D0C" w:rsidRPr="005B0253" w:rsidRDefault="00DB0D0C" w:rsidP="00DB0D0C">
      <w:pPr>
        <w:widowControl w:val="0"/>
        <w:tabs>
          <w:tab w:val="left" w:pos="0"/>
        </w:tabs>
        <w:jc w:val="both"/>
        <w:rPr>
          <w:sz w:val="24"/>
          <w:szCs w:val="24"/>
        </w:rPr>
      </w:pPr>
      <w:r w:rsidRPr="005B0253">
        <w:rPr>
          <w:sz w:val="24"/>
          <w:szCs w:val="24"/>
        </w:rPr>
        <w:t>Sin perjuicio de ello,</w:t>
      </w:r>
      <w:r w:rsidRPr="005B0253">
        <w:rPr>
          <w:b/>
          <w:sz w:val="24"/>
          <w:szCs w:val="24"/>
        </w:rPr>
        <w:t xml:space="preserve"> </w:t>
      </w:r>
      <w:r w:rsidRPr="005B0253">
        <w:rPr>
          <w:sz w:val="24"/>
          <w:szCs w:val="24"/>
        </w:rPr>
        <w:t xml:space="preserve">debe tenerse en cuenta que la condición de distribuidor autorizado o fabricante significaría un </w:t>
      </w:r>
      <w:r w:rsidRPr="005B0253">
        <w:rPr>
          <w:b/>
          <w:sz w:val="24"/>
          <w:szCs w:val="24"/>
          <w:u w:val="single"/>
        </w:rPr>
        <w:t>valor agregado</w:t>
      </w:r>
      <w:r w:rsidRPr="005B0253">
        <w:rPr>
          <w:sz w:val="24"/>
          <w:szCs w:val="24"/>
        </w:rPr>
        <w:t xml:space="preserve"> a la propuesta del postor, dado que, tanto para la adquisición de bienes como para la contratación de un servicio, implicaría que la Entidad cuente con un mayor respaldo o mayor seguridad no solo respecto de la procedencia legal del bien o de los activos que se entreguen como consecuencia de la contratación de un servicio, sino también porque ello podría representar una ventaja ante posibles contingencias durante la ejecución del contrato.</w:t>
      </w:r>
    </w:p>
    <w:p w:rsidR="00DB0D0C" w:rsidRPr="005B0253" w:rsidRDefault="00DB0D0C" w:rsidP="00DB0D0C">
      <w:pPr>
        <w:widowControl w:val="0"/>
        <w:tabs>
          <w:tab w:val="left" w:pos="0"/>
        </w:tabs>
        <w:jc w:val="both"/>
        <w:rPr>
          <w:sz w:val="24"/>
          <w:szCs w:val="24"/>
        </w:rPr>
      </w:pPr>
    </w:p>
    <w:p w:rsidR="00DF43D7" w:rsidRPr="0014796C" w:rsidRDefault="00DF43D7" w:rsidP="00DF43D7">
      <w:pPr>
        <w:widowControl w:val="0"/>
        <w:jc w:val="both"/>
        <w:rPr>
          <w:b/>
          <w:sz w:val="24"/>
          <w:szCs w:val="24"/>
          <w:u w:val="single"/>
        </w:rPr>
      </w:pPr>
      <w:r w:rsidRPr="0014796C">
        <w:rPr>
          <w:b/>
          <w:sz w:val="24"/>
          <w:szCs w:val="24"/>
          <w:u w:val="single"/>
        </w:rPr>
        <w:t xml:space="preserve">En ese sentido, la Entidad podrá calificar dentro de los factores de evaluación la </w:t>
      </w:r>
      <w:r w:rsidRPr="0014796C">
        <w:rPr>
          <w:b/>
          <w:sz w:val="24"/>
          <w:szCs w:val="24"/>
          <w:u w:val="single"/>
          <w:lang w:eastAsia="es-ES"/>
        </w:rPr>
        <w:t>copia simple del certificado o documento de representación del fabricante  o distribuidor extranjero o nacional que lo autorice para el manejo de los sistemas</w:t>
      </w:r>
      <w:r w:rsidRPr="0014796C">
        <w:rPr>
          <w:b/>
          <w:sz w:val="24"/>
          <w:szCs w:val="24"/>
          <w:u w:val="single"/>
        </w:rPr>
        <w:t xml:space="preserve">, factor que no podrá tener un puntaje mayor a diez (10) puntos. </w:t>
      </w:r>
    </w:p>
    <w:p w:rsidR="00DF43D7" w:rsidRDefault="00DF43D7" w:rsidP="00DB0D0C">
      <w:pPr>
        <w:widowControl w:val="0"/>
        <w:tabs>
          <w:tab w:val="left" w:pos="0"/>
        </w:tabs>
        <w:jc w:val="both"/>
        <w:rPr>
          <w:sz w:val="24"/>
          <w:szCs w:val="24"/>
        </w:rPr>
      </w:pPr>
    </w:p>
    <w:p w:rsidR="00DB0D0C" w:rsidRPr="005B0253" w:rsidRDefault="00DB0D0C" w:rsidP="00DB0D0C">
      <w:pPr>
        <w:widowControl w:val="0"/>
        <w:tabs>
          <w:tab w:val="left" w:pos="0"/>
        </w:tabs>
        <w:jc w:val="both"/>
        <w:rPr>
          <w:color w:val="000000"/>
          <w:sz w:val="24"/>
          <w:szCs w:val="24"/>
          <w:lang w:eastAsia="es-PE"/>
        </w:rPr>
      </w:pPr>
      <w:r w:rsidRPr="005B0253">
        <w:rPr>
          <w:sz w:val="24"/>
          <w:szCs w:val="24"/>
        </w:rPr>
        <w:t>Conviene</w:t>
      </w:r>
      <w:r w:rsidRPr="005B0253">
        <w:rPr>
          <w:color w:val="000000"/>
          <w:sz w:val="24"/>
          <w:szCs w:val="24"/>
          <w:lang w:eastAsia="es-PE"/>
        </w:rPr>
        <w:t xml:space="preserve"> subrayar, que el no cumplimiento de alguno de los factores de evaluación no implicará, a diferencia de los requerimientos técnicos mínimos, la descalificación del postor, pues, la única consecuencia que tiene es la no obtención del puntaje asignado.</w:t>
      </w:r>
    </w:p>
    <w:p w:rsidR="00DB0D0C" w:rsidRDefault="00DB0D0C" w:rsidP="00DB0D0C">
      <w:pPr>
        <w:widowControl w:val="0"/>
        <w:tabs>
          <w:tab w:val="left" w:pos="540"/>
        </w:tabs>
        <w:ind w:left="567"/>
        <w:jc w:val="both"/>
        <w:rPr>
          <w:sz w:val="24"/>
          <w:szCs w:val="24"/>
        </w:rPr>
      </w:pPr>
    </w:p>
    <w:p w:rsidR="00DF43D7" w:rsidRDefault="00DF43D7" w:rsidP="00DB0D0C">
      <w:pPr>
        <w:widowControl w:val="0"/>
        <w:tabs>
          <w:tab w:val="left" w:pos="540"/>
        </w:tabs>
        <w:ind w:left="567"/>
        <w:jc w:val="both"/>
        <w:rPr>
          <w:sz w:val="24"/>
          <w:szCs w:val="24"/>
        </w:rPr>
      </w:pPr>
    </w:p>
    <w:p w:rsidR="00DF43D7" w:rsidRPr="005B0253" w:rsidRDefault="00DF43D7" w:rsidP="00DB0D0C">
      <w:pPr>
        <w:widowControl w:val="0"/>
        <w:tabs>
          <w:tab w:val="left" w:pos="540"/>
        </w:tabs>
        <w:ind w:left="567"/>
        <w:jc w:val="both"/>
        <w:rPr>
          <w:sz w:val="24"/>
          <w:szCs w:val="24"/>
        </w:rPr>
      </w:pPr>
    </w:p>
    <w:p w:rsidR="00EE4635" w:rsidRPr="00BB006A" w:rsidRDefault="00EE4635" w:rsidP="00EE4635">
      <w:pPr>
        <w:numPr>
          <w:ilvl w:val="0"/>
          <w:numId w:val="1"/>
        </w:numPr>
        <w:tabs>
          <w:tab w:val="left" w:pos="567"/>
        </w:tabs>
        <w:ind w:left="567" w:hanging="567"/>
        <w:jc w:val="both"/>
        <w:rPr>
          <w:b/>
          <w:sz w:val="24"/>
          <w:szCs w:val="24"/>
        </w:rPr>
      </w:pPr>
      <w:r w:rsidRPr="00BB006A">
        <w:rPr>
          <w:b/>
          <w:sz w:val="24"/>
          <w:szCs w:val="24"/>
        </w:rPr>
        <w:lastRenderedPageBreak/>
        <w:t xml:space="preserve">CONTENIDO DE LAS BASES CONTRARIO A LA NORMATIVA SOBRE CONTRATACIONES DEL ESTADO </w:t>
      </w:r>
    </w:p>
    <w:p w:rsidR="00EE4635" w:rsidRPr="00BB006A" w:rsidRDefault="00EE4635" w:rsidP="00EE4635">
      <w:pPr>
        <w:tabs>
          <w:tab w:val="left" w:pos="567"/>
        </w:tabs>
        <w:ind w:left="567"/>
        <w:jc w:val="both"/>
        <w:rPr>
          <w:b/>
          <w:sz w:val="24"/>
          <w:szCs w:val="24"/>
        </w:rPr>
      </w:pPr>
    </w:p>
    <w:p w:rsidR="00EE4635" w:rsidRPr="00BB006A" w:rsidRDefault="00EE4635" w:rsidP="00EE4635">
      <w:pPr>
        <w:widowControl w:val="0"/>
        <w:tabs>
          <w:tab w:val="left" w:pos="567"/>
        </w:tabs>
        <w:ind w:right="-1"/>
        <w:jc w:val="both"/>
        <w:rPr>
          <w:sz w:val="24"/>
          <w:szCs w:val="24"/>
        </w:rPr>
      </w:pPr>
      <w:r w:rsidRPr="00BB006A">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r w:rsidRPr="00BB006A">
        <w:rPr>
          <w:sz w:val="24"/>
          <w:szCs w:val="24"/>
        </w:rPr>
        <w:cr/>
      </w:r>
    </w:p>
    <w:p w:rsidR="00EE4635" w:rsidRPr="00F20588" w:rsidRDefault="00EE4635" w:rsidP="00F20588">
      <w:pPr>
        <w:pStyle w:val="Prrafodelista"/>
        <w:widowControl w:val="0"/>
        <w:numPr>
          <w:ilvl w:val="1"/>
          <w:numId w:val="18"/>
        </w:numPr>
        <w:tabs>
          <w:tab w:val="left" w:pos="540"/>
        </w:tabs>
        <w:ind w:left="567" w:hanging="567"/>
        <w:contextualSpacing/>
        <w:jc w:val="both"/>
        <w:rPr>
          <w:sz w:val="24"/>
          <w:szCs w:val="24"/>
        </w:rPr>
      </w:pPr>
      <w:r w:rsidRPr="00BB006A">
        <w:rPr>
          <w:b/>
          <w:sz w:val="24"/>
          <w:szCs w:val="24"/>
        </w:rPr>
        <w:t xml:space="preserve">Forma de acreditación de las capacitaciones </w:t>
      </w:r>
    </w:p>
    <w:p w:rsidR="00EE4635" w:rsidRPr="00BB006A" w:rsidRDefault="00EE4635" w:rsidP="00EE4635">
      <w:pPr>
        <w:keepLines/>
        <w:widowControl w:val="0"/>
        <w:tabs>
          <w:tab w:val="left" w:pos="567"/>
        </w:tabs>
        <w:ind w:left="360"/>
        <w:jc w:val="both"/>
        <w:rPr>
          <w:b/>
          <w:sz w:val="24"/>
          <w:szCs w:val="24"/>
        </w:rPr>
      </w:pPr>
    </w:p>
    <w:p w:rsidR="00EE4635" w:rsidRPr="00BB006A" w:rsidRDefault="00EE4635" w:rsidP="00F20588">
      <w:pPr>
        <w:widowControl w:val="0"/>
        <w:ind w:left="540"/>
        <w:jc w:val="both"/>
        <w:rPr>
          <w:b/>
          <w:sz w:val="24"/>
          <w:szCs w:val="24"/>
          <w:u w:val="single"/>
        </w:rPr>
      </w:pPr>
      <w:r w:rsidRPr="00BB006A">
        <w:rPr>
          <w:b/>
          <w:sz w:val="24"/>
          <w:szCs w:val="24"/>
          <w:u w:val="single"/>
        </w:rPr>
        <w:t>Deberá precisarse</w:t>
      </w:r>
      <w:r w:rsidR="00F20588" w:rsidRPr="00F20588">
        <w:rPr>
          <w:b/>
          <w:sz w:val="24"/>
          <w:szCs w:val="24"/>
        </w:rPr>
        <w:t xml:space="preserve"> </w:t>
      </w:r>
      <w:r w:rsidRPr="00BB006A">
        <w:rPr>
          <w:sz w:val="24"/>
          <w:szCs w:val="24"/>
        </w:rPr>
        <w:t>que las capacitaciones podrán acreditarse con la presentación de constancias, certificados o cualquier otro documento que, de manera fehaciente, demuestre que el profesional propuesto recibió la formación y/o capacitación requerida, conforme a los diversos pronunciamientos emitidos por este Organismo Supervisor.</w:t>
      </w:r>
    </w:p>
    <w:p w:rsidR="00EE4635" w:rsidRPr="00BB006A" w:rsidRDefault="00EE4635" w:rsidP="00EE4635">
      <w:pPr>
        <w:pStyle w:val="Prrafodelista"/>
        <w:ind w:left="720"/>
        <w:jc w:val="both"/>
        <w:rPr>
          <w:sz w:val="24"/>
          <w:szCs w:val="24"/>
        </w:rPr>
      </w:pPr>
    </w:p>
    <w:p w:rsidR="00EE4635" w:rsidRPr="00BB006A" w:rsidRDefault="00EE4635" w:rsidP="00F20588">
      <w:pPr>
        <w:pStyle w:val="Prrafodelista"/>
        <w:widowControl w:val="0"/>
        <w:numPr>
          <w:ilvl w:val="1"/>
          <w:numId w:val="18"/>
        </w:numPr>
        <w:tabs>
          <w:tab w:val="left" w:pos="540"/>
        </w:tabs>
        <w:ind w:left="567" w:hanging="567"/>
        <w:contextualSpacing/>
        <w:jc w:val="both"/>
        <w:rPr>
          <w:b/>
          <w:sz w:val="24"/>
          <w:szCs w:val="24"/>
        </w:rPr>
      </w:pPr>
      <w:r w:rsidRPr="00BB006A">
        <w:rPr>
          <w:b/>
          <w:sz w:val="24"/>
          <w:szCs w:val="24"/>
        </w:rPr>
        <w:t>Proforma del contrato</w:t>
      </w:r>
    </w:p>
    <w:p w:rsidR="00EE4635" w:rsidRPr="00BB006A" w:rsidRDefault="00EE4635" w:rsidP="00EE4635">
      <w:pPr>
        <w:pStyle w:val="Prrafodelista"/>
        <w:rPr>
          <w:sz w:val="24"/>
          <w:szCs w:val="24"/>
        </w:rPr>
      </w:pPr>
    </w:p>
    <w:p w:rsidR="00EE4635" w:rsidRPr="00F20588" w:rsidRDefault="00EE4635" w:rsidP="00F20588">
      <w:pPr>
        <w:widowControl w:val="0"/>
        <w:ind w:left="540"/>
        <w:jc w:val="both"/>
        <w:rPr>
          <w:sz w:val="24"/>
          <w:szCs w:val="24"/>
        </w:rPr>
      </w:pPr>
      <w:r w:rsidRPr="00F20588">
        <w:rPr>
          <w:sz w:val="24"/>
          <w:szCs w:val="24"/>
        </w:rPr>
        <w:t xml:space="preserve">Con ocasión de la integración de las Bases o, para la suscripción del Contrato, </w:t>
      </w:r>
      <w:r w:rsidRPr="00F20588">
        <w:rPr>
          <w:b/>
          <w:sz w:val="24"/>
          <w:szCs w:val="24"/>
          <w:u w:val="single"/>
        </w:rPr>
        <w:t>deberá completarse</w:t>
      </w:r>
      <w:r w:rsidRPr="00F20588">
        <w:rPr>
          <w:sz w:val="24"/>
          <w:szCs w:val="24"/>
        </w:rPr>
        <w:t xml:space="preserve"> el Capítulo V “Proforma del contrato” de acuerdo con lo indicado en los demás Capítulos de las Bases</w:t>
      </w:r>
    </w:p>
    <w:p w:rsidR="00EE4635" w:rsidRPr="00BB006A" w:rsidRDefault="00EE4635" w:rsidP="00EE4635">
      <w:pPr>
        <w:widowControl w:val="0"/>
        <w:jc w:val="both"/>
        <w:rPr>
          <w:color w:val="000000"/>
          <w:sz w:val="24"/>
          <w:szCs w:val="24"/>
        </w:rPr>
      </w:pPr>
    </w:p>
    <w:p w:rsidR="00EE4635" w:rsidRPr="00BB006A" w:rsidRDefault="00EE4635" w:rsidP="00EE4635">
      <w:pPr>
        <w:numPr>
          <w:ilvl w:val="0"/>
          <w:numId w:val="1"/>
        </w:numPr>
        <w:tabs>
          <w:tab w:val="left" w:pos="567"/>
        </w:tabs>
        <w:ind w:left="567" w:hanging="567"/>
        <w:jc w:val="both"/>
        <w:rPr>
          <w:b/>
          <w:sz w:val="24"/>
          <w:szCs w:val="24"/>
        </w:rPr>
      </w:pPr>
      <w:r w:rsidRPr="00BB006A">
        <w:rPr>
          <w:b/>
          <w:sz w:val="24"/>
          <w:szCs w:val="24"/>
        </w:rPr>
        <w:t xml:space="preserve">CONCLUSIONES </w:t>
      </w:r>
    </w:p>
    <w:p w:rsidR="00EE4635" w:rsidRPr="00BB006A" w:rsidRDefault="00EE4635" w:rsidP="00EE4635">
      <w:pPr>
        <w:widowControl w:val="0"/>
        <w:jc w:val="both"/>
        <w:rPr>
          <w:snapToGrid w:val="0"/>
          <w:sz w:val="24"/>
          <w:szCs w:val="24"/>
        </w:rPr>
      </w:pPr>
    </w:p>
    <w:p w:rsidR="00EE4635" w:rsidRPr="00BB006A" w:rsidRDefault="00EE4635" w:rsidP="00EE4635">
      <w:pPr>
        <w:widowControl w:val="0"/>
        <w:jc w:val="both"/>
        <w:rPr>
          <w:snapToGrid w:val="0"/>
          <w:sz w:val="24"/>
          <w:szCs w:val="24"/>
        </w:rPr>
      </w:pPr>
      <w:r w:rsidRPr="00BB006A">
        <w:rPr>
          <w:snapToGrid w:val="0"/>
          <w:sz w:val="24"/>
          <w:szCs w:val="24"/>
        </w:rPr>
        <w:t>En virtud de lo expuesto, este Organismo Supervisor ha dispuesto:</w:t>
      </w:r>
    </w:p>
    <w:p w:rsidR="00EE4635" w:rsidRPr="00BB006A" w:rsidRDefault="00EE4635" w:rsidP="00EE4635">
      <w:pPr>
        <w:tabs>
          <w:tab w:val="left" w:pos="567"/>
        </w:tabs>
        <w:ind w:left="567"/>
        <w:jc w:val="both"/>
        <w:rPr>
          <w:b/>
          <w:sz w:val="24"/>
          <w:szCs w:val="24"/>
        </w:rPr>
      </w:pPr>
    </w:p>
    <w:p w:rsidR="00EE4635" w:rsidRPr="00BB006A" w:rsidRDefault="00EE4635" w:rsidP="00EE4635">
      <w:pPr>
        <w:widowControl w:val="0"/>
        <w:numPr>
          <w:ilvl w:val="1"/>
          <w:numId w:val="2"/>
        </w:numPr>
        <w:ind w:left="567" w:hanging="567"/>
        <w:jc w:val="both"/>
        <w:rPr>
          <w:sz w:val="24"/>
          <w:szCs w:val="24"/>
        </w:rPr>
      </w:pPr>
      <w:r w:rsidRPr="00BB006A">
        <w:rPr>
          <w:snapToGrid w:val="0"/>
          <w:sz w:val="24"/>
          <w:szCs w:val="24"/>
        </w:rPr>
        <w:t xml:space="preserve">El </w:t>
      </w:r>
      <w:r w:rsidRPr="00BB006A">
        <w:rPr>
          <w:sz w:val="24"/>
          <w:szCs w:val="24"/>
        </w:rPr>
        <w:t>Comité Especial deberá cumplir con lo dispuesto por este Organismo Supervisor al absolver las observaciones indicadas en el numeral 2 del presente Pronunciamiento.</w:t>
      </w:r>
    </w:p>
    <w:p w:rsidR="00EE4635" w:rsidRPr="00BB006A" w:rsidRDefault="00EE4635" w:rsidP="00EE4635">
      <w:pPr>
        <w:widowControl w:val="0"/>
        <w:ind w:left="567"/>
        <w:jc w:val="both"/>
        <w:rPr>
          <w:sz w:val="24"/>
          <w:szCs w:val="24"/>
        </w:rPr>
      </w:pPr>
    </w:p>
    <w:p w:rsidR="00EE4635" w:rsidRPr="00BB006A" w:rsidRDefault="00EE4635" w:rsidP="00EE4635">
      <w:pPr>
        <w:widowControl w:val="0"/>
        <w:numPr>
          <w:ilvl w:val="1"/>
          <w:numId w:val="2"/>
        </w:numPr>
        <w:ind w:left="567" w:hanging="567"/>
        <w:jc w:val="both"/>
        <w:rPr>
          <w:sz w:val="24"/>
          <w:szCs w:val="24"/>
        </w:rPr>
      </w:pPr>
      <w:r w:rsidRPr="00BB006A">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EE4635" w:rsidRPr="00BB006A" w:rsidRDefault="00EE4635" w:rsidP="00EE4635">
      <w:pPr>
        <w:widowControl w:val="0"/>
        <w:ind w:left="567"/>
        <w:jc w:val="both"/>
        <w:rPr>
          <w:sz w:val="24"/>
          <w:szCs w:val="24"/>
        </w:rPr>
      </w:pPr>
    </w:p>
    <w:p w:rsidR="00EE4635" w:rsidRPr="00BB006A" w:rsidRDefault="00EE4635" w:rsidP="00EE4635">
      <w:pPr>
        <w:widowControl w:val="0"/>
        <w:numPr>
          <w:ilvl w:val="1"/>
          <w:numId w:val="2"/>
        </w:numPr>
        <w:ind w:left="567" w:hanging="567"/>
        <w:jc w:val="both"/>
        <w:rPr>
          <w:sz w:val="24"/>
          <w:szCs w:val="24"/>
        </w:rPr>
      </w:pPr>
      <w:r w:rsidRPr="00BB006A">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E4635" w:rsidRPr="00BB006A" w:rsidRDefault="00EE4635" w:rsidP="00EE4635">
      <w:pPr>
        <w:widowControl w:val="0"/>
        <w:ind w:left="567"/>
        <w:jc w:val="both"/>
        <w:rPr>
          <w:sz w:val="24"/>
          <w:szCs w:val="24"/>
        </w:rPr>
      </w:pPr>
    </w:p>
    <w:p w:rsidR="00EE4635" w:rsidRPr="00BB006A" w:rsidRDefault="00EE4635" w:rsidP="00EE4635">
      <w:pPr>
        <w:widowControl w:val="0"/>
        <w:numPr>
          <w:ilvl w:val="1"/>
          <w:numId w:val="2"/>
        </w:numPr>
        <w:ind w:left="567" w:hanging="567"/>
        <w:jc w:val="both"/>
        <w:rPr>
          <w:sz w:val="24"/>
          <w:szCs w:val="24"/>
        </w:rPr>
      </w:pPr>
      <w:r w:rsidRPr="00BB006A">
        <w:rPr>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w:t>
      </w:r>
      <w:r w:rsidRPr="00BB006A">
        <w:rPr>
          <w:iCs/>
          <w:sz w:val="24"/>
          <w:szCs w:val="24"/>
        </w:rPr>
        <w:lastRenderedPageBreak/>
        <w:t>deseen participar en el presente proceso de selección podrán registrarse hasta un</w:t>
      </w:r>
      <w:r w:rsidRPr="00BB006A">
        <w:rPr>
          <w:sz w:val="24"/>
          <w:szCs w:val="24"/>
        </w:rPr>
        <w:t xml:space="preserve"> (1) día después de haber quedado integradas las Bases, y que, a tenor del artículo 24 del Reglamento, entre la integración de Bases y la presentación de propuestas 4no podrá mediar menos de cinco (5) días hábiles, computados a partir del día siguiente de la publicación de las Bases integradas en el SEACE.</w:t>
      </w:r>
    </w:p>
    <w:p w:rsidR="00EE4635" w:rsidRPr="00BB006A" w:rsidRDefault="00EE4635" w:rsidP="00EE4635">
      <w:pPr>
        <w:widowControl w:val="0"/>
        <w:ind w:left="567"/>
        <w:jc w:val="both"/>
        <w:rPr>
          <w:iCs/>
          <w:sz w:val="24"/>
          <w:szCs w:val="24"/>
        </w:rPr>
      </w:pPr>
    </w:p>
    <w:p w:rsidR="00EE4635" w:rsidRPr="00BB006A" w:rsidRDefault="00EE4635" w:rsidP="00EE4635">
      <w:pPr>
        <w:widowControl w:val="0"/>
        <w:numPr>
          <w:ilvl w:val="1"/>
          <w:numId w:val="2"/>
        </w:numPr>
        <w:ind w:left="567" w:hanging="567"/>
        <w:jc w:val="both"/>
        <w:rPr>
          <w:sz w:val="24"/>
          <w:szCs w:val="24"/>
        </w:rPr>
      </w:pPr>
      <w:r w:rsidRPr="00BB006A">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E4635" w:rsidRPr="00BB006A" w:rsidRDefault="00EE4635" w:rsidP="00EE4635">
      <w:pPr>
        <w:pStyle w:val="Prrafodelista"/>
        <w:rPr>
          <w:sz w:val="24"/>
          <w:szCs w:val="24"/>
        </w:rPr>
      </w:pPr>
    </w:p>
    <w:p w:rsidR="00EE4635" w:rsidRPr="00BB006A" w:rsidRDefault="00EE4635" w:rsidP="00EE4635">
      <w:pPr>
        <w:widowControl w:val="0"/>
        <w:numPr>
          <w:ilvl w:val="1"/>
          <w:numId w:val="2"/>
        </w:numPr>
        <w:ind w:left="567" w:hanging="567"/>
        <w:jc w:val="both"/>
        <w:rPr>
          <w:iCs/>
          <w:sz w:val="24"/>
          <w:szCs w:val="24"/>
        </w:rPr>
      </w:pPr>
      <w:r w:rsidRPr="00BB006A">
        <w:rPr>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E4635" w:rsidRPr="00BB006A" w:rsidRDefault="00EE4635" w:rsidP="00EE4635">
      <w:pPr>
        <w:pStyle w:val="Prrafodelista"/>
        <w:rPr>
          <w:iCs/>
          <w:sz w:val="24"/>
          <w:szCs w:val="24"/>
        </w:rPr>
      </w:pPr>
    </w:p>
    <w:p w:rsidR="00EE4635" w:rsidRPr="00BB006A" w:rsidRDefault="00EE4635" w:rsidP="00EE4635">
      <w:pPr>
        <w:widowControl w:val="0"/>
        <w:numPr>
          <w:ilvl w:val="1"/>
          <w:numId w:val="2"/>
        </w:numPr>
        <w:ind w:left="567" w:hanging="567"/>
        <w:jc w:val="both"/>
        <w:rPr>
          <w:iCs/>
          <w:sz w:val="24"/>
          <w:szCs w:val="24"/>
        </w:rPr>
      </w:pPr>
      <w:r w:rsidRPr="00BB006A">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EE4635" w:rsidRPr="00BB006A" w:rsidRDefault="00EE4635" w:rsidP="00EE4635">
      <w:pPr>
        <w:pStyle w:val="Prrafodelista"/>
        <w:rPr>
          <w:iCs/>
          <w:sz w:val="24"/>
          <w:szCs w:val="24"/>
        </w:rPr>
      </w:pPr>
    </w:p>
    <w:p w:rsidR="00EE4635" w:rsidRPr="00BB006A" w:rsidRDefault="00EE4635" w:rsidP="00EE4635">
      <w:pPr>
        <w:pStyle w:val="Normaltimes"/>
        <w:widowControl w:val="0"/>
        <w:tabs>
          <w:tab w:val="left" w:pos="2660"/>
        </w:tabs>
        <w:jc w:val="right"/>
        <w:rPr>
          <w:b/>
          <w:szCs w:val="24"/>
          <w:lang w:val="es-PE"/>
        </w:rPr>
      </w:pPr>
      <w:r w:rsidRPr="00BB006A">
        <w:rPr>
          <w:szCs w:val="24"/>
          <w:lang w:val="es-PE"/>
        </w:rPr>
        <w:t xml:space="preserve">Jesús María, </w:t>
      </w:r>
      <w:r w:rsidR="00DF43D7">
        <w:rPr>
          <w:szCs w:val="24"/>
          <w:lang w:val="es-PE"/>
        </w:rPr>
        <w:t>20</w:t>
      </w:r>
      <w:r w:rsidRPr="00BB006A">
        <w:rPr>
          <w:szCs w:val="24"/>
          <w:lang w:val="es-PE"/>
        </w:rPr>
        <w:t xml:space="preserve"> de octubre de 2015. </w:t>
      </w:r>
    </w:p>
    <w:p w:rsidR="00EE4635" w:rsidRPr="00BB006A" w:rsidRDefault="00EE4635" w:rsidP="00EE4635">
      <w:pPr>
        <w:autoSpaceDE w:val="0"/>
        <w:autoSpaceDN w:val="0"/>
        <w:adjustRightInd w:val="0"/>
        <w:rPr>
          <w:rFonts w:eastAsia="Calibri"/>
          <w:color w:val="000000"/>
          <w:sz w:val="24"/>
          <w:szCs w:val="24"/>
          <w:lang w:eastAsia="en-US"/>
        </w:rPr>
      </w:pPr>
    </w:p>
    <w:p w:rsidR="00EE4635" w:rsidRPr="00BB006A" w:rsidRDefault="00EE4635" w:rsidP="00EE4635">
      <w:pPr>
        <w:autoSpaceDE w:val="0"/>
        <w:autoSpaceDN w:val="0"/>
        <w:adjustRightInd w:val="0"/>
        <w:rPr>
          <w:rFonts w:eastAsia="Calibri"/>
          <w:color w:val="000000"/>
          <w:sz w:val="24"/>
          <w:szCs w:val="24"/>
          <w:lang w:eastAsia="en-US"/>
        </w:rPr>
      </w:pPr>
      <w:r w:rsidRPr="00BB006A">
        <w:rPr>
          <w:rFonts w:eastAsia="Calibri"/>
          <w:color w:val="000000"/>
          <w:sz w:val="24"/>
          <w:szCs w:val="24"/>
          <w:lang w:eastAsia="en-US"/>
        </w:rPr>
        <w:t xml:space="preserve">Elaborado por: </w:t>
      </w:r>
      <w:r w:rsidRPr="00BB006A">
        <w:rPr>
          <w:rFonts w:eastAsia="Calibri"/>
          <w:color w:val="000000"/>
          <w:sz w:val="24"/>
          <w:szCs w:val="24"/>
          <w:lang w:eastAsia="en-US"/>
        </w:rPr>
        <w:tab/>
      </w:r>
      <w:r w:rsidRPr="00BB006A">
        <w:rPr>
          <w:rFonts w:eastAsia="Calibri"/>
          <w:color w:val="000000"/>
          <w:sz w:val="24"/>
          <w:szCs w:val="24"/>
          <w:lang w:eastAsia="en-US"/>
        </w:rPr>
        <w:tab/>
      </w:r>
      <w:proofErr w:type="spellStart"/>
      <w:r w:rsidRPr="00BB006A">
        <w:rPr>
          <w:rFonts w:eastAsia="Calibri"/>
          <w:color w:val="000000"/>
          <w:sz w:val="24"/>
          <w:szCs w:val="24"/>
          <w:lang w:eastAsia="en-US"/>
        </w:rPr>
        <w:t>Jaqueline</w:t>
      </w:r>
      <w:proofErr w:type="spellEnd"/>
      <w:r w:rsidRPr="00BB006A">
        <w:rPr>
          <w:rFonts w:eastAsia="Calibri"/>
          <w:color w:val="000000"/>
          <w:sz w:val="24"/>
          <w:szCs w:val="24"/>
          <w:lang w:eastAsia="en-US"/>
        </w:rPr>
        <w:t xml:space="preserve"> </w:t>
      </w:r>
      <w:proofErr w:type="spellStart"/>
      <w:r w:rsidRPr="00BB006A">
        <w:rPr>
          <w:rFonts w:eastAsia="Calibri"/>
          <w:color w:val="000000"/>
          <w:sz w:val="24"/>
          <w:szCs w:val="24"/>
          <w:lang w:eastAsia="en-US"/>
        </w:rPr>
        <w:t>Uscamayta</w:t>
      </w:r>
      <w:proofErr w:type="spellEnd"/>
      <w:r w:rsidRPr="00BB006A">
        <w:rPr>
          <w:rFonts w:eastAsia="Calibri"/>
          <w:color w:val="000000"/>
          <w:sz w:val="24"/>
          <w:szCs w:val="24"/>
          <w:lang w:eastAsia="en-US"/>
        </w:rPr>
        <w:t xml:space="preserve"> </w:t>
      </w:r>
      <w:proofErr w:type="spellStart"/>
      <w:r w:rsidRPr="00BB006A">
        <w:rPr>
          <w:rFonts w:eastAsia="Calibri"/>
          <w:color w:val="000000"/>
          <w:sz w:val="24"/>
          <w:szCs w:val="24"/>
          <w:lang w:eastAsia="en-US"/>
        </w:rPr>
        <w:t>Sotelo</w:t>
      </w:r>
      <w:proofErr w:type="spellEnd"/>
    </w:p>
    <w:p w:rsidR="00EE4635" w:rsidRPr="00BB006A" w:rsidRDefault="00EE4635" w:rsidP="00EE4635">
      <w:pPr>
        <w:autoSpaceDE w:val="0"/>
        <w:autoSpaceDN w:val="0"/>
        <w:adjustRightInd w:val="0"/>
        <w:rPr>
          <w:rFonts w:eastAsia="Calibri"/>
          <w:color w:val="000000"/>
          <w:sz w:val="24"/>
          <w:szCs w:val="24"/>
          <w:lang w:eastAsia="en-US"/>
        </w:rPr>
      </w:pPr>
      <w:r w:rsidRPr="00BB006A">
        <w:rPr>
          <w:rFonts w:eastAsia="Calibri"/>
          <w:color w:val="000000"/>
          <w:sz w:val="24"/>
          <w:szCs w:val="24"/>
          <w:lang w:eastAsia="en-US"/>
        </w:rPr>
        <w:t xml:space="preserve">Supervisado por: </w:t>
      </w:r>
      <w:r w:rsidRPr="00BB006A">
        <w:rPr>
          <w:rFonts w:eastAsia="Calibri"/>
          <w:color w:val="000000"/>
          <w:sz w:val="24"/>
          <w:szCs w:val="24"/>
          <w:lang w:eastAsia="en-US"/>
        </w:rPr>
        <w:tab/>
      </w:r>
      <w:r w:rsidRPr="00BB006A">
        <w:rPr>
          <w:rFonts w:eastAsia="Calibri"/>
          <w:color w:val="000000"/>
          <w:sz w:val="24"/>
          <w:szCs w:val="24"/>
          <w:lang w:eastAsia="en-US"/>
        </w:rPr>
        <w:tab/>
        <w:t>Luz Miguel Díaz</w:t>
      </w:r>
    </w:p>
    <w:p w:rsidR="00EE4635" w:rsidRPr="00BB006A" w:rsidRDefault="00EE4635" w:rsidP="00EE4635">
      <w:pPr>
        <w:autoSpaceDE w:val="0"/>
        <w:autoSpaceDN w:val="0"/>
        <w:adjustRightInd w:val="0"/>
        <w:rPr>
          <w:rFonts w:eastAsia="Calibri"/>
          <w:color w:val="000000"/>
          <w:sz w:val="24"/>
          <w:szCs w:val="24"/>
          <w:lang w:eastAsia="en-US"/>
        </w:rPr>
      </w:pPr>
      <w:r w:rsidRPr="00BB006A">
        <w:rPr>
          <w:rFonts w:eastAsia="Calibri"/>
          <w:color w:val="000000"/>
          <w:sz w:val="24"/>
          <w:szCs w:val="24"/>
          <w:lang w:eastAsia="en-US"/>
        </w:rPr>
        <w:t>Validado por:</w:t>
      </w:r>
      <w:r w:rsidRPr="00BB006A">
        <w:rPr>
          <w:rFonts w:eastAsia="Calibri"/>
          <w:color w:val="000000"/>
          <w:sz w:val="24"/>
          <w:szCs w:val="24"/>
          <w:lang w:eastAsia="en-US"/>
        </w:rPr>
        <w:tab/>
      </w:r>
      <w:r w:rsidRPr="00BB006A">
        <w:rPr>
          <w:rFonts w:eastAsia="Calibri"/>
          <w:color w:val="000000"/>
          <w:sz w:val="24"/>
          <w:szCs w:val="24"/>
          <w:lang w:eastAsia="en-US"/>
        </w:rPr>
        <w:tab/>
      </w:r>
      <w:r w:rsidRPr="00BB006A">
        <w:rPr>
          <w:rFonts w:eastAsia="Calibri"/>
          <w:color w:val="000000"/>
          <w:sz w:val="24"/>
          <w:szCs w:val="24"/>
          <w:lang w:eastAsia="en-US"/>
        </w:rPr>
        <w:tab/>
        <w:t>Laura Gutiérrez Gonzales</w:t>
      </w:r>
    </w:p>
    <w:p w:rsidR="00EE4635" w:rsidRPr="00BB006A" w:rsidRDefault="00EE4635" w:rsidP="00EE4635">
      <w:pPr>
        <w:autoSpaceDE w:val="0"/>
        <w:autoSpaceDN w:val="0"/>
        <w:adjustRightInd w:val="0"/>
        <w:rPr>
          <w:rFonts w:eastAsia="Calibri"/>
          <w:color w:val="000000"/>
          <w:sz w:val="24"/>
          <w:szCs w:val="24"/>
          <w:lang w:eastAsia="en-US"/>
        </w:rPr>
      </w:pPr>
      <w:r w:rsidRPr="00BB006A">
        <w:rPr>
          <w:rFonts w:eastAsia="Calibri"/>
          <w:color w:val="000000"/>
          <w:sz w:val="24"/>
          <w:szCs w:val="24"/>
          <w:lang w:eastAsia="en-US"/>
        </w:rPr>
        <w:tab/>
      </w:r>
    </w:p>
    <w:p w:rsidR="00EE4635" w:rsidRPr="00BB006A" w:rsidRDefault="00EE4635" w:rsidP="00EE4635">
      <w:pPr>
        <w:autoSpaceDE w:val="0"/>
        <w:autoSpaceDN w:val="0"/>
        <w:adjustRightInd w:val="0"/>
        <w:rPr>
          <w:rFonts w:eastAsia="Calibri"/>
          <w:color w:val="000000"/>
          <w:sz w:val="24"/>
          <w:szCs w:val="24"/>
          <w:lang w:eastAsia="en-US"/>
        </w:rPr>
      </w:pPr>
    </w:p>
    <w:p w:rsidR="00EE4635" w:rsidRDefault="00EE4635" w:rsidP="00EE4635">
      <w:pPr>
        <w:keepNext/>
        <w:keepLines/>
        <w:widowControl w:val="0"/>
        <w:tabs>
          <w:tab w:val="left" w:pos="2660"/>
        </w:tabs>
        <w:jc w:val="center"/>
        <w:rPr>
          <w:b/>
          <w:sz w:val="24"/>
          <w:szCs w:val="24"/>
        </w:rPr>
      </w:pPr>
    </w:p>
    <w:p w:rsidR="00186F0B" w:rsidRPr="00BB006A" w:rsidRDefault="00186F0B" w:rsidP="00EE4635">
      <w:pPr>
        <w:keepNext/>
        <w:keepLines/>
        <w:widowControl w:val="0"/>
        <w:tabs>
          <w:tab w:val="left" w:pos="2660"/>
        </w:tabs>
        <w:jc w:val="center"/>
        <w:rPr>
          <w:b/>
          <w:sz w:val="24"/>
          <w:szCs w:val="24"/>
        </w:rPr>
      </w:pPr>
    </w:p>
    <w:p w:rsidR="00EE4635" w:rsidRPr="00BB006A" w:rsidRDefault="00EE4635" w:rsidP="00EE4635">
      <w:pPr>
        <w:keepNext/>
        <w:keepLines/>
        <w:widowControl w:val="0"/>
        <w:tabs>
          <w:tab w:val="left" w:pos="2660"/>
        </w:tabs>
        <w:jc w:val="center"/>
        <w:rPr>
          <w:b/>
          <w:sz w:val="24"/>
          <w:szCs w:val="24"/>
        </w:rPr>
      </w:pPr>
    </w:p>
    <w:p w:rsidR="00EE4635" w:rsidRPr="00BB006A" w:rsidRDefault="00EE4635" w:rsidP="00EE4635">
      <w:pPr>
        <w:keepNext/>
        <w:keepLines/>
        <w:widowControl w:val="0"/>
        <w:tabs>
          <w:tab w:val="left" w:pos="2660"/>
        </w:tabs>
        <w:jc w:val="center"/>
        <w:rPr>
          <w:b/>
          <w:sz w:val="24"/>
          <w:szCs w:val="24"/>
        </w:rPr>
      </w:pPr>
      <w:r w:rsidRPr="00BB006A">
        <w:rPr>
          <w:b/>
          <w:sz w:val="24"/>
          <w:szCs w:val="24"/>
        </w:rPr>
        <w:t>PATRICIA ALARCÓN ALVIZURI</w:t>
      </w:r>
    </w:p>
    <w:p w:rsidR="00EE4635" w:rsidRPr="00BB006A" w:rsidRDefault="00EE4635" w:rsidP="00EE4635">
      <w:pPr>
        <w:keepNext/>
        <w:keepLines/>
        <w:widowControl w:val="0"/>
        <w:tabs>
          <w:tab w:val="left" w:pos="2660"/>
        </w:tabs>
        <w:jc w:val="center"/>
        <w:rPr>
          <w:sz w:val="24"/>
          <w:szCs w:val="24"/>
        </w:rPr>
      </w:pPr>
      <w:r w:rsidRPr="00BB006A">
        <w:rPr>
          <w:b/>
          <w:sz w:val="24"/>
          <w:szCs w:val="24"/>
        </w:rPr>
        <w:t>Directora de  Supervisión</w:t>
      </w:r>
    </w:p>
    <w:p w:rsidR="00EE4635" w:rsidRPr="00BB006A" w:rsidRDefault="00EE4635" w:rsidP="00EE4635">
      <w:pPr>
        <w:rPr>
          <w:sz w:val="24"/>
          <w:szCs w:val="24"/>
        </w:rPr>
      </w:pPr>
    </w:p>
    <w:p w:rsidR="00EE4635" w:rsidRPr="00BB006A" w:rsidRDefault="00EE4635" w:rsidP="00EE4635">
      <w:pPr>
        <w:rPr>
          <w:sz w:val="24"/>
          <w:szCs w:val="24"/>
        </w:rPr>
      </w:pPr>
    </w:p>
    <w:p w:rsidR="00EE4635" w:rsidRPr="00BB006A" w:rsidRDefault="00EE4635" w:rsidP="00EE4635">
      <w:pPr>
        <w:rPr>
          <w:sz w:val="24"/>
          <w:szCs w:val="24"/>
        </w:rPr>
      </w:pPr>
    </w:p>
    <w:p w:rsidR="00EE4635" w:rsidRPr="00BB006A" w:rsidRDefault="00EE4635" w:rsidP="00EE4635">
      <w:pPr>
        <w:rPr>
          <w:sz w:val="24"/>
          <w:szCs w:val="24"/>
        </w:rPr>
      </w:pPr>
    </w:p>
    <w:p w:rsidR="00EE4635" w:rsidRDefault="00EE4635" w:rsidP="00EE4635"/>
    <w:p w:rsidR="00747057" w:rsidRPr="00EE4635" w:rsidRDefault="00747057" w:rsidP="00EE4635">
      <w:pPr>
        <w:rPr>
          <w:szCs w:val="24"/>
        </w:rPr>
      </w:pPr>
    </w:p>
    <w:sectPr w:rsidR="00747057" w:rsidRPr="00EE4635" w:rsidSect="00313579">
      <w:headerReference w:type="even" r:id="rId8"/>
      <w:headerReference w:type="default" r:id="rId9"/>
      <w:headerReference w:type="first" r:id="rId10"/>
      <w:pgSz w:w="11906" w:h="16838" w:code="9"/>
      <w:pgMar w:top="1701" w:right="1701" w:bottom="1701" w:left="1701" w:header="680"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CAF" w:rsidRDefault="004A1CAF" w:rsidP="0053798D">
      <w:r>
        <w:separator/>
      </w:r>
    </w:p>
  </w:endnote>
  <w:endnote w:type="continuationSeparator" w:id="1">
    <w:p w:rsidR="004A1CAF" w:rsidRDefault="004A1CAF" w:rsidP="005379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CAF" w:rsidRDefault="004A1CAF" w:rsidP="0053798D">
      <w:r>
        <w:separator/>
      </w:r>
    </w:p>
  </w:footnote>
  <w:footnote w:type="continuationSeparator" w:id="1">
    <w:p w:rsidR="004A1CAF" w:rsidRDefault="004A1CAF" w:rsidP="005379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AF" w:rsidRDefault="004A1CAF">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A1CAF" w:rsidRDefault="004A1CA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AF" w:rsidRDefault="004A1CAF" w:rsidP="00313579">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186F0B">
      <w:rPr>
        <w:rStyle w:val="Nmerodepgina"/>
        <w:noProof/>
        <w:sz w:val="22"/>
        <w:szCs w:val="22"/>
      </w:rPr>
      <w:t>6</w:t>
    </w:r>
    <w:r w:rsidRPr="00271CE5">
      <w:rPr>
        <w:rStyle w:val="Nmerodepgina"/>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CAF" w:rsidRDefault="004A1CAF">
    <w:pPr>
      <w:pStyle w:val="Encabezado"/>
      <w:jc w:val="center"/>
    </w:pPr>
    <w:fldSimple w:instr=" PAGE   \* MERGEFORMAT ">
      <w:r w:rsidR="00186F0B">
        <w:rPr>
          <w:noProof/>
        </w:rPr>
        <w:t>1</w:t>
      </w:r>
    </w:fldSimple>
  </w:p>
  <w:p w:rsidR="004A1CAF" w:rsidRDefault="004A1CA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1C46"/>
    <w:multiLevelType w:val="hybridMultilevel"/>
    <w:tmpl w:val="DBD2C638"/>
    <w:lvl w:ilvl="0" w:tplc="EF04301E">
      <w:numFmt w:val="bullet"/>
      <w:lvlText w:val="-"/>
      <w:lvlJc w:val="left"/>
      <w:pPr>
        <w:ind w:left="720" w:hanging="360"/>
      </w:pPr>
      <w:rPr>
        <w:rFonts w:ascii="Times New Roman" w:eastAsia="MS Mincho"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91152C4"/>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F1E7C61"/>
    <w:multiLevelType w:val="hybridMultilevel"/>
    <w:tmpl w:val="72103726"/>
    <w:lvl w:ilvl="0" w:tplc="45425904">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nsid w:val="1F3D1C0C"/>
    <w:multiLevelType w:val="multilevel"/>
    <w:tmpl w:val="077EC514"/>
    <w:lvl w:ilvl="0">
      <w:start w:val="1"/>
      <w:numFmt w:val="decimal"/>
      <w:lvlText w:val="%1."/>
      <w:lvlJc w:val="left"/>
      <w:pPr>
        <w:ind w:left="720" w:hanging="360"/>
      </w:pPr>
      <w:rPr>
        <w:rFonts w:hint="default"/>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3176771"/>
    <w:multiLevelType w:val="hybridMultilevel"/>
    <w:tmpl w:val="06F67484"/>
    <w:lvl w:ilvl="0" w:tplc="845AE8A0">
      <w:start w:val="1"/>
      <w:numFmt w:val="bullet"/>
      <w:lvlText w:val="-"/>
      <w:lvlJc w:val="left"/>
      <w:pPr>
        <w:ind w:left="720" w:hanging="360"/>
      </w:pPr>
      <w:rPr>
        <w:rFonts w:ascii="Times New Roman" w:eastAsia="MS Mincho"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F90678D"/>
    <w:multiLevelType w:val="hybridMultilevel"/>
    <w:tmpl w:val="BBC6485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34223505"/>
    <w:multiLevelType w:val="hybridMultilevel"/>
    <w:tmpl w:val="A11C5806"/>
    <w:lvl w:ilvl="0" w:tplc="2D509DFE">
      <w:start w:val="3"/>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8">
    <w:nsid w:val="3D6B7B24"/>
    <w:multiLevelType w:val="hybridMultilevel"/>
    <w:tmpl w:val="F0B28CE6"/>
    <w:lvl w:ilvl="0" w:tplc="2D509DF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48941902"/>
    <w:multiLevelType w:val="hybridMultilevel"/>
    <w:tmpl w:val="2D98B090"/>
    <w:lvl w:ilvl="0" w:tplc="280A000B">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0">
    <w:nsid w:val="489C53AF"/>
    <w:multiLevelType w:val="multilevel"/>
    <w:tmpl w:val="AB38EE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2F6467"/>
    <w:multiLevelType w:val="hybridMultilevel"/>
    <w:tmpl w:val="37A407A0"/>
    <w:lvl w:ilvl="0" w:tplc="BE2413BE">
      <w:start w:val="1"/>
      <w:numFmt w:val="decimal"/>
      <w:lvlText w:val="%1)"/>
      <w:lvlJc w:val="left"/>
      <w:pPr>
        <w:ind w:left="1440" w:hanging="360"/>
      </w:pPr>
      <w:rPr>
        <w:rFonts w:hint="default"/>
        <w:b/>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2">
    <w:nsid w:val="4D36554C"/>
    <w:multiLevelType w:val="multilevel"/>
    <w:tmpl w:val="5BB0FE2C"/>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3">
    <w:nsid w:val="5C7F4890"/>
    <w:multiLevelType w:val="multilevel"/>
    <w:tmpl w:val="D19E1166"/>
    <w:lvl w:ilvl="0">
      <w:start w:val="5"/>
      <w:numFmt w:val="none"/>
      <w:lvlText w:val="4."/>
      <w:lvlJc w:val="left"/>
      <w:pPr>
        <w:ind w:left="360" w:hanging="360"/>
      </w:pPr>
    </w:lvl>
    <w:lvl w:ilvl="1">
      <w:start w:val="1"/>
      <w:numFmt w:val="decimal"/>
      <w:lvlText w:val="%14.%2."/>
      <w:lvlJc w:val="left"/>
      <w:pPr>
        <w:ind w:left="502"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A766CC7"/>
    <w:multiLevelType w:val="multilevel"/>
    <w:tmpl w:val="B644D5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B6A1C25"/>
    <w:multiLevelType w:val="hybridMultilevel"/>
    <w:tmpl w:val="3AB820BC"/>
    <w:lvl w:ilvl="0" w:tplc="1D84BBBA">
      <w:start w:val="1"/>
      <w:numFmt w:val="decimal"/>
      <w:lvlText w:val="%1)"/>
      <w:lvlJc w:val="left"/>
      <w:pPr>
        <w:ind w:left="1440" w:hanging="360"/>
      </w:pPr>
      <w:rPr>
        <w:rFonts w:hint="default"/>
        <w:b w:val="0"/>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6">
    <w:nsid w:val="6E992D33"/>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7">
    <w:nsid w:val="71470589"/>
    <w:multiLevelType w:val="hybridMultilevel"/>
    <w:tmpl w:val="F45AB8D2"/>
    <w:lvl w:ilvl="0" w:tplc="BEB6CBAA">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7C4B1389"/>
    <w:multiLevelType w:val="hybridMultilevel"/>
    <w:tmpl w:val="D286E032"/>
    <w:lvl w:ilvl="0" w:tplc="280A000B">
      <w:start w:val="1"/>
      <w:numFmt w:val="bullet"/>
      <w:lvlText w:val=""/>
      <w:lvlJc w:val="left"/>
      <w:pPr>
        <w:ind w:left="1332" w:hanging="360"/>
      </w:pPr>
      <w:rPr>
        <w:rFonts w:ascii="Wingdings" w:hAnsi="Wingdings" w:hint="default"/>
      </w:rPr>
    </w:lvl>
    <w:lvl w:ilvl="1" w:tplc="280A0003" w:tentative="1">
      <w:start w:val="1"/>
      <w:numFmt w:val="bullet"/>
      <w:lvlText w:val="o"/>
      <w:lvlJc w:val="left"/>
      <w:pPr>
        <w:ind w:left="2052" w:hanging="360"/>
      </w:pPr>
      <w:rPr>
        <w:rFonts w:ascii="Courier New" w:hAnsi="Courier New" w:cs="Courier New" w:hint="default"/>
      </w:rPr>
    </w:lvl>
    <w:lvl w:ilvl="2" w:tplc="280A0005" w:tentative="1">
      <w:start w:val="1"/>
      <w:numFmt w:val="bullet"/>
      <w:lvlText w:val=""/>
      <w:lvlJc w:val="left"/>
      <w:pPr>
        <w:ind w:left="2772" w:hanging="360"/>
      </w:pPr>
      <w:rPr>
        <w:rFonts w:ascii="Wingdings" w:hAnsi="Wingdings" w:hint="default"/>
      </w:rPr>
    </w:lvl>
    <w:lvl w:ilvl="3" w:tplc="280A0001" w:tentative="1">
      <w:start w:val="1"/>
      <w:numFmt w:val="bullet"/>
      <w:lvlText w:val=""/>
      <w:lvlJc w:val="left"/>
      <w:pPr>
        <w:ind w:left="3492" w:hanging="360"/>
      </w:pPr>
      <w:rPr>
        <w:rFonts w:ascii="Symbol" w:hAnsi="Symbol" w:hint="default"/>
      </w:rPr>
    </w:lvl>
    <w:lvl w:ilvl="4" w:tplc="280A0003" w:tentative="1">
      <w:start w:val="1"/>
      <w:numFmt w:val="bullet"/>
      <w:lvlText w:val="o"/>
      <w:lvlJc w:val="left"/>
      <w:pPr>
        <w:ind w:left="4212" w:hanging="360"/>
      </w:pPr>
      <w:rPr>
        <w:rFonts w:ascii="Courier New" w:hAnsi="Courier New" w:cs="Courier New" w:hint="default"/>
      </w:rPr>
    </w:lvl>
    <w:lvl w:ilvl="5" w:tplc="280A0005" w:tentative="1">
      <w:start w:val="1"/>
      <w:numFmt w:val="bullet"/>
      <w:lvlText w:val=""/>
      <w:lvlJc w:val="left"/>
      <w:pPr>
        <w:ind w:left="4932" w:hanging="360"/>
      </w:pPr>
      <w:rPr>
        <w:rFonts w:ascii="Wingdings" w:hAnsi="Wingdings" w:hint="default"/>
      </w:rPr>
    </w:lvl>
    <w:lvl w:ilvl="6" w:tplc="280A0001" w:tentative="1">
      <w:start w:val="1"/>
      <w:numFmt w:val="bullet"/>
      <w:lvlText w:val=""/>
      <w:lvlJc w:val="left"/>
      <w:pPr>
        <w:ind w:left="5652" w:hanging="360"/>
      </w:pPr>
      <w:rPr>
        <w:rFonts w:ascii="Symbol" w:hAnsi="Symbol" w:hint="default"/>
      </w:rPr>
    </w:lvl>
    <w:lvl w:ilvl="7" w:tplc="280A0003" w:tentative="1">
      <w:start w:val="1"/>
      <w:numFmt w:val="bullet"/>
      <w:lvlText w:val="o"/>
      <w:lvlJc w:val="left"/>
      <w:pPr>
        <w:ind w:left="6372" w:hanging="360"/>
      </w:pPr>
      <w:rPr>
        <w:rFonts w:ascii="Courier New" w:hAnsi="Courier New" w:cs="Courier New" w:hint="default"/>
      </w:rPr>
    </w:lvl>
    <w:lvl w:ilvl="8" w:tplc="280A0005" w:tentative="1">
      <w:start w:val="1"/>
      <w:numFmt w:val="bullet"/>
      <w:lvlText w:val=""/>
      <w:lvlJc w:val="left"/>
      <w:pPr>
        <w:ind w:left="7092" w:hanging="360"/>
      </w:pPr>
      <w:rPr>
        <w:rFonts w:ascii="Wingdings" w:hAnsi="Wingdings" w:hint="default"/>
      </w:rPr>
    </w:lvl>
  </w:abstractNum>
  <w:num w:numId="1">
    <w:abstractNumId w:val="1"/>
  </w:num>
  <w:num w:numId="2">
    <w:abstractNumId w:val="13"/>
  </w:num>
  <w:num w:numId="3">
    <w:abstractNumId w:val="10"/>
  </w:num>
  <w:num w:numId="4">
    <w:abstractNumId w:val="17"/>
  </w:num>
  <w:num w:numId="5">
    <w:abstractNumId w:val="8"/>
  </w:num>
  <w:num w:numId="6">
    <w:abstractNumId w:val="2"/>
  </w:num>
  <w:num w:numId="7">
    <w:abstractNumId w:val="15"/>
  </w:num>
  <w:num w:numId="8">
    <w:abstractNumId w:val="11"/>
  </w:num>
  <w:num w:numId="9">
    <w:abstractNumId w:val="0"/>
  </w:num>
  <w:num w:numId="10">
    <w:abstractNumId w:val="12"/>
  </w:num>
  <w:num w:numId="11">
    <w:abstractNumId w:val="5"/>
  </w:num>
  <w:num w:numId="12">
    <w:abstractNumId w:val="9"/>
  </w:num>
  <w:num w:numId="13">
    <w:abstractNumId w:val="18"/>
  </w:num>
  <w:num w:numId="14">
    <w:abstractNumId w:val="7"/>
  </w:num>
  <w:num w:numId="15">
    <w:abstractNumId w:val="16"/>
  </w:num>
  <w:num w:numId="16">
    <w:abstractNumId w:val="14"/>
  </w:num>
  <w:num w:numId="17">
    <w:abstractNumId w:val="3"/>
  </w:num>
  <w:num w:numId="18">
    <w:abstractNumId w:val="4"/>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0"/>
    <w:footnote w:id="1"/>
  </w:footnotePr>
  <w:endnotePr>
    <w:endnote w:id="0"/>
    <w:endnote w:id="1"/>
  </w:endnotePr>
  <w:compat/>
  <w:rsids>
    <w:rsidRoot w:val="005A5536"/>
    <w:rsid w:val="00051546"/>
    <w:rsid w:val="000B119E"/>
    <w:rsid w:val="000B6593"/>
    <w:rsid w:val="000E2838"/>
    <w:rsid w:val="000F51C8"/>
    <w:rsid w:val="000F56C2"/>
    <w:rsid w:val="00110C72"/>
    <w:rsid w:val="0011726A"/>
    <w:rsid w:val="0014796C"/>
    <w:rsid w:val="00181EE5"/>
    <w:rsid w:val="00186F0B"/>
    <w:rsid w:val="001D689B"/>
    <w:rsid w:val="00223618"/>
    <w:rsid w:val="00287735"/>
    <w:rsid w:val="00292948"/>
    <w:rsid w:val="00300089"/>
    <w:rsid w:val="00313579"/>
    <w:rsid w:val="003D1465"/>
    <w:rsid w:val="003F6ED3"/>
    <w:rsid w:val="00420579"/>
    <w:rsid w:val="004251F7"/>
    <w:rsid w:val="00440415"/>
    <w:rsid w:val="004432F5"/>
    <w:rsid w:val="00450998"/>
    <w:rsid w:val="00457AB8"/>
    <w:rsid w:val="004A1CAF"/>
    <w:rsid w:val="004C631E"/>
    <w:rsid w:val="004D430C"/>
    <w:rsid w:val="004D5B26"/>
    <w:rsid w:val="004D6C81"/>
    <w:rsid w:val="004F525D"/>
    <w:rsid w:val="00500273"/>
    <w:rsid w:val="005219EC"/>
    <w:rsid w:val="0053798D"/>
    <w:rsid w:val="00560F67"/>
    <w:rsid w:val="0057442F"/>
    <w:rsid w:val="005A5536"/>
    <w:rsid w:val="005A684E"/>
    <w:rsid w:val="005C1E0A"/>
    <w:rsid w:val="005C2630"/>
    <w:rsid w:val="005D28F5"/>
    <w:rsid w:val="005F3DAB"/>
    <w:rsid w:val="006244E0"/>
    <w:rsid w:val="00686686"/>
    <w:rsid w:val="006B1E2D"/>
    <w:rsid w:val="006D0247"/>
    <w:rsid w:val="006D4A10"/>
    <w:rsid w:val="006F26F5"/>
    <w:rsid w:val="006F3750"/>
    <w:rsid w:val="0074211B"/>
    <w:rsid w:val="00747057"/>
    <w:rsid w:val="00751795"/>
    <w:rsid w:val="00787846"/>
    <w:rsid w:val="007B308A"/>
    <w:rsid w:val="007D3472"/>
    <w:rsid w:val="007E0411"/>
    <w:rsid w:val="00827D59"/>
    <w:rsid w:val="00857C5D"/>
    <w:rsid w:val="008950AB"/>
    <w:rsid w:val="008F26E4"/>
    <w:rsid w:val="0092506E"/>
    <w:rsid w:val="009526C1"/>
    <w:rsid w:val="00965E21"/>
    <w:rsid w:val="009962F1"/>
    <w:rsid w:val="009F6363"/>
    <w:rsid w:val="00A33284"/>
    <w:rsid w:val="00A61D35"/>
    <w:rsid w:val="00A71ABB"/>
    <w:rsid w:val="00A90F6E"/>
    <w:rsid w:val="00A9196B"/>
    <w:rsid w:val="00A94978"/>
    <w:rsid w:val="00B02E62"/>
    <w:rsid w:val="00B4196A"/>
    <w:rsid w:val="00B50FBD"/>
    <w:rsid w:val="00B62F4A"/>
    <w:rsid w:val="00B853B8"/>
    <w:rsid w:val="00BB006A"/>
    <w:rsid w:val="00BC128C"/>
    <w:rsid w:val="00BC74A4"/>
    <w:rsid w:val="00C2584A"/>
    <w:rsid w:val="00C84812"/>
    <w:rsid w:val="00CA2E31"/>
    <w:rsid w:val="00CC0665"/>
    <w:rsid w:val="00CF1248"/>
    <w:rsid w:val="00D3046C"/>
    <w:rsid w:val="00D5607F"/>
    <w:rsid w:val="00D70343"/>
    <w:rsid w:val="00D76E56"/>
    <w:rsid w:val="00DB0D0C"/>
    <w:rsid w:val="00DC4BAC"/>
    <w:rsid w:val="00DE4A04"/>
    <w:rsid w:val="00DF43D7"/>
    <w:rsid w:val="00E11DF7"/>
    <w:rsid w:val="00E5674B"/>
    <w:rsid w:val="00EA71FE"/>
    <w:rsid w:val="00EC188E"/>
    <w:rsid w:val="00EE4635"/>
    <w:rsid w:val="00F00C8A"/>
    <w:rsid w:val="00F20588"/>
    <w:rsid w:val="00F3080A"/>
    <w:rsid w:val="00F427A8"/>
    <w:rsid w:val="00F5688A"/>
    <w:rsid w:val="00FF765B"/>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536"/>
    <w:pPr>
      <w:spacing w:after="0" w:line="240" w:lineRule="auto"/>
    </w:pPr>
    <w:rPr>
      <w:rFonts w:ascii="Times New Roman" w:eastAsia="Times New Roman" w:hAnsi="Times New Roman" w:cs="Times New Roman"/>
      <w:sz w:val="20"/>
      <w:szCs w:val="20"/>
      <w:lang w:val="es-PE"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5A5536"/>
    <w:rPr>
      <w:sz w:val="24"/>
      <w:lang w:val="es-MX"/>
    </w:rPr>
  </w:style>
  <w:style w:type="paragraph" w:customStyle="1" w:styleId="WW-Sangra3detindependiente">
    <w:name w:val="WW-Sangría 3 de t. independiente"/>
    <w:basedOn w:val="Normal"/>
    <w:rsid w:val="005A5536"/>
    <w:pPr>
      <w:widowControl w:val="0"/>
      <w:suppressAutoHyphens/>
      <w:ind w:left="426" w:firstLine="1"/>
      <w:jc w:val="both"/>
    </w:pPr>
    <w:rPr>
      <w:sz w:val="24"/>
      <w:lang w:val="es-ES_tradnl"/>
    </w:rPr>
  </w:style>
  <w:style w:type="paragraph" w:styleId="Encabezado">
    <w:name w:val="header"/>
    <w:aliases w:val="encabezado,Encabezado Car Car Car Car,Encabezado Car Car,maria,h"/>
    <w:basedOn w:val="Normal"/>
    <w:link w:val="EncabezadoCar"/>
    <w:uiPriority w:val="99"/>
    <w:rsid w:val="005A5536"/>
    <w:pPr>
      <w:tabs>
        <w:tab w:val="center" w:pos="4252"/>
        <w:tab w:val="right" w:pos="8504"/>
      </w:tabs>
    </w:pPr>
    <w:rPr>
      <w:lang w:val="es-ES"/>
    </w:rPr>
  </w:style>
  <w:style w:type="character" w:customStyle="1" w:styleId="EncabezadoCar">
    <w:name w:val="Encabezado Car"/>
    <w:aliases w:val="encabezado Car,Encabezado Car Car Car Car Car,Encabezado Car Car Car,maria Car,h Car"/>
    <w:basedOn w:val="Fuentedeprrafopredeter"/>
    <w:link w:val="Encabezado"/>
    <w:uiPriority w:val="99"/>
    <w:rsid w:val="005A5536"/>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5A5536"/>
  </w:style>
  <w:style w:type="character" w:customStyle="1" w:styleId="NormaltimesCar">
    <w:name w:val="Normal+times Car"/>
    <w:link w:val="Normaltimes"/>
    <w:rsid w:val="005A5536"/>
    <w:rPr>
      <w:rFonts w:ascii="Times New Roman" w:eastAsia="Times New Roman" w:hAnsi="Times New Roman" w:cs="Times New Roman"/>
      <w:sz w:val="24"/>
      <w:szCs w:val="20"/>
      <w:lang w:eastAsia="es-MX"/>
    </w:rPr>
  </w:style>
  <w:style w:type="paragraph" w:styleId="Prrafodelista">
    <w:name w:val="List Paragraph"/>
    <w:aliases w:val="Titulo de Fígura,TITULO A,TITULO,Imagen 01.,Titulo parrafo,Punto,Cuadro 2-1,Conclusiones,Párrafo de lista1,Iz - Párrafo de lista,Sivsa Parrafo"/>
    <w:basedOn w:val="Normal"/>
    <w:link w:val="PrrafodelistaCar"/>
    <w:uiPriority w:val="34"/>
    <w:qFormat/>
    <w:rsid w:val="005A5536"/>
    <w:pPr>
      <w:ind w:left="708"/>
    </w:pPr>
    <w:rPr>
      <w:lang w:val="es-ES"/>
    </w:rPr>
  </w:style>
  <w:style w:type="character" w:customStyle="1" w:styleId="PrrafodelistaCar">
    <w:name w:val="Párrafo de lista Car"/>
    <w:aliases w:val="Titulo de Fígura Car,TITULO A Car,TITULO Car,Imagen 01. Car,Titulo parrafo Car,Punto Car,Cuadro 2-1 Car,Conclusiones Car,Párrafo de lista1 Car,Iz - Párrafo de lista Car,Sivsa Parrafo Car,Lista vistosa - Énfasis 1 Car"/>
    <w:link w:val="Prrafodelista"/>
    <w:uiPriority w:val="34"/>
    <w:locked/>
    <w:rsid w:val="005A5536"/>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uiPriority w:val="99"/>
    <w:unhideWhenUsed/>
    <w:rsid w:val="005A5536"/>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5A5536"/>
    <w:rPr>
      <w:rFonts w:ascii="Times New Roman" w:eastAsia="Times New Roman" w:hAnsi="Times New Roman" w:cs="Times New Roman"/>
      <w:sz w:val="24"/>
      <w:szCs w:val="24"/>
      <w:lang w:eastAsia="es-MX"/>
    </w:rPr>
  </w:style>
  <w:style w:type="paragraph" w:customStyle="1" w:styleId="WW-Textoindependiente2">
    <w:name w:val="WW-Texto independiente 2"/>
    <w:basedOn w:val="Normal"/>
    <w:rsid w:val="005A5536"/>
    <w:pPr>
      <w:widowControl w:val="0"/>
      <w:suppressAutoHyphens/>
      <w:jc w:val="both"/>
    </w:pPr>
    <w:rPr>
      <w:rFonts w:ascii="Arial" w:eastAsia="MS Mincho" w:hAnsi="Arial"/>
      <w:sz w:val="24"/>
      <w:lang w:val="es-ES_tradnl" w:eastAsia="es-PE"/>
    </w:rPr>
  </w:style>
  <w:style w:type="paragraph" w:styleId="Textoindependiente">
    <w:name w:val="Body Text"/>
    <w:basedOn w:val="Normal"/>
    <w:link w:val="TextoindependienteCar"/>
    <w:uiPriority w:val="99"/>
    <w:semiHidden/>
    <w:unhideWhenUsed/>
    <w:rsid w:val="005A5536"/>
    <w:pPr>
      <w:spacing w:after="120"/>
    </w:pPr>
  </w:style>
  <w:style w:type="character" w:customStyle="1" w:styleId="TextoindependienteCar">
    <w:name w:val="Texto independiente Car"/>
    <w:basedOn w:val="Fuentedeprrafopredeter"/>
    <w:link w:val="Textoindependiente"/>
    <w:uiPriority w:val="99"/>
    <w:semiHidden/>
    <w:rsid w:val="005A5536"/>
    <w:rPr>
      <w:rFonts w:ascii="Times New Roman" w:eastAsia="Times New Roman" w:hAnsi="Times New Roman" w:cs="Times New Roman"/>
      <w:sz w:val="20"/>
      <w:szCs w:val="20"/>
      <w:lang w:val="es-PE" w:eastAsia="es-MX"/>
    </w:rPr>
  </w:style>
  <w:style w:type="character" w:styleId="Refdenotaalpie">
    <w:name w:val="footnote reference"/>
    <w:aliases w:val="16 Point,Superscript 6 Point,FC,referencia nota al pie,CVR Ref. de nota al pie"/>
    <w:rsid w:val="006D0247"/>
    <w:rPr>
      <w:vertAlign w:val="superscript"/>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nhideWhenUsed/>
    <w:rsid w:val="006D0247"/>
    <w:rPr>
      <w:lang w:val="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6D0247"/>
    <w:rPr>
      <w:rFonts w:ascii="Times New Roman" w:eastAsia="Times New Roman" w:hAnsi="Times New Roman" w:cs="Times New Roman"/>
      <w:sz w:val="20"/>
      <w:szCs w:val="20"/>
      <w:lang w:eastAsia="es-MX"/>
    </w:rPr>
  </w:style>
  <w:style w:type="character" w:styleId="Hipervnculo">
    <w:name w:val="Hyperlink"/>
    <w:uiPriority w:val="99"/>
    <w:unhideWhenUsed/>
    <w:rsid w:val="0092506E"/>
    <w:rPr>
      <w:color w:val="0000FF"/>
      <w:u w:val="single"/>
    </w:rPr>
  </w:style>
  <w:style w:type="paragraph" w:styleId="Sinespaciado">
    <w:name w:val="No Spacing"/>
    <w:link w:val="SinespaciadoCar"/>
    <w:uiPriority w:val="1"/>
    <w:qFormat/>
    <w:rsid w:val="006B1E2D"/>
    <w:pPr>
      <w:spacing w:after="0" w:line="240" w:lineRule="auto"/>
    </w:pPr>
    <w:rPr>
      <w:rFonts w:ascii="Calibri" w:eastAsia="Calibri" w:hAnsi="Calibri" w:cs="Times New Roman"/>
      <w:lang w:val="es-PE"/>
    </w:rPr>
  </w:style>
  <w:style w:type="character" w:customStyle="1" w:styleId="SinespaciadoCar">
    <w:name w:val="Sin espaciado Car"/>
    <w:link w:val="Sinespaciado"/>
    <w:uiPriority w:val="1"/>
    <w:rsid w:val="006B1E2D"/>
    <w:rPr>
      <w:rFonts w:ascii="Calibri" w:eastAsia="Calibri" w:hAnsi="Calibri" w:cs="Times New Roman"/>
      <w:lang w:val="es-P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A2AD9-3AD5-4957-AA9E-8DC64A37D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6</Pages>
  <Words>2410</Words>
  <Characters>13255</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juscamayta</cp:lastModifiedBy>
  <cp:revision>23</cp:revision>
  <cp:lastPrinted>2015-10-21T00:44:00Z</cp:lastPrinted>
  <dcterms:created xsi:type="dcterms:W3CDTF">2015-10-19T16:49:00Z</dcterms:created>
  <dcterms:modified xsi:type="dcterms:W3CDTF">2015-10-21T01:15:00Z</dcterms:modified>
</cp:coreProperties>
</file>