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8B3" w:rsidRPr="008003E3" w:rsidRDefault="004058B3" w:rsidP="004058B3">
      <w:pPr>
        <w:widowControl w:val="0"/>
        <w:jc w:val="center"/>
        <w:rPr>
          <w:b/>
          <w:u w:val="single"/>
        </w:rPr>
      </w:pPr>
      <w:r w:rsidRPr="008003E3">
        <w:rPr>
          <w:b/>
          <w:u w:val="single"/>
        </w:rPr>
        <w:t>PRONUNCIAMIENTO N°</w:t>
      </w:r>
      <w:r w:rsidR="00DB6C70" w:rsidRPr="008003E3">
        <w:rPr>
          <w:b/>
          <w:u w:val="single"/>
        </w:rPr>
        <w:t xml:space="preserve"> </w:t>
      </w:r>
      <w:r w:rsidR="00E15896">
        <w:rPr>
          <w:b/>
          <w:u w:val="single"/>
        </w:rPr>
        <w:t>1374</w:t>
      </w:r>
      <w:r w:rsidRPr="008003E3">
        <w:rPr>
          <w:b/>
          <w:u w:val="single"/>
        </w:rPr>
        <w:t>-201</w:t>
      </w:r>
      <w:r w:rsidR="00D01513" w:rsidRPr="008003E3">
        <w:rPr>
          <w:b/>
          <w:u w:val="single"/>
        </w:rPr>
        <w:t>5</w:t>
      </w:r>
      <w:r w:rsidRPr="008003E3">
        <w:rPr>
          <w:b/>
          <w:u w:val="single"/>
        </w:rPr>
        <w:t>/</w:t>
      </w:r>
      <w:proofErr w:type="spellStart"/>
      <w:r w:rsidRPr="008003E3">
        <w:rPr>
          <w:b/>
          <w:u w:val="single"/>
        </w:rPr>
        <w:t>DSU</w:t>
      </w:r>
      <w:proofErr w:type="spellEnd"/>
    </w:p>
    <w:p w:rsidR="00963FAE" w:rsidRPr="008003E3" w:rsidRDefault="00963FAE" w:rsidP="004058B3">
      <w:pPr>
        <w:widowControl w:val="0"/>
        <w:tabs>
          <w:tab w:val="left" w:pos="1980"/>
        </w:tabs>
        <w:ind w:left="2880" w:hanging="2880"/>
        <w:jc w:val="both"/>
      </w:pPr>
    </w:p>
    <w:p w:rsidR="004058B3" w:rsidRPr="008003E3" w:rsidRDefault="00521E05" w:rsidP="0029531F">
      <w:pPr>
        <w:widowControl w:val="0"/>
        <w:ind w:left="2835" w:hanging="2835"/>
        <w:jc w:val="both"/>
      </w:pPr>
      <w:r w:rsidRPr="008003E3">
        <w:t>Entidad:</w:t>
      </w:r>
      <w:r w:rsidRPr="008003E3">
        <w:tab/>
      </w:r>
      <w:r w:rsidR="004B4E27" w:rsidRPr="008003E3">
        <w:t>Gobierno Regional de San Martin</w:t>
      </w:r>
      <w:r w:rsidR="0068472F">
        <w:t xml:space="preserve"> </w:t>
      </w:r>
      <w:r w:rsidR="004B4E27" w:rsidRPr="008003E3">
        <w:t>-</w:t>
      </w:r>
      <w:r w:rsidR="0068472F">
        <w:t xml:space="preserve"> </w:t>
      </w:r>
      <w:r w:rsidR="004B4E27" w:rsidRPr="008003E3">
        <w:t>Transportes</w:t>
      </w:r>
    </w:p>
    <w:p w:rsidR="004058B3" w:rsidRPr="008003E3" w:rsidRDefault="004058B3" w:rsidP="00A477FE">
      <w:pPr>
        <w:widowControl w:val="0"/>
        <w:ind w:left="2977" w:hanging="2977"/>
        <w:jc w:val="both"/>
      </w:pPr>
    </w:p>
    <w:p w:rsidR="004058B3" w:rsidRPr="008003E3" w:rsidRDefault="004058B3" w:rsidP="00521E05">
      <w:pPr>
        <w:widowControl w:val="0"/>
        <w:ind w:left="2835" w:hanging="2835"/>
        <w:jc w:val="both"/>
        <w:rPr>
          <w:lang w:val="es-ES_tradnl"/>
        </w:rPr>
      </w:pPr>
      <w:r w:rsidRPr="008003E3">
        <w:t>Referencia:</w:t>
      </w:r>
      <w:r w:rsidRPr="008003E3">
        <w:tab/>
      </w:r>
      <w:r w:rsidR="004B4E27" w:rsidRPr="008003E3">
        <w:rPr>
          <w:lang w:val="es-ES_tradnl"/>
        </w:rPr>
        <w:t>Adjudicación Directa Selectiva N° 19-2015-GRSM-DRTC-1</w:t>
      </w:r>
      <w:r w:rsidR="00521E05" w:rsidRPr="008003E3">
        <w:rPr>
          <w:lang w:val="es-ES_tradnl"/>
        </w:rPr>
        <w:t>, convocad</w:t>
      </w:r>
      <w:r w:rsidR="00BA3928" w:rsidRPr="008003E3">
        <w:rPr>
          <w:lang w:val="es-ES_tradnl"/>
        </w:rPr>
        <w:t>a</w:t>
      </w:r>
      <w:r w:rsidR="00521E05" w:rsidRPr="008003E3">
        <w:rPr>
          <w:lang w:val="es-ES_tradnl"/>
        </w:rPr>
        <w:t xml:space="preserve"> para la “</w:t>
      </w:r>
      <w:r w:rsidR="004B4E27" w:rsidRPr="008003E3">
        <w:rPr>
          <w:lang w:val="es-ES_tradnl"/>
        </w:rPr>
        <w:t xml:space="preserve">Adquisición de repuestos para la excavadora sobre oruga New </w:t>
      </w:r>
      <w:proofErr w:type="spellStart"/>
      <w:r w:rsidR="004B4E27" w:rsidRPr="008003E3">
        <w:rPr>
          <w:lang w:val="es-ES_tradnl"/>
        </w:rPr>
        <w:t>Holland</w:t>
      </w:r>
      <w:proofErr w:type="spellEnd"/>
      <w:r w:rsidR="004B4E27" w:rsidRPr="008003E3">
        <w:rPr>
          <w:lang w:val="es-ES_tradnl"/>
        </w:rPr>
        <w:t xml:space="preserve"> modelo SK210-LC serie N8DA21236.”.</w:t>
      </w:r>
    </w:p>
    <w:p w:rsidR="004058B3" w:rsidRPr="008003E3" w:rsidRDefault="004058B3" w:rsidP="004058B3">
      <w:pPr>
        <w:widowControl w:val="0"/>
        <w:pBdr>
          <w:bottom w:val="single" w:sz="6" w:space="0" w:color="auto"/>
        </w:pBdr>
        <w:jc w:val="both"/>
      </w:pPr>
    </w:p>
    <w:p w:rsidR="004058B3" w:rsidRPr="008003E3" w:rsidRDefault="004058B3" w:rsidP="004058B3">
      <w:pPr>
        <w:widowControl w:val="0"/>
        <w:jc w:val="both"/>
      </w:pPr>
    </w:p>
    <w:p w:rsidR="004058B3" w:rsidRPr="008003E3" w:rsidRDefault="004058B3" w:rsidP="005C3772">
      <w:pPr>
        <w:widowControl w:val="0"/>
        <w:numPr>
          <w:ilvl w:val="0"/>
          <w:numId w:val="2"/>
        </w:numPr>
        <w:tabs>
          <w:tab w:val="clear" w:pos="360"/>
        </w:tabs>
        <w:ind w:left="567" w:hanging="567"/>
        <w:jc w:val="both"/>
        <w:rPr>
          <w:b/>
        </w:rPr>
      </w:pPr>
      <w:r w:rsidRPr="008003E3">
        <w:rPr>
          <w:b/>
        </w:rPr>
        <w:t xml:space="preserve">ANTECEDENTES </w:t>
      </w:r>
    </w:p>
    <w:p w:rsidR="004058B3" w:rsidRPr="008003E3" w:rsidRDefault="004058B3" w:rsidP="004058B3">
      <w:pPr>
        <w:pStyle w:val="WW-Textoindependiente2"/>
        <w:tabs>
          <w:tab w:val="left" w:pos="0"/>
        </w:tabs>
        <w:rPr>
          <w:rFonts w:ascii="Times New Roman" w:hAnsi="Times New Roman"/>
          <w:lang w:eastAsia="es-ES"/>
        </w:rPr>
      </w:pPr>
    </w:p>
    <w:p w:rsidR="00521E05" w:rsidRPr="008003E3" w:rsidRDefault="00521E05" w:rsidP="00521E05">
      <w:pPr>
        <w:pStyle w:val="WW-Textoindependiente2"/>
        <w:tabs>
          <w:tab w:val="left" w:pos="426"/>
        </w:tabs>
        <w:rPr>
          <w:rFonts w:ascii="Times New Roman" w:hAnsi="Times New Roman"/>
          <w:lang w:eastAsia="es-ES"/>
        </w:rPr>
      </w:pPr>
      <w:r w:rsidRPr="008003E3">
        <w:rPr>
          <w:rFonts w:ascii="Times New Roman" w:hAnsi="Times New Roman"/>
          <w:lang w:val="es-PE" w:eastAsia="es-ES"/>
        </w:rPr>
        <w:t xml:space="preserve">Mediante </w:t>
      </w:r>
      <w:r w:rsidR="004B4E27" w:rsidRPr="008003E3">
        <w:rPr>
          <w:rFonts w:ascii="Times New Roman" w:hAnsi="Times New Roman"/>
          <w:lang w:val="es-PE" w:eastAsia="es-ES"/>
        </w:rPr>
        <w:t>el Oficio N° 229-2015-GRSM/</w:t>
      </w:r>
      <w:proofErr w:type="spellStart"/>
      <w:r w:rsidR="004B4E27" w:rsidRPr="008003E3">
        <w:rPr>
          <w:rFonts w:ascii="Times New Roman" w:hAnsi="Times New Roman"/>
          <w:lang w:val="es-PE" w:eastAsia="es-ES"/>
        </w:rPr>
        <w:t>DRTC</w:t>
      </w:r>
      <w:proofErr w:type="spellEnd"/>
      <w:r w:rsidRPr="008003E3">
        <w:rPr>
          <w:rFonts w:ascii="Times New Roman" w:hAnsi="Times New Roman"/>
          <w:lang w:val="es-PE" w:eastAsia="es-ES"/>
        </w:rPr>
        <w:t>, recibido el</w:t>
      </w:r>
      <w:r w:rsidRPr="008003E3">
        <w:rPr>
          <w:rFonts w:ascii="Times New Roman" w:hAnsi="Times New Roman"/>
          <w:lang w:eastAsia="es-ES"/>
        </w:rPr>
        <w:t xml:space="preserve"> </w:t>
      </w:r>
      <w:r w:rsidR="004B4E27" w:rsidRPr="008003E3">
        <w:rPr>
          <w:rFonts w:ascii="Times New Roman" w:hAnsi="Times New Roman"/>
          <w:lang w:eastAsia="es-ES"/>
        </w:rPr>
        <w:t>02</w:t>
      </w:r>
      <w:r w:rsidR="00C151EA" w:rsidRPr="008003E3">
        <w:rPr>
          <w:rFonts w:ascii="Times New Roman" w:hAnsi="Times New Roman"/>
          <w:lang w:eastAsia="es-ES"/>
        </w:rPr>
        <w:t>.</w:t>
      </w:r>
      <w:r w:rsidR="004B4E27" w:rsidRPr="008003E3">
        <w:rPr>
          <w:rFonts w:ascii="Times New Roman" w:hAnsi="Times New Roman"/>
          <w:lang w:eastAsia="es-ES"/>
        </w:rPr>
        <w:t>OCT</w:t>
      </w:r>
      <w:r w:rsidRPr="008003E3">
        <w:rPr>
          <w:rFonts w:ascii="Times New Roman" w:hAnsi="Times New Roman"/>
          <w:lang w:eastAsia="es-ES"/>
        </w:rPr>
        <w:t>.201</w:t>
      </w:r>
      <w:r w:rsidR="00522C99" w:rsidRPr="008003E3">
        <w:rPr>
          <w:rFonts w:ascii="Times New Roman" w:hAnsi="Times New Roman"/>
          <w:lang w:eastAsia="es-ES"/>
        </w:rPr>
        <w:t>5</w:t>
      </w:r>
      <w:r w:rsidRPr="008003E3">
        <w:rPr>
          <w:rFonts w:ascii="Times New Roman" w:hAnsi="Times New Roman"/>
          <w:lang w:eastAsia="es-ES"/>
        </w:rPr>
        <w:t>,</w:t>
      </w:r>
      <w:r w:rsidR="004B4E27" w:rsidRPr="008003E3">
        <w:rPr>
          <w:rFonts w:ascii="Times New Roman" w:hAnsi="Times New Roman"/>
          <w:lang w:eastAsia="es-ES"/>
        </w:rPr>
        <w:t xml:space="preserve"> subsanada a través del Oficio N° 02-2015-GRSM/</w:t>
      </w:r>
      <w:proofErr w:type="spellStart"/>
      <w:r w:rsidR="004B4E27" w:rsidRPr="008003E3">
        <w:rPr>
          <w:rFonts w:ascii="Times New Roman" w:hAnsi="Times New Roman"/>
          <w:lang w:eastAsia="es-ES"/>
        </w:rPr>
        <w:t>DRTC-CEP</w:t>
      </w:r>
      <w:proofErr w:type="spellEnd"/>
      <w:r w:rsidR="004B4E27" w:rsidRPr="008003E3">
        <w:rPr>
          <w:rFonts w:ascii="Times New Roman" w:hAnsi="Times New Roman"/>
          <w:lang w:eastAsia="es-ES"/>
        </w:rPr>
        <w:t xml:space="preserve">, recibido el 13.OCT.2015, </w:t>
      </w:r>
      <w:r w:rsidRPr="008003E3">
        <w:rPr>
          <w:rFonts w:ascii="Times New Roman" w:hAnsi="Times New Roman"/>
          <w:lang w:eastAsia="es-ES"/>
        </w:rPr>
        <w:t>el Presidente del Comité Especial</w:t>
      </w:r>
      <w:r w:rsidR="00A26F08" w:rsidRPr="008003E3">
        <w:rPr>
          <w:rFonts w:ascii="Times New Roman" w:hAnsi="Times New Roman"/>
          <w:lang w:eastAsia="es-ES"/>
        </w:rPr>
        <w:t xml:space="preserve"> encargado del proceso de selección de la referencia,</w:t>
      </w:r>
      <w:r w:rsidRPr="008003E3">
        <w:rPr>
          <w:rFonts w:ascii="Times New Roman" w:hAnsi="Times New Roman"/>
          <w:lang w:eastAsia="es-ES"/>
        </w:rPr>
        <w:t xml:space="preserve"> remitió al Organismo Supervisor de las Contrataciones del Estado (OSCE) </w:t>
      </w:r>
      <w:r w:rsidR="00A26F08" w:rsidRPr="008003E3">
        <w:rPr>
          <w:rFonts w:ascii="Times New Roman" w:hAnsi="Times New Roman"/>
          <w:lang w:eastAsia="es-ES"/>
        </w:rPr>
        <w:t>la</w:t>
      </w:r>
      <w:r w:rsidR="00522C99" w:rsidRPr="008003E3">
        <w:rPr>
          <w:rFonts w:ascii="Times New Roman" w:hAnsi="Times New Roman"/>
          <w:lang w:eastAsia="es-ES"/>
        </w:rPr>
        <w:t xml:space="preserve">s </w:t>
      </w:r>
      <w:r w:rsidR="004B4E27" w:rsidRPr="008003E3">
        <w:rPr>
          <w:rFonts w:ascii="Times New Roman" w:hAnsi="Times New Roman"/>
          <w:lang w:eastAsia="es-ES"/>
        </w:rPr>
        <w:t>ocho</w:t>
      </w:r>
      <w:r w:rsidR="00522C99" w:rsidRPr="008003E3">
        <w:rPr>
          <w:rFonts w:ascii="Times New Roman" w:hAnsi="Times New Roman"/>
          <w:lang w:eastAsia="es-ES"/>
        </w:rPr>
        <w:t xml:space="preserve"> (</w:t>
      </w:r>
      <w:r w:rsidR="004B4E27" w:rsidRPr="008003E3">
        <w:rPr>
          <w:rFonts w:ascii="Times New Roman" w:hAnsi="Times New Roman"/>
          <w:lang w:eastAsia="es-ES"/>
        </w:rPr>
        <w:t>8</w:t>
      </w:r>
      <w:r w:rsidR="00522C99" w:rsidRPr="008003E3">
        <w:rPr>
          <w:rFonts w:ascii="Times New Roman" w:hAnsi="Times New Roman"/>
          <w:lang w:eastAsia="es-ES"/>
        </w:rPr>
        <w:t>)</w:t>
      </w:r>
      <w:r w:rsidR="00BA3928" w:rsidRPr="008003E3">
        <w:rPr>
          <w:rFonts w:ascii="Times New Roman" w:hAnsi="Times New Roman"/>
          <w:lang w:eastAsia="es-ES"/>
        </w:rPr>
        <w:t xml:space="preserve"> </w:t>
      </w:r>
      <w:r w:rsidR="00522C99" w:rsidRPr="008003E3">
        <w:rPr>
          <w:rFonts w:ascii="Times New Roman" w:hAnsi="Times New Roman"/>
          <w:lang w:eastAsia="es-ES"/>
        </w:rPr>
        <w:t>o</w:t>
      </w:r>
      <w:r w:rsidR="00A26F08" w:rsidRPr="008003E3">
        <w:rPr>
          <w:rFonts w:ascii="Times New Roman" w:hAnsi="Times New Roman"/>
          <w:lang w:eastAsia="es-ES"/>
        </w:rPr>
        <w:t>bservación</w:t>
      </w:r>
      <w:r w:rsidR="0029531F" w:rsidRPr="008003E3">
        <w:rPr>
          <w:rFonts w:ascii="Times New Roman" w:hAnsi="Times New Roman"/>
          <w:lang w:eastAsia="es-ES"/>
        </w:rPr>
        <w:t xml:space="preserve"> </w:t>
      </w:r>
      <w:r w:rsidR="00A26F08" w:rsidRPr="008003E3">
        <w:rPr>
          <w:rFonts w:ascii="Times New Roman" w:hAnsi="Times New Roman"/>
          <w:lang w:eastAsia="es-ES"/>
        </w:rPr>
        <w:t>formulada</w:t>
      </w:r>
      <w:r w:rsidR="00522C99" w:rsidRPr="008003E3">
        <w:rPr>
          <w:rFonts w:ascii="Times New Roman" w:hAnsi="Times New Roman"/>
          <w:lang w:eastAsia="es-ES"/>
        </w:rPr>
        <w:t>s</w:t>
      </w:r>
      <w:r w:rsidRPr="008003E3">
        <w:rPr>
          <w:rFonts w:ascii="Times New Roman" w:hAnsi="Times New Roman"/>
          <w:lang w:eastAsia="es-ES"/>
        </w:rPr>
        <w:t xml:space="preserve"> por el participante </w:t>
      </w:r>
      <w:proofErr w:type="spellStart"/>
      <w:r w:rsidR="004B4E27" w:rsidRPr="008003E3">
        <w:rPr>
          <w:rFonts w:ascii="Times New Roman" w:hAnsi="Times New Roman"/>
          <w:b/>
          <w:lang w:eastAsia="es-ES"/>
        </w:rPr>
        <w:t>GEWALT</w:t>
      </w:r>
      <w:proofErr w:type="spellEnd"/>
      <w:r w:rsidR="004B4E27" w:rsidRPr="008003E3">
        <w:rPr>
          <w:rFonts w:ascii="Times New Roman" w:hAnsi="Times New Roman"/>
          <w:b/>
          <w:lang w:eastAsia="es-ES"/>
        </w:rPr>
        <w:t xml:space="preserve"> </w:t>
      </w:r>
      <w:proofErr w:type="spellStart"/>
      <w:r w:rsidR="004B4E27" w:rsidRPr="008003E3">
        <w:rPr>
          <w:rFonts w:ascii="Times New Roman" w:hAnsi="Times New Roman"/>
          <w:b/>
          <w:lang w:eastAsia="es-ES"/>
        </w:rPr>
        <w:t>PERU</w:t>
      </w:r>
      <w:proofErr w:type="spellEnd"/>
      <w:r w:rsidR="004B4E27" w:rsidRPr="008003E3">
        <w:rPr>
          <w:rFonts w:ascii="Times New Roman" w:hAnsi="Times New Roman"/>
          <w:b/>
          <w:lang w:eastAsia="es-ES"/>
        </w:rPr>
        <w:t xml:space="preserve"> </w:t>
      </w:r>
      <w:proofErr w:type="spellStart"/>
      <w:r w:rsidR="004B4E27" w:rsidRPr="008003E3">
        <w:rPr>
          <w:rFonts w:ascii="Times New Roman" w:hAnsi="Times New Roman"/>
          <w:b/>
          <w:lang w:eastAsia="es-ES"/>
        </w:rPr>
        <w:t>SAC</w:t>
      </w:r>
      <w:proofErr w:type="spellEnd"/>
      <w:r w:rsidR="00AD5902" w:rsidRPr="008003E3">
        <w:rPr>
          <w:rFonts w:ascii="Times New Roman" w:hAnsi="Times New Roman"/>
          <w:b/>
          <w:lang w:eastAsia="es-ES"/>
        </w:rPr>
        <w:t>,</w:t>
      </w:r>
      <w:r w:rsidRPr="008003E3">
        <w:rPr>
          <w:rFonts w:ascii="Times New Roman" w:hAnsi="Times New Roman"/>
          <w:lang w:eastAsia="es-ES"/>
        </w:rPr>
        <w:t xml:space="preserve"> así como el Informe Técnico respectivo, </w:t>
      </w:r>
      <w:r w:rsidRPr="008003E3">
        <w:rPr>
          <w:rFonts w:ascii="Times New Roman" w:hAnsi="Times New Roman"/>
          <w:lang w:val="es-MX" w:eastAsia="es-ES"/>
        </w:rPr>
        <w:t xml:space="preserve">en cumplimiento de lo dispuesto por el artículo 28 del Decreto Legislativo Nº 1017, </w:t>
      </w:r>
      <w:r w:rsidRPr="008003E3">
        <w:rPr>
          <w:rFonts w:ascii="Times New Roman" w:hAnsi="Times New Roman"/>
          <w:lang w:eastAsia="es-ES"/>
        </w:rPr>
        <w:t xml:space="preserve">que aprueba </w:t>
      </w:r>
      <w:smartTag w:uri="urn:schemas-microsoft-com:office:smarttags" w:element="PersonName">
        <w:smartTagPr>
          <w:attr w:name="ProductID" w:val="la Ley"/>
        </w:smartTagPr>
        <w:r w:rsidRPr="008003E3">
          <w:rPr>
            <w:rFonts w:ascii="Times New Roman" w:hAnsi="Times New Roman"/>
            <w:lang w:eastAsia="es-ES"/>
          </w:rPr>
          <w:t>la Ley</w:t>
        </w:r>
      </w:smartTag>
      <w:r w:rsidRPr="008003E3">
        <w:rPr>
          <w:rFonts w:ascii="Times New Roman" w:hAnsi="Times New Roman"/>
          <w:lang w:eastAsia="es-ES"/>
        </w:rPr>
        <w:t xml:space="preserve"> de Contrataciones del Estado, en adelante la "Ley", y el artículo 58 de su Reglamento, aprobado por Decreto Supremo Nº 184-2008-EF, en adelante el "Reglamento". </w:t>
      </w:r>
    </w:p>
    <w:p w:rsidR="009F1F0D" w:rsidRPr="008003E3" w:rsidRDefault="009F1F0D" w:rsidP="009F1F0D">
      <w:pPr>
        <w:pStyle w:val="WW-Textoindependiente2"/>
        <w:tabs>
          <w:tab w:val="left" w:pos="0"/>
        </w:tabs>
        <w:rPr>
          <w:rFonts w:ascii="Times New Roman" w:hAnsi="Times New Roman"/>
          <w:lang w:eastAsia="es-ES"/>
        </w:rPr>
      </w:pPr>
    </w:p>
    <w:p w:rsidR="00522C99" w:rsidRPr="008003E3" w:rsidRDefault="00522C99" w:rsidP="00522C99">
      <w:pPr>
        <w:pStyle w:val="WW-Sangra3detindependiente"/>
        <w:suppressAutoHyphens w:val="0"/>
        <w:ind w:left="1"/>
      </w:pPr>
      <w:r w:rsidRPr="008003E3">
        <w:t>Al respecto, resulta importante resaltar que, atendiendo a lo dispuesto por el artículo 58º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este último manifieste que considera tal acogimiento contrario a la normativa; siempre que el solicitante se haya registrado como participante hasta el vencimiento del plazo previsto para formular observaciones.</w:t>
      </w:r>
    </w:p>
    <w:p w:rsidR="00522C99" w:rsidRPr="008003E3" w:rsidRDefault="00522C99" w:rsidP="00522C99">
      <w:pPr>
        <w:pStyle w:val="WW-Sangra3detindependiente"/>
        <w:suppressAutoHyphens w:val="0"/>
        <w:ind w:left="1"/>
      </w:pPr>
    </w:p>
    <w:p w:rsidR="00522C99" w:rsidRPr="008003E3" w:rsidRDefault="00522C99" w:rsidP="00522C99">
      <w:pPr>
        <w:pStyle w:val="WW-Textoindependiente2"/>
        <w:tabs>
          <w:tab w:val="left" w:pos="426"/>
        </w:tabs>
        <w:rPr>
          <w:rFonts w:ascii="Times New Roman" w:hAnsi="Times New Roman"/>
          <w:lang w:val="es-PE" w:eastAsia="es-ES"/>
        </w:rPr>
      </w:pPr>
      <w:r w:rsidRPr="008003E3">
        <w:rPr>
          <w:rFonts w:ascii="Times New Roman" w:hAnsi="Times New Roman"/>
          <w:lang w:val="es-PE" w:eastAsia="es-ES"/>
        </w:rPr>
        <w:t xml:space="preserve">En ese sentido, respecto de </w:t>
      </w:r>
      <w:r w:rsidR="004B4E27" w:rsidRPr="008003E3">
        <w:rPr>
          <w:rFonts w:ascii="Times New Roman" w:hAnsi="Times New Roman"/>
          <w:lang w:val="es-PE" w:eastAsia="es-ES"/>
        </w:rPr>
        <w:t xml:space="preserve">las ocho (8) observación formuladas por el participante </w:t>
      </w:r>
      <w:proofErr w:type="spellStart"/>
      <w:r w:rsidR="004B4E27" w:rsidRPr="008003E3">
        <w:rPr>
          <w:rFonts w:ascii="Times New Roman" w:hAnsi="Times New Roman"/>
          <w:b/>
          <w:lang w:eastAsia="es-ES"/>
        </w:rPr>
        <w:t>GEWALT</w:t>
      </w:r>
      <w:proofErr w:type="spellEnd"/>
      <w:r w:rsidR="004B4E27" w:rsidRPr="008003E3">
        <w:rPr>
          <w:rFonts w:ascii="Times New Roman" w:hAnsi="Times New Roman"/>
          <w:b/>
          <w:lang w:eastAsia="es-ES"/>
        </w:rPr>
        <w:t xml:space="preserve"> </w:t>
      </w:r>
      <w:proofErr w:type="spellStart"/>
      <w:r w:rsidR="004B4E27" w:rsidRPr="008003E3">
        <w:rPr>
          <w:rFonts w:ascii="Times New Roman" w:hAnsi="Times New Roman"/>
          <w:b/>
          <w:lang w:eastAsia="es-ES"/>
        </w:rPr>
        <w:t>PERU</w:t>
      </w:r>
      <w:proofErr w:type="spellEnd"/>
      <w:r w:rsidR="004B4E27" w:rsidRPr="008003E3">
        <w:rPr>
          <w:rFonts w:ascii="Times New Roman" w:hAnsi="Times New Roman"/>
          <w:b/>
          <w:lang w:eastAsia="es-ES"/>
        </w:rPr>
        <w:t xml:space="preserve"> </w:t>
      </w:r>
      <w:proofErr w:type="spellStart"/>
      <w:r w:rsidR="004B4E27" w:rsidRPr="008003E3">
        <w:rPr>
          <w:rFonts w:ascii="Times New Roman" w:hAnsi="Times New Roman"/>
          <w:b/>
          <w:lang w:eastAsia="es-ES"/>
        </w:rPr>
        <w:t>SAC</w:t>
      </w:r>
      <w:proofErr w:type="spellEnd"/>
      <w:r w:rsidRPr="008003E3">
        <w:rPr>
          <w:rFonts w:ascii="Times New Roman" w:hAnsi="Times New Roman"/>
          <w:lang w:eastAsia="es-ES"/>
        </w:rPr>
        <w:t xml:space="preserve">, este Organismo Supervisor no se pronunciará acerca de las </w:t>
      </w:r>
      <w:r w:rsidRPr="008003E3">
        <w:rPr>
          <w:rFonts w:ascii="Times New Roman" w:hAnsi="Times New Roman"/>
          <w:lang w:val="es-PE" w:eastAsia="es-ES"/>
        </w:rPr>
        <w:t xml:space="preserve">Observaciones N° 1, N° 2, N° 3, N° 5 y N° 6, puesto que las mismas se tratan de solicitudes de </w:t>
      </w:r>
      <w:r w:rsidR="004B4E27" w:rsidRPr="008003E3">
        <w:rPr>
          <w:rFonts w:ascii="Times New Roman" w:hAnsi="Times New Roman"/>
          <w:lang w:val="es-PE" w:eastAsia="es-ES"/>
        </w:rPr>
        <w:t xml:space="preserve">aclaración y/o precisión y/o </w:t>
      </w:r>
      <w:r w:rsidRPr="008003E3">
        <w:rPr>
          <w:rFonts w:ascii="Times New Roman" w:hAnsi="Times New Roman"/>
          <w:lang w:val="es-PE" w:eastAsia="es-ES"/>
        </w:rPr>
        <w:t xml:space="preserve">modificación respecto de extremos de las Bases, es decir, son consultas; supuesto no previsto en el artículo 58 del Reglamento. </w:t>
      </w:r>
    </w:p>
    <w:p w:rsidR="00522C99" w:rsidRPr="008003E3" w:rsidRDefault="00522C99" w:rsidP="009F1F0D">
      <w:pPr>
        <w:pStyle w:val="WW-Textoindependiente2"/>
        <w:tabs>
          <w:tab w:val="left" w:pos="0"/>
        </w:tabs>
        <w:rPr>
          <w:rFonts w:ascii="Times New Roman" w:hAnsi="Times New Roman"/>
          <w:lang w:val="es-PE" w:eastAsia="es-ES"/>
        </w:rPr>
      </w:pPr>
    </w:p>
    <w:p w:rsidR="00DE7ECA" w:rsidRPr="008003E3" w:rsidRDefault="00DE7ECA" w:rsidP="00075E6F">
      <w:pPr>
        <w:widowControl w:val="0"/>
        <w:jc w:val="both"/>
        <w:rPr>
          <w:lang w:eastAsia="es-ES"/>
        </w:rPr>
      </w:pPr>
      <w:r w:rsidRPr="008003E3">
        <w:rPr>
          <w:lang w:eastAsia="es-ES"/>
        </w:rPr>
        <w:t>Asimismo, corresponde señalar que este Organismo Supervisor no se pronunciará respecto de la Observación N° 4,  toda vez que del pliego absolutorio de consultas y observaciones se aprecia que la misma fue acogida por el Comité Especial</w:t>
      </w:r>
    </w:p>
    <w:p w:rsidR="00DE7ECA" w:rsidRPr="008003E3" w:rsidRDefault="00DE7ECA" w:rsidP="00075E6F">
      <w:pPr>
        <w:widowControl w:val="0"/>
        <w:jc w:val="both"/>
        <w:rPr>
          <w:lang w:eastAsia="es-ES"/>
        </w:rPr>
      </w:pPr>
    </w:p>
    <w:p w:rsidR="00075E6F" w:rsidRPr="008003E3" w:rsidRDefault="000677C8" w:rsidP="00075E6F">
      <w:pPr>
        <w:widowControl w:val="0"/>
        <w:jc w:val="both"/>
        <w:rPr>
          <w:b/>
        </w:rPr>
      </w:pPr>
      <w:r w:rsidRPr="008003E3">
        <w:rPr>
          <w:b/>
        </w:rPr>
        <w:t xml:space="preserve">2. </w:t>
      </w:r>
      <w:r w:rsidR="00882369" w:rsidRPr="008003E3">
        <w:rPr>
          <w:b/>
        </w:rPr>
        <w:t>OBSERVACIONES</w:t>
      </w:r>
      <w:r w:rsidR="00882369" w:rsidRPr="008003E3">
        <w:rPr>
          <w:b/>
        </w:rPr>
        <w:cr/>
      </w:r>
    </w:p>
    <w:p w:rsidR="00A26F08" w:rsidRPr="008003E3" w:rsidRDefault="00E43B28" w:rsidP="00A26F08">
      <w:pPr>
        <w:widowControl w:val="0"/>
        <w:ind w:left="3828" w:hanging="3828"/>
        <w:jc w:val="both"/>
        <w:rPr>
          <w:b/>
          <w:lang w:eastAsia="es-ES"/>
        </w:rPr>
      </w:pPr>
      <w:r>
        <w:rPr>
          <w:b/>
          <w:lang w:val="es-ES"/>
        </w:rPr>
        <w:t>Participante</w:t>
      </w:r>
      <w:r w:rsidR="00AD5902" w:rsidRPr="008003E3">
        <w:rPr>
          <w:b/>
          <w:lang w:val="es-ES"/>
        </w:rPr>
        <w:t>:</w:t>
      </w:r>
      <w:r w:rsidR="00AD5902" w:rsidRPr="008003E3">
        <w:rPr>
          <w:b/>
          <w:lang w:val="es-ES"/>
        </w:rPr>
        <w:tab/>
      </w:r>
      <w:proofErr w:type="spellStart"/>
      <w:r w:rsidR="006506C2" w:rsidRPr="008003E3">
        <w:rPr>
          <w:b/>
          <w:lang w:eastAsia="es-ES"/>
        </w:rPr>
        <w:t>GEWALT</w:t>
      </w:r>
      <w:proofErr w:type="spellEnd"/>
      <w:r w:rsidR="006506C2" w:rsidRPr="008003E3">
        <w:rPr>
          <w:b/>
          <w:lang w:eastAsia="es-ES"/>
        </w:rPr>
        <w:t xml:space="preserve"> </w:t>
      </w:r>
      <w:proofErr w:type="spellStart"/>
      <w:r w:rsidR="006506C2" w:rsidRPr="008003E3">
        <w:rPr>
          <w:b/>
          <w:lang w:eastAsia="es-ES"/>
        </w:rPr>
        <w:t>PERU</w:t>
      </w:r>
      <w:proofErr w:type="spellEnd"/>
      <w:r w:rsidR="006506C2" w:rsidRPr="008003E3">
        <w:rPr>
          <w:b/>
          <w:lang w:eastAsia="es-ES"/>
        </w:rPr>
        <w:t xml:space="preserve"> </w:t>
      </w:r>
      <w:proofErr w:type="spellStart"/>
      <w:r w:rsidR="006506C2" w:rsidRPr="008003E3">
        <w:rPr>
          <w:b/>
          <w:lang w:eastAsia="es-ES"/>
        </w:rPr>
        <w:t>SAC</w:t>
      </w:r>
      <w:proofErr w:type="spellEnd"/>
    </w:p>
    <w:p w:rsidR="00DE7ECA" w:rsidRDefault="00DE7ECA" w:rsidP="00A26F08">
      <w:pPr>
        <w:widowControl w:val="0"/>
        <w:ind w:left="3828" w:hanging="3828"/>
        <w:jc w:val="both"/>
        <w:rPr>
          <w:b/>
          <w:lang w:val="es-ES"/>
        </w:rPr>
      </w:pPr>
    </w:p>
    <w:p w:rsidR="0068472F" w:rsidRDefault="0068472F" w:rsidP="00A26F08">
      <w:pPr>
        <w:widowControl w:val="0"/>
        <w:ind w:left="3828" w:hanging="3828"/>
        <w:jc w:val="both"/>
        <w:rPr>
          <w:b/>
          <w:lang w:val="es-ES"/>
        </w:rPr>
      </w:pPr>
    </w:p>
    <w:p w:rsidR="0068472F" w:rsidRPr="008003E3" w:rsidRDefault="0068472F" w:rsidP="00A26F08">
      <w:pPr>
        <w:widowControl w:val="0"/>
        <w:ind w:left="3828" w:hanging="3828"/>
        <w:jc w:val="both"/>
        <w:rPr>
          <w:b/>
          <w:lang w:val="es-ES"/>
        </w:rPr>
      </w:pPr>
    </w:p>
    <w:p w:rsidR="00DE7ECA" w:rsidRPr="008003E3" w:rsidRDefault="003F7D47" w:rsidP="00DE7ECA">
      <w:pPr>
        <w:widowControl w:val="0"/>
        <w:tabs>
          <w:tab w:val="left" w:pos="3686"/>
        </w:tabs>
        <w:ind w:left="3686" w:hanging="3686"/>
        <w:jc w:val="both"/>
        <w:rPr>
          <w:b/>
        </w:rPr>
      </w:pPr>
      <w:r w:rsidRPr="008003E3">
        <w:rPr>
          <w:b/>
        </w:rPr>
        <w:lastRenderedPageBreak/>
        <w:t>Observación N° 7</w:t>
      </w:r>
      <w:r w:rsidR="006506C2" w:rsidRPr="008003E3">
        <w:rPr>
          <w:b/>
        </w:rPr>
        <w:tab/>
        <w:t xml:space="preserve">Contra el factor de evaluación “C. Visita de campo” </w:t>
      </w:r>
    </w:p>
    <w:p w:rsidR="00DE7ECA" w:rsidRPr="008003E3" w:rsidRDefault="00DE7ECA" w:rsidP="00DE7ECA">
      <w:pPr>
        <w:widowControl w:val="0"/>
        <w:jc w:val="both"/>
        <w:rPr>
          <w:b/>
        </w:rPr>
      </w:pPr>
    </w:p>
    <w:p w:rsidR="006506C2" w:rsidRPr="008003E3" w:rsidRDefault="00DE7ECA" w:rsidP="00DE7ECA">
      <w:pPr>
        <w:jc w:val="both"/>
      </w:pPr>
      <w:r w:rsidRPr="008003E3">
        <w:t xml:space="preserve">El participante cuestiona que </w:t>
      </w:r>
      <w:r w:rsidR="006506C2" w:rsidRPr="008003E3">
        <w:t>se califique el factor de evaluación “C. Visita de campo”, pues sostiene que no resulta una mejora y contraviene la Directiva N° 007-2008/</w:t>
      </w:r>
      <w:proofErr w:type="spellStart"/>
      <w:r w:rsidR="006506C2" w:rsidRPr="008003E3">
        <w:t>CONSUCODE</w:t>
      </w:r>
      <w:proofErr w:type="spellEnd"/>
      <w:r w:rsidR="006506C2" w:rsidRPr="008003E3">
        <w:t>/PRE y los Principios regulados en la Ley. Por tanto, solicita suprimir el referido factor de evaluación.</w:t>
      </w:r>
    </w:p>
    <w:p w:rsidR="006506C2" w:rsidRPr="008003E3" w:rsidRDefault="006506C2" w:rsidP="00DE7ECA">
      <w:pPr>
        <w:jc w:val="both"/>
      </w:pPr>
    </w:p>
    <w:p w:rsidR="00DE7ECA" w:rsidRPr="008003E3" w:rsidRDefault="00DE7ECA" w:rsidP="00DE7ECA">
      <w:pPr>
        <w:jc w:val="both"/>
        <w:rPr>
          <w:b/>
        </w:rPr>
      </w:pPr>
      <w:r w:rsidRPr="008003E3">
        <w:rPr>
          <w:b/>
        </w:rPr>
        <w:t>Pronunciamiento</w:t>
      </w:r>
    </w:p>
    <w:p w:rsidR="00DE7ECA" w:rsidRPr="008003E3" w:rsidRDefault="00DE7ECA" w:rsidP="00DE7ECA">
      <w:pPr>
        <w:jc w:val="both"/>
      </w:pPr>
    </w:p>
    <w:p w:rsidR="00DE7ECA" w:rsidRPr="008003E3" w:rsidRDefault="00DE7ECA" w:rsidP="00DE7ECA">
      <w:pPr>
        <w:jc w:val="both"/>
      </w:pPr>
      <w:r w:rsidRPr="008003E3">
        <w:t>De la</w:t>
      </w:r>
      <w:r w:rsidR="006506C2" w:rsidRPr="008003E3">
        <w:t xml:space="preserve"> revisión de las </w:t>
      </w:r>
      <w:r w:rsidRPr="008003E3">
        <w:t>Bases</w:t>
      </w:r>
      <w:r w:rsidR="006506C2" w:rsidRPr="008003E3">
        <w:t>, se advierte en el Capítulo IV (Criterios de Evaluación Técnica) de la Sección Específica el siguiente factor de evaluación:</w:t>
      </w:r>
    </w:p>
    <w:p w:rsidR="006506C2" w:rsidRPr="008003E3" w:rsidRDefault="006506C2" w:rsidP="00DE7ECA">
      <w:pPr>
        <w:jc w:val="both"/>
      </w:pPr>
    </w:p>
    <w:tbl>
      <w:tblPr>
        <w:tblW w:w="7442"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166"/>
        <w:gridCol w:w="1276"/>
      </w:tblGrid>
      <w:tr w:rsidR="006506C2" w:rsidRPr="008003E3" w:rsidTr="006506C2">
        <w:trPr>
          <w:trHeight w:val="3632"/>
        </w:trPr>
        <w:tc>
          <w:tcPr>
            <w:tcW w:w="6166" w:type="dxa"/>
            <w:vAlign w:val="center"/>
          </w:tcPr>
          <w:p w:rsidR="006506C2" w:rsidRPr="008003E3" w:rsidRDefault="006506C2" w:rsidP="006506C2">
            <w:pPr>
              <w:widowControl w:val="0"/>
              <w:jc w:val="both"/>
              <w:rPr>
                <w:b/>
                <w:i/>
              </w:rPr>
            </w:pPr>
            <w:r w:rsidRPr="008003E3">
              <w:rPr>
                <w:b/>
                <w:i/>
              </w:rPr>
              <w:t>C. VISITA DE CAMPO</w:t>
            </w:r>
          </w:p>
          <w:p w:rsidR="006506C2" w:rsidRPr="008003E3" w:rsidRDefault="006506C2" w:rsidP="006506C2">
            <w:pPr>
              <w:widowControl w:val="0"/>
              <w:jc w:val="both"/>
              <w:rPr>
                <w:i/>
                <w:u w:val="single"/>
              </w:rPr>
            </w:pPr>
            <w:r w:rsidRPr="008003E3">
              <w:rPr>
                <w:i/>
                <w:u w:val="single"/>
              </w:rPr>
              <w:t>Criterio:</w:t>
            </w:r>
          </w:p>
          <w:p w:rsidR="006506C2" w:rsidRPr="008003E3" w:rsidRDefault="006506C2" w:rsidP="006506C2">
            <w:pPr>
              <w:widowControl w:val="0"/>
              <w:jc w:val="both"/>
              <w:rPr>
                <w:i/>
              </w:rPr>
            </w:pPr>
            <w:r w:rsidRPr="008003E3">
              <w:rPr>
                <w:i/>
              </w:rPr>
              <w:t>Se le asignara un puntaje al postor y/o postores que realicen la visita de campo (</w:t>
            </w:r>
            <w:proofErr w:type="spellStart"/>
            <w:r w:rsidRPr="008003E3">
              <w:rPr>
                <w:i/>
              </w:rPr>
              <w:t>Insitum</w:t>
            </w:r>
            <w:proofErr w:type="spellEnd"/>
            <w:r w:rsidRPr="008003E3">
              <w:rPr>
                <w:i/>
              </w:rPr>
              <w:t xml:space="preserve">) para la verificación de los bienes solicitados por el área usuaria, los mismos que certificaran esta visita mediante un documento. la verificación </w:t>
            </w:r>
            <w:proofErr w:type="spellStart"/>
            <w:r w:rsidRPr="008003E3">
              <w:rPr>
                <w:i/>
              </w:rPr>
              <w:t>insitum</w:t>
            </w:r>
            <w:proofErr w:type="spellEnd"/>
            <w:r w:rsidRPr="008003E3">
              <w:rPr>
                <w:i/>
              </w:rPr>
              <w:t xml:space="preserve"> se realizara en el Taller Mecánico de la Dirección Regional de Transportes y Comunicaciones, sito en Av. Circunvalación N° 624 </w:t>
            </w:r>
            <w:proofErr w:type="spellStart"/>
            <w:r w:rsidRPr="008003E3">
              <w:rPr>
                <w:i/>
              </w:rPr>
              <w:t>Tarapoto</w:t>
            </w:r>
            <w:proofErr w:type="spellEnd"/>
          </w:p>
          <w:p w:rsidR="006506C2" w:rsidRPr="008003E3" w:rsidRDefault="006506C2" w:rsidP="006506C2">
            <w:pPr>
              <w:widowControl w:val="0"/>
              <w:jc w:val="both"/>
              <w:rPr>
                <w:i/>
                <w:u w:val="single"/>
              </w:rPr>
            </w:pPr>
            <w:r w:rsidRPr="008003E3">
              <w:rPr>
                <w:i/>
                <w:u w:val="single"/>
              </w:rPr>
              <w:t>Acreditación:</w:t>
            </w:r>
          </w:p>
          <w:p w:rsidR="006506C2" w:rsidRPr="008003E3" w:rsidRDefault="006506C2" w:rsidP="006506C2">
            <w:pPr>
              <w:widowControl w:val="0"/>
              <w:jc w:val="both"/>
              <w:rPr>
                <w:lang w:val="es-ES_tradnl"/>
              </w:rPr>
            </w:pPr>
            <w:r w:rsidRPr="008003E3">
              <w:rPr>
                <w:i/>
              </w:rPr>
              <w:t xml:space="preserve">Se acreditara mediante la presentación de una </w:t>
            </w:r>
            <w:r w:rsidRPr="008003E3">
              <w:rPr>
                <w:i/>
                <w:lang w:val="es-ES_tradnl"/>
              </w:rPr>
              <w:t xml:space="preserve">constancia emitida por el área usuaria, conjuntamente con el </w:t>
            </w:r>
            <w:proofErr w:type="spellStart"/>
            <w:r w:rsidRPr="008003E3">
              <w:rPr>
                <w:i/>
                <w:lang w:val="es-ES_tradnl"/>
              </w:rPr>
              <w:t>V°B°</w:t>
            </w:r>
            <w:proofErr w:type="spellEnd"/>
            <w:r w:rsidRPr="008003E3">
              <w:rPr>
                <w:i/>
                <w:lang w:val="es-ES_tradnl"/>
              </w:rPr>
              <w:t xml:space="preserve"> del área de Equipo Mecánico.</w:t>
            </w:r>
            <w:r w:rsidRPr="008003E3">
              <w:rPr>
                <w:lang w:val="es-ES_tradnl"/>
              </w:rPr>
              <w:t xml:space="preserve"> </w:t>
            </w:r>
          </w:p>
        </w:tc>
        <w:tc>
          <w:tcPr>
            <w:tcW w:w="1276" w:type="dxa"/>
            <w:vAlign w:val="center"/>
            <w:hideMark/>
          </w:tcPr>
          <w:p w:rsidR="006506C2" w:rsidRPr="008003E3" w:rsidRDefault="006506C2" w:rsidP="006506C2">
            <w:pPr>
              <w:widowControl w:val="0"/>
              <w:jc w:val="center"/>
              <w:rPr>
                <w:b/>
                <w:i/>
              </w:rPr>
            </w:pPr>
            <w:r w:rsidRPr="008003E3">
              <w:rPr>
                <w:b/>
                <w:i/>
              </w:rPr>
              <w:t>10 puntos</w:t>
            </w:r>
          </w:p>
        </w:tc>
      </w:tr>
    </w:tbl>
    <w:p w:rsidR="006506C2" w:rsidRPr="008003E3" w:rsidRDefault="006506C2" w:rsidP="00DE7ECA">
      <w:pPr>
        <w:jc w:val="both"/>
      </w:pPr>
    </w:p>
    <w:p w:rsidR="006506C2" w:rsidRPr="008003E3" w:rsidRDefault="00DE7ECA" w:rsidP="00DE7ECA">
      <w:pPr>
        <w:jc w:val="both"/>
      </w:pPr>
      <w:r w:rsidRPr="008003E3">
        <w:t xml:space="preserve">Del pliego de absolución de consultas y observaciones se advierte que al absolver la </w:t>
      </w:r>
      <w:r w:rsidR="006506C2" w:rsidRPr="008003E3">
        <w:t>presente Observación,</w:t>
      </w:r>
      <w:r w:rsidRPr="008003E3">
        <w:t xml:space="preserve"> el Comité Especial </w:t>
      </w:r>
      <w:r w:rsidR="006506C2" w:rsidRPr="008003E3">
        <w:t>señaló lo siguiente:</w:t>
      </w:r>
    </w:p>
    <w:p w:rsidR="00DE7ECA" w:rsidRPr="008003E3" w:rsidRDefault="00DE7ECA" w:rsidP="00DE7ECA">
      <w:pPr>
        <w:jc w:val="both"/>
      </w:pPr>
      <w:r w:rsidRPr="008003E3">
        <w:tab/>
      </w:r>
    </w:p>
    <w:p w:rsidR="00DE7ECA" w:rsidRPr="008003E3" w:rsidRDefault="00DE7ECA" w:rsidP="00574027">
      <w:pPr>
        <w:ind w:left="708"/>
        <w:jc w:val="both"/>
      </w:pPr>
      <w:r w:rsidRPr="008003E3">
        <w:rPr>
          <w:i/>
        </w:rPr>
        <w:t>“</w:t>
      </w:r>
      <w:r w:rsidR="00574027" w:rsidRPr="008003E3">
        <w:rPr>
          <w:i/>
        </w:rPr>
        <w:t>Se le comunica al postor que lo solicitado en las bases sobre la visita de campo IN SITU, no corresponde a los requerimientos técnicos mínimos, por lo que es opcional. NO SE ACOGE SU OBSERVACIÓN”</w:t>
      </w:r>
    </w:p>
    <w:p w:rsidR="00DE7ECA" w:rsidRPr="008003E3" w:rsidRDefault="00DE7ECA" w:rsidP="00DE7ECA">
      <w:pPr>
        <w:jc w:val="both"/>
      </w:pPr>
    </w:p>
    <w:p w:rsidR="00095B26" w:rsidRPr="008003E3" w:rsidRDefault="00095B26" w:rsidP="00095B26">
      <w:pPr>
        <w:pStyle w:val="Sinespaciado"/>
        <w:jc w:val="both"/>
        <w:rPr>
          <w:lang w:eastAsia="es-PE"/>
        </w:rPr>
      </w:pPr>
      <w:r w:rsidRPr="008003E3">
        <w:t xml:space="preserve">Al respecto, en el </w:t>
      </w:r>
      <w:r w:rsidRPr="008003E3">
        <w:rPr>
          <w:lang w:eastAsia="es-PE"/>
        </w:rPr>
        <w:t>artículo 43 del Reglamento se establece que es responsabilidad del Comité Especial la determinación de los factores de evaluación técnicos, los cuales deberán ser objetivos y congruentes con el objeto de la convocatoria, debiendo sujetarse a criterios de razonabilidad y proporcionalidad.</w:t>
      </w:r>
    </w:p>
    <w:p w:rsidR="00095B26" w:rsidRPr="008003E3" w:rsidRDefault="00095B26" w:rsidP="00095B26">
      <w:pPr>
        <w:pStyle w:val="Sinespaciado"/>
        <w:jc w:val="both"/>
        <w:rPr>
          <w:lang w:eastAsia="es-PE"/>
        </w:rPr>
      </w:pPr>
    </w:p>
    <w:p w:rsidR="00095B26" w:rsidRPr="008003E3" w:rsidRDefault="00095B26" w:rsidP="00095B26">
      <w:pPr>
        <w:pStyle w:val="Sinespaciado"/>
        <w:jc w:val="both"/>
        <w:rPr>
          <w:lang w:eastAsia="es-PE"/>
        </w:rPr>
      </w:pPr>
      <w:r w:rsidRPr="008003E3">
        <w:rPr>
          <w:lang w:eastAsia="es-PE"/>
        </w:rPr>
        <w:t xml:space="preserve">Cabe acotar que en el artículo 44 del Reglamento se establece que en las Bases deberán precisarse aquellos aspectos que serán considerados como mejoras a las características técnicas de los bienes y a las condiciones previstas en las bases, que no generan costo adicional para la Entidad. </w:t>
      </w:r>
    </w:p>
    <w:p w:rsidR="00095B26" w:rsidRPr="008003E3" w:rsidRDefault="00095B26" w:rsidP="00095B26">
      <w:pPr>
        <w:pStyle w:val="Sinespaciado"/>
        <w:jc w:val="both"/>
        <w:rPr>
          <w:lang w:eastAsia="es-PE"/>
        </w:rPr>
      </w:pPr>
    </w:p>
    <w:p w:rsidR="00095B26" w:rsidRPr="008003E3" w:rsidRDefault="00095B26" w:rsidP="00095B26">
      <w:pPr>
        <w:widowControl w:val="0"/>
        <w:jc w:val="both"/>
      </w:pPr>
      <w:r w:rsidRPr="008003E3">
        <w:t xml:space="preserve">Por otro lado, debe tener en cuenta que en atención al Principio de Economía, en toda contratación debe aplicarse criterios de simplicidad, austeridad, concentración y ahorro en el uso de los recursos, en las etapas de los procesos de selección y en los acuerdos y resoluciones recaídos sobre ellos, </w:t>
      </w:r>
      <w:r w:rsidRPr="008003E3">
        <w:rPr>
          <w:u w:val="single"/>
        </w:rPr>
        <w:t xml:space="preserve">debiéndose evitar exigencias y formalidades costosas e </w:t>
      </w:r>
      <w:r w:rsidRPr="008003E3">
        <w:rPr>
          <w:u w:val="single"/>
        </w:rPr>
        <w:lastRenderedPageBreak/>
        <w:t>innecesarias en las Bases y en los contratos</w:t>
      </w:r>
      <w:r w:rsidRPr="008003E3">
        <w:t>.</w:t>
      </w:r>
    </w:p>
    <w:p w:rsidR="00095B26" w:rsidRPr="008003E3" w:rsidRDefault="00095B26" w:rsidP="00095B26">
      <w:pPr>
        <w:widowControl w:val="0"/>
        <w:jc w:val="both"/>
      </w:pPr>
    </w:p>
    <w:p w:rsidR="00095B26" w:rsidRPr="008003E3" w:rsidRDefault="00095B26" w:rsidP="00095B26">
      <w:pPr>
        <w:widowControl w:val="0"/>
        <w:jc w:val="both"/>
      </w:pPr>
      <w:r w:rsidRPr="008003E3">
        <w:t>Ahora bien, es preciso señalar que, de acuerdo con lo dispuesto en el numeral 6.5) de la Directiva Nº 007-2008/</w:t>
      </w:r>
      <w:proofErr w:type="spellStart"/>
      <w:r w:rsidRPr="008003E3">
        <w:t>CONSUCODE</w:t>
      </w:r>
      <w:proofErr w:type="spellEnd"/>
      <w:r w:rsidRPr="008003E3">
        <w:t xml:space="preserve">/PRE, que contiene las disposiciones sobre la documentación, obligaciones o requerimientos que las entidades del Estado deben evitar al elaborar las Bases de los procesos de selección, los documentos que acrediten haber realizado visitas previas al lugar en el que se ejecutará el contrato, no pueden ser requeridos con carácter obligatorio, toda vez que la visita debe ser considerada como un </w:t>
      </w:r>
      <w:r w:rsidRPr="008003E3">
        <w:rPr>
          <w:u w:val="single"/>
        </w:rPr>
        <w:t>elemento opcional</w:t>
      </w:r>
      <w:r w:rsidRPr="008003E3">
        <w:t>, no pudiéndose exigir documentación que acredite la visita de campo como parte de la propuesta técnica, máxime cuando podría constituir una barrera a la mayor participación de postores, vulnerando el principio de libre competencia y concurrencia, consagrado en el artículo 4° de la Ley.</w:t>
      </w:r>
    </w:p>
    <w:p w:rsidR="00095B26" w:rsidRPr="008003E3" w:rsidRDefault="00095B26" w:rsidP="00095B26">
      <w:pPr>
        <w:pStyle w:val="Sinespaciado"/>
        <w:jc w:val="both"/>
        <w:rPr>
          <w:lang w:eastAsia="es-PE"/>
        </w:rPr>
      </w:pPr>
    </w:p>
    <w:p w:rsidR="00095B26" w:rsidRPr="008003E3" w:rsidRDefault="00095B26" w:rsidP="003F7D47">
      <w:pPr>
        <w:pStyle w:val="Sinespaciado"/>
        <w:jc w:val="both"/>
      </w:pPr>
      <w:r w:rsidRPr="008003E3">
        <w:t>En ese sentido, considerando que independientemente de si los postores realizan una visita de campo, el contratista, se encontrará obligado a ejecutar la prestación conforme a los términos de su oferta,</w:t>
      </w:r>
      <w:r w:rsidR="00E43B28">
        <w:t xml:space="preserve"> por lo</w:t>
      </w:r>
      <w:r w:rsidRPr="008003E3">
        <w:t xml:space="preserve"> cual el referido factor no representa una mejora respecto del bien a adquirir, </w:t>
      </w:r>
      <w:r w:rsidR="003F7D47" w:rsidRPr="008003E3">
        <w:t xml:space="preserve">este Organismo Supervisor ha decidido </w:t>
      </w:r>
      <w:r w:rsidR="003F7D47" w:rsidRPr="008003E3">
        <w:rPr>
          <w:b/>
        </w:rPr>
        <w:t>ACOGER</w:t>
      </w:r>
      <w:r w:rsidR="003F7D47" w:rsidRPr="008003E3">
        <w:t xml:space="preserve"> la presente Observación. P</w:t>
      </w:r>
      <w:r w:rsidRPr="008003E3">
        <w:t xml:space="preserve">or lo tanto, con ocasión de la Integración de las Bases, </w:t>
      </w:r>
      <w:r w:rsidRPr="008003E3">
        <w:rPr>
          <w:b/>
          <w:u w:val="single"/>
        </w:rPr>
        <w:t>deberá suprimir</w:t>
      </w:r>
      <w:r w:rsidRPr="008003E3">
        <w:t xml:space="preserve"> dicho factor de evaluación, debiendo redistribuir su puntaje entre los demás factores de evaluación.</w:t>
      </w:r>
    </w:p>
    <w:p w:rsidR="00095B26" w:rsidRPr="008003E3" w:rsidRDefault="00095B26" w:rsidP="00095B26">
      <w:pPr>
        <w:pStyle w:val="Sinespaciado"/>
        <w:jc w:val="both"/>
        <w:rPr>
          <w:lang w:eastAsia="es-PE"/>
        </w:rPr>
      </w:pPr>
    </w:p>
    <w:p w:rsidR="00A26ADB" w:rsidRPr="008003E3" w:rsidRDefault="00A26F08" w:rsidP="00F30340">
      <w:pPr>
        <w:widowControl w:val="0"/>
        <w:ind w:left="3828" w:hanging="3828"/>
        <w:jc w:val="both"/>
        <w:rPr>
          <w:b/>
        </w:rPr>
      </w:pPr>
      <w:r w:rsidRPr="008003E3">
        <w:rPr>
          <w:b/>
          <w:lang w:val="es-ES"/>
        </w:rPr>
        <w:t>Observación</w:t>
      </w:r>
      <w:r w:rsidR="003F7D47" w:rsidRPr="008003E3">
        <w:rPr>
          <w:b/>
          <w:lang w:val="es-ES"/>
        </w:rPr>
        <w:t xml:space="preserve"> N° 8</w:t>
      </w:r>
      <w:r w:rsidR="00AD5902" w:rsidRPr="008003E3">
        <w:rPr>
          <w:b/>
        </w:rPr>
        <w:tab/>
      </w:r>
      <w:r w:rsidR="0037340A" w:rsidRPr="008003E3">
        <w:rPr>
          <w:b/>
        </w:rPr>
        <w:t xml:space="preserve">Contra </w:t>
      </w:r>
      <w:r w:rsidR="00F30340">
        <w:rPr>
          <w:b/>
        </w:rPr>
        <w:t>la</w:t>
      </w:r>
      <w:r w:rsidR="00A26ADB" w:rsidRPr="008003E3">
        <w:rPr>
          <w:b/>
        </w:rPr>
        <w:t xml:space="preserve"> </w:t>
      </w:r>
      <w:r w:rsidR="00F30340">
        <w:rPr>
          <w:b/>
        </w:rPr>
        <w:t>d</w:t>
      </w:r>
      <w:r w:rsidR="00A26ADB" w:rsidRPr="008003E3">
        <w:rPr>
          <w:b/>
        </w:rPr>
        <w:t>efinición de bienes similares</w:t>
      </w:r>
    </w:p>
    <w:p w:rsidR="00A26ADB" w:rsidRPr="008003E3" w:rsidRDefault="00A26ADB" w:rsidP="00A26ADB">
      <w:pPr>
        <w:jc w:val="both"/>
      </w:pPr>
    </w:p>
    <w:p w:rsidR="00A26ADB" w:rsidRPr="008003E3" w:rsidRDefault="00A26ADB" w:rsidP="00A26ADB">
      <w:pPr>
        <w:widowControl w:val="0"/>
        <w:jc w:val="both"/>
      </w:pPr>
      <w:r w:rsidRPr="008003E3">
        <w:t xml:space="preserve">El participante cuestiona que en el factor de evaluación “D. Experiencia del postor”  no se haya consignado la definición de bienes similares al objeto de la convocatoria. </w:t>
      </w:r>
      <w:r w:rsidR="00DC47B0" w:rsidRPr="008003E3">
        <w:t>Por</w:t>
      </w:r>
      <w:r w:rsidRPr="008003E3">
        <w:t xml:space="preserve"> lo que, solicita que se incluya en la definición de bienes similares a:</w:t>
      </w:r>
    </w:p>
    <w:p w:rsidR="00A26ADB" w:rsidRPr="008003E3" w:rsidRDefault="00A26ADB" w:rsidP="00A26ADB">
      <w:pPr>
        <w:widowControl w:val="0"/>
        <w:jc w:val="both"/>
      </w:pPr>
    </w:p>
    <w:p w:rsidR="00A26ADB" w:rsidRPr="008003E3" w:rsidRDefault="00A26ADB" w:rsidP="00A26ADB">
      <w:pPr>
        <w:pStyle w:val="Prrafodelista"/>
        <w:widowControl w:val="0"/>
        <w:numPr>
          <w:ilvl w:val="0"/>
          <w:numId w:val="14"/>
        </w:numPr>
        <w:jc w:val="both"/>
      </w:pPr>
      <w:r w:rsidRPr="008003E3">
        <w:t>Venta de repuestos para maquinaria pesada.</w:t>
      </w:r>
    </w:p>
    <w:p w:rsidR="00A26ADB" w:rsidRPr="008003E3" w:rsidRDefault="00A26ADB" w:rsidP="00A26ADB">
      <w:pPr>
        <w:pStyle w:val="Prrafodelista"/>
        <w:widowControl w:val="0"/>
        <w:numPr>
          <w:ilvl w:val="0"/>
          <w:numId w:val="14"/>
        </w:numPr>
        <w:jc w:val="both"/>
      </w:pPr>
      <w:r w:rsidRPr="008003E3">
        <w:t>Venta de motores y/o sus repuestos.</w:t>
      </w:r>
    </w:p>
    <w:p w:rsidR="00A26ADB" w:rsidRPr="008003E3" w:rsidRDefault="00A26ADB" w:rsidP="00A26ADB">
      <w:pPr>
        <w:widowControl w:val="0"/>
        <w:jc w:val="both"/>
      </w:pPr>
    </w:p>
    <w:p w:rsidR="00A26ADB" w:rsidRPr="008003E3" w:rsidRDefault="00A26ADB" w:rsidP="00A26ADB">
      <w:pPr>
        <w:pStyle w:val="Prrafodelista"/>
        <w:ind w:left="0"/>
        <w:jc w:val="both"/>
        <w:rPr>
          <w:b/>
        </w:rPr>
      </w:pPr>
      <w:r w:rsidRPr="008003E3">
        <w:rPr>
          <w:b/>
        </w:rPr>
        <w:t xml:space="preserve">Pronunciamiento  </w:t>
      </w:r>
    </w:p>
    <w:p w:rsidR="00A26ADB" w:rsidRPr="008003E3" w:rsidRDefault="00A26ADB" w:rsidP="00A26ADB">
      <w:pPr>
        <w:pStyle w:val="Prrafodelista"/>
        <w:ind w:left="0"/>
        <w:jc w:val="both"/>
        <w:rPr>
          <w:b/>
        </w:rPr>
      </w:pPr>
    </w:p>
    <w:p w:rsidR="00A26ADB" w:rsidRPr="008003E3" w:rsidRDefault="00A26ADB" w:rsidP="00A26ADB">
      <w:pPr>
        <w:autoSpaceDE w:val="0"/>
        <w:autoSpaceDN w:val="0"/>
        <w:adjustRightInd w:val="0"/>
        <w:jc w:val="both"/>
        <w:rPr>
          <w:color w:val="000000"/>
          <w:lang w:eastAsia="es-PE"/>
        </w:rPr>
      </w:pPr>
      <w:r w:rsidRPr="008003E3">
        <w:rPr>
          <w:color w:val="000000"/>
          <w:lang w:eastAsia="es-PE"/>
        </w:rPr>
        <w:t>De la revisión de las Bases, se advierte que en el Capítulo IV de la Sección Específica no se ha establecido en el factor de evaluación “A. Experiencia del postor” la definición de bienes similares.</w:t>
      </w:r>
    </w:p>
    <w:p w:rsidR="00A26ADB" w:rsidRPr="008003E3" w:rsidRDefault="00A26ADB" w:rsidP="00A26ADB">
      <w:pPr>
        <w:autoSpaceDE w:val="0"/>
        <w:autoSpaceDN w:val="0"/>
        <w:adjustRightInd w:val="0"/>
        <w:jc w:val="both"/>
        <w:rPr>
          <w:color w:val="000000"/>
          <w:lang w:eastAsia="es-PE"/>
        </w:rPr>
      </w:pPr>
    </w:p>
    <w:p w:rsidR="0038799E" w:rsidRPr="008003E3" w:rsidRDefault="00A26ADB" w:rsidP="00A26ADB">
      <w:pPr>
        <w:autoSpaceDE w:val="0"/>
        <w:autoSpaceDN w:val="0"/>
        <w:adjustRightInd w:val="0"/>
        <w:jc w:val="both"/>
        <w:rPr>
          <w:color w:val="000000"/>
          <w:lang w:eastAsia="es-PE"/>
        </w:rPr>
      </w:pPr>
      <w:r w:rsidRPr="008003E3">
        <w:rPr>
          <w:color w:val="000000"/>
          <w:lang w:eastAsia="es-PE"/>
        </w:rPr>
        <w:t xml:space="preserve">A través del pliego absolutorio de consultas y observaciones, se advierte que el Comité Especial </w:t>
      </w:r>
      <w:r w:rsidR="0038799E" w:rsidRPr="008003E3">
        <w:rPr>
          <w:color w:val="000000"/>
          <w:lang w:eastAsia="es-PE"/>
        </w:rPr>
        <w:t xml:space="preserve">al absolver la presente Observación señaló lo siguiente: </w:t>
      </w:r>
      <w:r w:rsidR="0038799E" w:rsidRPr="008003E3">
        <w:rPr>
          <w:i/>
          <w:color w:val="000000"/>
          <w:lang w:eastAsia="es-PE"/>
        </w:rPr>
        <w:t xml:space="preserve">“NO SE </w:t>
      </w:r>
      <w:proofErr w:type="spellStart"/>
      <w:r w:rsidR="0038799E" w:rsidRPr="008003E3">
        <w:rPr>
          <w:i/>
          <w:color w:val="000000"/>
          <w:lang w:eastAsia="es-PE"/>
        </w:rPr>
        <w:t>ACOE</w:t>
      </w:r>
      <w:proofErr w:type="spellEnd"/>
      <w:r w:rsidR="0038799E" w:rsidRPr="008003E3">
        <w:rPr>
          <w:i/>
          <w:color w:val="000000"/>
          <w:lang w:eastAsia="es-PE"/>
        </w:rPr>
        <w:t xml:space="preserve"> SU OBSERVACIÓN, ceñirse a la absolución de observaciones N° 04 para el postor </w:t>
      </w:r>
      <w:proofErr w:type="spellStart"/>
      <w:r w:rsidR="0038799E" w:rsidRPr="008003E3">
        <w:rPr>
          <w:i/>
          <w:color w:val="000000"/>
          <w:lang w:eastAsia="es-PE"/>
        </w:rPr>
        <w:t>SYSAC</w:t>
      </w:r>
      <w:proofErr w:type="spellEnd"/>
      <w:r w:rsidR="0038799E" w:rsidRPr="008003E3">
        <w:rPr>
          <w:i/>
          <w:color w:val="000000"/>
          <w:lang w:eastAsia="es-PE"/>
        </w:rPr>
        <w:t xml:space="preserve"> </w:t>
      </w:r>
      <w:proofErr w:type="spellStart"/>
      <w:r w:rsidR="0038799E" w:rsidRPr="008003E3">
        <w:rPr>
          <w:i/>
          <w:color w:val="000000"/>
          <w:lang w:eastAsia="es-PE"/>
        </w:rPr>
        <w:t>EIRL</w:t>
      </w:r>
      <w:proofErr w:type="spellEnd"/>
      <w:r w:rsidR="0038799E" w:rsidRPr="008003E3">
        <w:rPr>
          <w:i/>
          <w:color w:val="000000"/>
          <w:lang w:eastAsia="es-PE"/>
        </w:rPr>
        <w:t>”</w:t>
      </w:r>
    </w:p>
    <w:p w:rsidR="0038799E" w:rsidRPr="008003E3" w:rsidRDefault="0038799E" w:rsidP="00A26ADB">
      <w:pPr>
        <w:autoSpaceDE w:val="0"/>
        <w:autoSpaceDN w:val="0"/>
        <w:adjustRightInd w:val="0"/>
        <w:jc w:val="both"/>
        <w:rPr>
          <w:color w:val="000000"/>
          <w:lang w:eastAsia="es-PE"/>
        </w:rPr>
      </w:pPr>
    </w:p>
    <w:p w:rsidR="0038799E" w:rsidRPr="008003E3" w:rsidRDefault="0038799E" w:rsidP="00A26ADB">
      <w:pPr>
        <w:autoSpaceDE w:val="0"/>
        <w:autoSpaceDN w:val="0"/>
        <w:adjustRightInd w:val="0"/>
        <w:jc w:val="both"/>
        <w:rPr>
          <w:color w:val="000000"/>
          <w:lang w:eastAsia="es-PE"/>
        </w:rPr>
      </w:pPr>
      <w:r w:rsidRPr="008003E3">
        <w:rPr>
          <w:color w:val="000000"/>
          <w:lang w:eastAsia="es-PE"/>
        </w:rPr>
        <w:t xml:space="preserve">De lo señalado en el párrafo precedente, el Comité Especial al absolver la Observación N° 4 del participante </w:t>
      </w:r>
      <w:proofErr w:type="spellStart"/>
      <w:r w:rsidRPr="008003E3">
        <w:rPr>
          <w:color w:val="000000"/>
          <w:lang w:eastAsia="es-PE"/>
        </w:rPr>
        <w:t>DYSAC</w:t>
      </w:r>
      <w:proofErr w:type="spellEnd"/>
      <w:r w:rsidRPr="008003E3">
        <w:rPr>
          <w:color w:val="000000"/>
          <w:lang w:eastAsia="es-PE"/>
        </w:rPr>
        <w:t xml:space="preserve"> </w:t>
      </w:r>
      <w:proofErr w:type="spellStart"/>
      <w:r w:rsidRPr="008003E3">
        <w:rPr>
          <w:color w:val="000000"/>
          <w:lang w:eastAsia="es-PE"/>
        </w:rPr>
        <w:t>SRL</w:t>
      </w:r>
      <w:proofErr w:type="spellEnd"/>
      <w:r w:rsidRPr="008003E3">
        <w:rPr>
          <w:color w:val="000000"/>
          <w:lang w:eastAsia="es-PE"/>
        </w:rPr>
        <w:t>, señaló lo siguiente:</w:t>
      </w:r>
    </w:p>
    <w:p w:rsidR="0038799E" w:rsidRPr="008003E3" w:rsidRDefault="0038799E" w:rsidP="00A26ADB">
      <w:pPr>
        <w:autoSpaceDE w:val="0"/>
        <w:autoSpaceDN w:val="0"/>
        <w:adjustRightInd w:val="0"/>
        <w:jc w:val="both"/>
        <w:rPr>
          <w:color w:val="000000"/>
          <w:lang w:eastAsia="es-PE"/>
        </w:rPr>
      </w:pPr>
    </w:p>
    <w:p w:rsidR="0038799E" w:rsidRPr="008003E3" w:rsidRDefault="0038799E" w:rsidP="0038799E">
      <w:pPr>
        <w:autoSpaceDE w:val="0"/>
        <w:autoSpaceDN w:val="0"/>
        <w:adjustRightInd w:val="0"/>
        <w:ind w:firstLine="708"/>
        <w:jc w:val="both"/>
        <w:rPr>
          <w:i/>
          <w:color w:val="000000"/>
          <w:lang w:eastAsia="es-PE"/>
        </w:rPr>
      </w:pPr>
      <w:r w:rsidRPr="008003E3">
        <w:rPr>
          <w:i/>
          <w:color w:val="000000"/>
          <w:lang w:eastAsia="es-PE"/>
        </w:rPr>
        <w:t>“SE ACOGE PARCIALMENTE SU OBSERVACIÓN.</w:t>
      </w:r>
    </w:p>
    <w:p w:rsidR="0038799E" w:rsidRPr="008003E3" w:rsidRDefault="0038799E" w:rsidP="0038799E">
      <w:pPr>
        <w:autoSpaceDE w:val="0"/>
        <w:autoSpaceDN w:val="0"/>
        <w:adjustRightInd w:val="0"/>
        <w:ind w:left="708"/>
        <w:jc w:val="both"/>
        <w:rPr>
          <w:i/>
          <w:color w:val="000000"/>
          <w:lang w:eastAsia="es-PE"/>
        </w:rPr>
      </w:pPr>
      <w:r w:rsidRPr="008003E3">
        <w:rPr>
          <w:i/>
          <w:color w:val="000000"/>
          <w:lang w:eastAsia="es-PE"/>
        </w:rPr>
        <w:t xml:space="preserve">Se le comunica al postor que el objeto de esta licitación es la adquisición de repuestos originales para la excavadora NEW </w:t>
      </w:r>
      <w:proofErr w:type="spellStart"/>
      <w:r w:rsidRPr="008003E3">
        <w:rPr>
          <w:i/>
          <w:color w:val="000000"/>
          <w:lang w:eastAsia="es-PE"/>
        </w:rPr>
        <w:t>HOLLAND-KOBELCO</w:t>
      </w:r>
      <w:proofErr w:type="spellEnd"/>
      <w:r w:rsidRPr="008003E3">
        <w:rPr>
          <w:i/>
          <w:color w:val="000000"/>
          <w:lang w:eastAsia="es-PE"/>
        </w:rPr>
        <w:t xml:space="preserve">, siendo en ese extremo la necesidad de la entidad de contratar con las empresas distribuidoras de repuestos originales se exige en las bases que todo aquello que </w:t>
      </w:r>
      <w:r w:rsidRPr="008003E3">
        <w:rPr>
          <w:i/>
          <w:color w:val="000000"/>
          <w:lang w:eastAsia="es-PE"/>
        </w:rPr>
        <w:lastRenderedPageBreak/>
        <w:t xml:space="preserve">acredite la experiencia de postor debe ser similar a los </w:t>
      </w:r>
      <w:proofErr w:type="spellStart"/>
      <w:r w:rsidRPr="008003E3">
        <w:rPr>
          <w:i/>
          <w:color w:val="000000"/>
          <w:lang w:eastAsia="es-PE"/>
        </w:rPr>
        <w:t>ITEMS</w:t>
      </w:r>
      <w:proofErr w:type="spellEnd"/>
      <w:r w:rsidRPr="008003E3">
        <w:rPr>
          <w:i/>
          <w:color w:val="000000"/>
          <w:lang w:eastAsia="es-PE"/>
        </w:rPr>
        <w:t xml:space="preserve"> que se están contratando, no se aceptarán experiencias de otros repuestos tales como: baterías, neumáticos, etc.</w:t>
      </w:r>
    </w:p>
    <w:p w:rsidR="0038799E" w:rsidRPr="008003E3" w:rsidRDefault="0038799E" w:rsidP="0038799E">
      <w:pPr>
        <w:autoSpaceDE w:val="0"/>
        <w:autoSpaceDN w:val="0"/>
        <w:adjustRightInd w:val="0"/>
        <w:ind w:left="708"/>
        <w:jc w:val="both"/>
        <w:rPr>
          <w:i/>
          <w:color w:val="000000"/>
          <w:lang w:eastAsia="es-PE"/>
        </w:rPr>
      </w:pPr>
      <w:r w:rsidRPr="008003E3">
        <w:rPr>
          <w:i/>
          <w:color w:val="000000"/>
          <w:lang w:eastAsia="es-PE"/>
        </w:rPr>
        <w:t xml:space="preserve">Además, en el extremo de su observación sobre los bienes similares, solo se aceptarán como bienes similares la experiencia (facturas, contratos, órdenes de compra, etc.) de maquinaria pesada (excavadoras, retroexcavadoras) de la marca NEW </w:t>
      </w:r>
      <w:proofErr w:type="spellStart"/>
      <w:r w:rsidRPr="008003E3">
        <w:rPr>
          <w:i/>
          <w:color w:val="000000"/>
          <w:lang w:eastAsia="es-PE"/>
        </w:rPr>
        <w:t>HOLLAND</w:t>
      </w:r>
      <w:proofErr w:type="spellEnd"/>
      <w:r w:rsidRPr="008003E3">
        <w:rPr>
          <w:i/>
          <w:color w:val="000000"/>
          <w:lang w:eastAsia="es-PE"/>
        </w:rPr>
        <w:t xml:space="preserve"> y/o </w:t>
      </w:r>
      <w:proofErr w:type="spellStart"/>
      <w:r w:rsidRPr="008003E3">
        <w:rPr>
          <w:i/>
          <w:color w:val="000000"/>
          <w:lang w:eastAsia="es-PE"/>
        </w:rPr>
        <w:t>KOBELCO</w:t>
      </w:r>
      <w:proofErr w:type="spellEnd"/>
      <w:r w:rsidRPr="008003E3">
        <w:rPr>
          <w:i/>
          <w:color w:val="000000"/>
          <w:lang w:eastAsia="es-PE"/>
        </w:rPr>
        <w:t xml:space="preserve">, ya que la marca de la excavadora que será equipada con estos repuestos es NEW </w:t>
      </w:r>
      <w:proofErr w:type="spellStart"/>
      <w:r w:rsidRPr="008003E3">
        <w:rPr>
          <w:i/>
          <w:color w:val="000000"/>
          <w:lang w:eastAsia="es-PE"/>
        </w:rPr>
        <w:t>HOLLAND</w:t>
      </w:r>
      <w:proofErr w:type="spellEnd"/>
      <w:r w:rsidRPr="008003E3">
        <w:rPr>
          <w:i/>
          <w:color w:val="000000"/>
          <w:lang w:eastAsia="es-PE"/>
        </w:rPr>
        <w:t xml:space="preserve"> – </w:t>
      </w:r>
      <w:proofErr w:type="spellStart"/>
      <w:r w:rsidRPr="008003E3">
        <w:rPr>
          <w:i/>
          <w:color w:val="000000"/>
          <w:lang w:eastAsia="es-PE"/>
        </w:rPr>
        <w:t>KOBELCO</w:t>
      </w:r>
      <w:proofErr w:type="spellEnd"/>
      <w:r w:rsidRPr="008003E3">
        <w:rPr>
          <w:i/>
          <w:color w:val="000000"/>
          <w:lang w:eastAsia="es-PE"/>
        </w:rPr>
        <w:t>.”</w:t>
      </w:r>
    </w:p>
    <w:p w:rsidR="0038799E" w:rsidRPr="008003E3" w:rsidRDefault="0038799E" w:rsidP="0038799E">
      <w:pPr>
        <w:autoSpaceDE w:val="0"/>
        <w:autoSpaceDN w:val="0"/>
        <w:adjustRightInd w:val="0"/>
        <w:jc w:val="both"/>
        <w:rPr>
          <w:color w:val="000000"/>
          <w:lang w:eastAsia="es-PE"/>
        </w:rPr>
      </w:pPr>
    </w:p>
    <w:p w:rsidR="0038799E" w:rsidRPr="008003E3" w:rsidRDefault="0038799E" w:rsidP="0038799E">
      <w:pPr>
        <w:autoSpaceDE w:val="0"/>
        <w:autoSpaceDN w:val="0"/>
        <w:adjustRightInd w:val="0"/>
        <w:jc w:val="both"/>
        <w:rPr>
          <w:color w:val="000000"/>
          <w:lang w:eastAsia="es-PE"/>
        </w:rPr>
      </w:pPr>
      <w:r w:rsidRPr="008003E3">
        <w:rPr>
          <w:color w:val="000000"/>
          <w:lang w:eastAsia="es-PE"/>
        </w:rPr>
        <w:t>Por su parte, en el Informe Técnico remitido con ocasión a la solicitud de elevación de observaciones el Comité Especial señaló lo siguiente:</w:t>
      </w:r>
    </w:p>
    <w:p w:rsidR="0038799E" w:rsidRPr="008003E3" w:rsidRDefault="0038799E" w:rsidP="0038799E">
      <w:pPr>
        <w:autoSpaceDE w:val="0"/>
        <w:autoSpaceDN w:val="0"/>
        <w:adjustRightInd w:val="0"/>
        <w:jc w:val="both"/>
        <w:rPr>
          <w:color w:val="000000"/>
          <w:lang w:eastAsia="es-PE"/>
        </w:rPr>
      </w:pPr>
    </w:p>
    <w:p w:rsidR="0038799E" w:rsidRPr="008003E3" w:rsidRDefault="0038799E" w:rsidP="008E6409">
      <w:pPr>
        <w:autoSpaceDE w:val="0"/>
        <w:autoSpaceDN w:val="0"/>
        <w:adjustRightInd w:val="0"/>
        <w:ind w:left="708"/>
        <w:jc w:val="both"/>
        <w:rPr>
          <w:i/>
          <w:color w:val="000000"/>
          <w:lang w:eastAsia="es-PE"/>
        </w:rPr>
      </w:pPr>
      <w:r w:rsidRPr="008003E3">
        <w:rPr>
          <w:i/>
          <w:color w:val="000000"/>
          <w:lang w:eastAsia="es-PE"/>
        </w:rPr>
        <w:t xml:space="preserve">“En atención al documento de la referencia al respecto éste Comité detalla las </w:t>
      </w:r>
      <w:r w:rsidR="008E6409" w:rsidRPr="008003E3">
        <w:rPr>
          <w:i/>
          <w:color w:val="000000"/>
          <w:lang w:eastAsia="es-PE"/>
        </w:rPr>
        <w:t>razones</w:t>
      </w:r>
      <w:r w:rsidRPr="008003E3">
        <w:rPr>
          <w:i/>
          <w:color w:val="000000"/>
          <w:lang w:eastAsia="es-PE"/>
        </w:rPr>
        <w:t xml:space="preserve"> por las cuales acogió </w:t>
      </w:r>
      <w:r w:rsidR="008E6409" w:rsidRPr="008003E3">
        <w:rPr>
          <w:i/>
          <w:color w:val="000000"/>
          <w:lang w:eastAsia="es-PE"/>
        </w:rPr>
        <w:t>parcialmente</w:t>
      </w:r>
      <w:r w:rsidRPr="008003E3">
        <w:rPr>
          <w:i/>
          <w:color w:val="000000"/>
          <w:lang w:eastAsia="es-PE"/>
        </w:rPr>
        <w:t xml:space="preserve"> la </w:t>
      </w:r>
      <w:r w:rsidR="008E6409" w:rsidRPr="008003E3">
        <w:rPr>
          <w:i/>
          <w:color w:val="000000"/>
          <w:lang w:eastAsia="es-PE"/>
        </w:rPr>
        <w:t>Observación</w:t>
      </w:r>
      <w:r w:rsidRPr="008003E3">
        <w:rPr>
          <w:i/>
          <w:color w:val="000000"/>
          <w:lang w:eastAsia="es-PE"/>
        </w:rPr>
        <w:t xml:space="preserve"> N° 8, ya que el objeto de la licitación es la adquisición de repuestos </w:t>
      </w:r>
      <w:r w:rsidR="005943EF" w:rsidRPr="008003E3">
        <w:rPr>
          <w:i/>
          <w:color w:val="000000"/>
          <w:lang w:eastAsia="es-PE"/>
        </w:rPr>
        <w:t xml:space="preserve">originales para la </w:t>
      </w:r>
      <w:r w:rsidR="008E6409" w:rsidRPr="008003E3">
        <w:rPr>
          <w:i/>
          <w:color w:val="000000"/>
          <w:lang w:eastAsia="es-PE"/>
        </w:rPr>
        <w:t>e</w:t>
      </w:r>
      <w:r w:rsidR="005943EF" w:rsidRPr="008003E3">
        <w:rPr>
          <w:i/>
          <w:color w:val="000000"/>
          <w:lang w:eastAsia="es-PE"/>
        </w:rPr>
        <w:t xml:space="preserve">xcavadora NEW </w:t>
      </w:r>
      <w:proofErr w:type="spellStart"/>
      <w:r w:rsidR="005943EF" w:rsidRPr="008003E3">
        <w:rPr>
          <w:i/>
          <w:color w:val="000000"/>
          <w:lang w:eastAsia="es-PE"/>
        </w:rPr>
        <w:t>HOLLAND</w:t>
      </w:r>
      <w:proofErr w:type="spellEnd"/>
      <w:r w:rsidR="005943EF" w:rsidRPr="008003E3">
        <w:rPr>
          <w:i/>
          <w:color w:val="000000"/>
          <w:lang w:eastAsia="es-PE"/>
        </w:rPr>
        <w:t xml:space="preserve"> – </w:t>
      </w:r>
      <w:proofErr w:type="spellStart"/>
      <w:r w:rsidR="005943EF" w:rsidRPr="008003E3">
        <w:rPr>
          <w:i/>
          <w:color w:val="000000"/>
          <w:lang w:eastAsia="es-PE"/>
        </w:rPr>
        <w:t>KOBELCO</w:t>
      </w:r>
      <w:proofErr w:type="spellEnd"/>
      <w:r w:rsidR="005943EF" w:rsidRPr="008003E3">
        <w:rPr>
          <w:i/>
          <w:color w:val="000000"/>
          <w:lang w:eastAsia="es-PE"/>
        </w:rPr>
        <w:t xml:space="preserve">, siendo necesario contratar con empresas distribuidores de repuestos originales, por lo tanto la experiencia del postor deberá ser similar al objeto de la convocatoria no aceptando experiencia en la venta de repuestos tales como; baterías, neumáticos, </w:t>
      </w:r>
      <w:r w:rsidR="008E6409" w:rsidRPr="008003E3">
        <w:rPr>
          <w:i/>
          <w:color w:val="000000"/>
          <w:lang w:eastAsia="es-PE"/>
        </w:rPr>
        <w:t>etc.</w:t>
      </w:r>
      <w:r w:rsidR="005943EF" w:rsidRPr="008003E3">
        <w:rPr>
          <w:i/>
          <w:color w:val="000000"/>
          <w:lang w:eastAsia="es-PE"/>
        </w:rPr>
        <w:t xml:space="preserve">, </w:t>
      </w:r>
      <w:r w:rsidR="008E6409" w:rsidRPr="008003E3">
        <w:rPr>
          <w:i/>
          <w:color w:val="000000"/>
          <w:lang w:eastAsia="es-PE"/>
        </w:rPr>
        <w:t xml:space="preserve">entiéndase </w:t>
      </w:r>
      <w:r w:rsidR="005943EF" w:rsidRPr="008003E3">
        <w:rPr>
          <w:i/>
          <w:color w:val="000000"/>
          <w:lang w:eastAsia="es-PE"/>
        </w:rPr>
        <w:t xml:space="preserve">similares a la venta de repuestos de maquinaria pesada (excavadora, retroexcavadora) de la mara NEW </w:t>
      </w:r>
      <w:proofErr w:type="spellStart"/>
      <w:r w:rsidR="005943EF" w:rsidRPr="008003E3">
        <w:rPr>
          <w:i/>
          <w:color w:val="000000"/>
          <w:lang w:eastAsia="es-PE"/>
        </w:rPr>
        <w:t>HOLLAND</w:t>
      </w:r>
      <w:proofErr w:type="spellEnd"/>
      <w:r w:rsidR="005943EF" w:rsidRPr="008003E3">
        <w:rPr>
          <w:i/>
          <w:color w:val="000000"/>
          <w:lang w:eastAsia="es-PE"/>
        </w:rPr>
        <w:t xml:space="preserve"> - </w:t>
      </w:r>
      <w:proofErr w:type="spellStart"/>
      <w:r w:rsidR="005943EF" w:rsidRPr="008003E3">
        <w:rPr>
          <w:i/>
          <w:color w:val="000000"/>
          <w:lang w:eastAsia="es-PE"/>
        </w:rPr>
        <w:t>KOBELCO</w:t>
      </w:r>
      <w:proofErr w:type="spellEnd"/>
      <w:r w:rsidRPr="008003E3">
        <w:rPr>
          <w:i/>
          <w:color w:val="000000"/>
          <w:lang w:eastAsia="es-PE"/>
        </w:rPr>
        <w:t xml:space="preserve">” </w:t>
      </w:r>
    </w:p>
    <w:p w:rsidR="008E6409" w:rsidRPr="008003E3" w:rsidRDefault="0038799E" w:rsidP="008E6409">
      <w:pPr>
        <w:keepLines/>
        <w:widowControl w:val="0"/>
        <w:jc w:val="both"/>
        <w:rPr>
          <w:color w:val="000000"/>
          <w:lang w:eastAsia="es-PE"/>
        </w:rPr>
      </w:pPr>
      <w:r w:rsidRPr="008003E3">
        <w:rPr>
          <w:color w:val="000000"/>
          <w:lang w:eastAsia="es-PE"/>
        </w:rPr>
        <w:t xml:space="preserve"> </w:t>
      </w:r>
    </w:p>
    <w:p w:rsidR="008E6409" w:rsidRPr="008003E3" w:rsidRDefault="008E6409" w:rsidP="008E6409">
      <w:pPr>
        <w:keepLines/>
        <w:widowControl w:val="0"/>
        <w:jc w:val="both"/>
        <w:rPr>
          <w:u w:val="single"/>
        </w:rPr>
      </w:pPr>
      <w:r w:rsidRPr="008003E3">
        <w:t xml:space="preserve">Conforme con lo dispuesto en el artículo 44° del Reglamento, en las Bases deberán señalarse los bienes, iguales y similares, cuya venta o suministro servirá para acreditar la experiencia del postor. Por bienes similares debe entenderse a aquellos de naturaleza semejante, no iguales, </w:t>
      </w:r>
      <w:r w:rsidRPr="008003E3">
        <w:rPr>
          <w:u w:val="single"/>
        </w:rPr>
        <w:t>que reúnan alguna o algunas de las características que definen la naturaleza del bien materia del proceso</w:t>
      </w:r>
      <w:r w:rsidRPr="008003E3">
        <w:rPr>
          <w:rStyle w:val="Refdenotaalpie"/>
          <w:lang w:eastAsia="es-ES"/>
        </w:rPr>
        <w:footnoteReference w:id="2"/>
      </w:r>
    </w:p>
    <w:p w:rsidR="008E6409" w:rsidRPr="008003E3" w:rsidRDefault="008E6409" w:rsidP="008E6409">
      <w:pPr>
        <w:keepLines/>
        <w:widowControl w:val="0"/>
        <w:jc w:val="both"/>
      </w:pPr>
    </w:p>
    <w:p w:rsidR="00A26ADB" w:rsidRPr="008003E3" w:rsidRDefault="00A26ADB" w:rsidP="00A26ADB">
      <w:pPr>
        <w:autoSpaceDE w:val="0"/>
        <w:autoSpaceDN w:val="0"/>
        <w:adjustRightInd w:val="0"/>
        <w:jc w:val="both"/>
        <w:rPr>
          <w:color w:val="000000"/>
          <w:lang w:eastAsia="es-PE"/>
        </w:rPr>
      </w:pPr>
      <w:r w:rsidRPr="008003E3">
        <w:rPr>
          <w:color w:val="000000"/>
          <w:lang w:eastAsia="es-PE"/>
        </w:rPr>
        <w:t xml:space="preserve">Ahora bien, debemos afirmar que para la determinación de los bienes que serán considerados como similares al objeto de la convocatoria, debe tenerse en cuenta que son bienes similares aquellos de </w:t>
      </w:r>
      <w:r w:rsidRPr="008003E3">
        <w:rPr>
          <w:color w:val="000000"/>
          <w:u w:val="single"/>
          <w:lang w:eastAsia="es-PE"/>
        </w:rPr>
        <w:t>naturaleza semejante</w:t>
      </w:r>
      <w:r w:rsidRPr="008003E3">
        <w:rPr>
          <w:color w:val="000000"/>
          <w:lang w:eastAsia="es-PE"/>
        </w:rPr>
        <w:t xml:space="preserve">, no necesariamente iguales, que </w:t>
      </w:r>
      <w:r w:rsidRPr="008003E3">
        <w:rPr>
          <w:color w:val="000000"/>
          <w:u w:val="single"/>
          <w:lang w:eastAsia="es-PE"/>
        </w:rPr>
        <w:t xml:space="preserve">reúnan alguna o algunas de las características </w:t>
      </w:r>
      <w:r w:rsidRPr="008003E3">
        <w:rPr>
          <w:i/>
          <w:iCs/>
          <w:color w:val="000000"/>
          <w:u w:val="single"/>
          <w:lang w:eastAsia="es-PE"/>
        </w:rPr>
        <w:t>que definen la naturaleza del bien</w:t>
      </w:r>
      <w:r w:rsidRPr="008003E3">
        <w:rPr>
          <w:color w:val="000000"/>
          <w:lang w:eastAsia="es-PE"/>
        </w:rPr>
        <w:t xml:space="preserve"> materia del proceso.</w:t>
      </w:r>
    </w:p>
    <w:p w:rsidR="00A26ADB" w:rsidRPr="008003E3" w:rsidRDefault="00A26ADB" w:rsidP="00A26ADB">
      <w:pPr>
        <w:autoSpaceDE w:val="0"/>
        <w:autoSpaceDN w:val="0"/>
        <w:adjustRightInd w:val="0"/>
        <w:jc w:val="both"/>
        <w:rPr>
          <w:color w:val="000000"/>
          <w:lang w:eastAsia="es-PE"/>
        </w:rPr>
      </w:pPr>
    </w:p>
    <w:p w:rsidR="00A26ADB" w:rsidRDefault="00A26ADB" w:rsidP="00A26ADB">
      <w:pPr>
        <w:autoSpaceDE w:val="0"/>
        <w:autoSpaceDN w:val="0"/>
        <w:adjustRightInd w:val="0"/>
        <w:ind w:right="-1"/>
        <w:jc w:val="both"/>
        <w:rPr>
          <w:color w:val="000000"/>
          <w:lang w:eastAsia="es-PE"/>
        </w:rPr>
      </w:pPr>
      <w:r w:rsidRPr="008003E3">
        <w:rPr>
          <w:color w:val="000000"/>
          <w:lang w:eastAsia="es-PE"/>
        </w:rPr>
        <w:t xml:space="preserve">Asimismo, cabe señalar que, la definición de bienes similares no va dirigida a posibilitar que la experiencia se acredite con prestaciones que han involucrado cualquier característica del bien a adquirir, sino a </w:t>
      </w:r>
      <w:r w:rsidRPr="008003E3">
        <w:rPr>
          <w:color w:val="000000"/>
          <w:u w:val="single"/>
          <w:lang w:eastAsia="es-PE"/>
        </w:rPr>
        <w:t>asegurar el conocimiento de los postores en el objeto de la convocatoria</w:t>
      </w:r>
      <w:r w:rsidRPr="008003E3">
        <w:rPr>
          <w:color w:val="000000"/>
          <w:lang w:eastAsia="es-PE"/>
        </w:rPr>
        <w:t>.</w:t>
      </w:r>
    </w:p>
    <w:p w:rsidR="00E43B28" w:rsidRDefault="00E43B28" w:rsidP="00A26ADB">
      <w:pPr>
        <w:autoSpaceDE w:val="0"/>
        <w:autoSpaceDN w:val="0"/>
        <w:adjustRightInd w:val="0"/>
        <w:ind w:right="-1"/>
        <w:jc w:val="both"/>
        <w:rPr>
          <w:color w:val="000000"/>
          <w:lang w:eastAsia="es-PE"/>
        </w:rPr>
      </w:pPr>
    </w:p>
    <w:p w:rsidR="00E43B28" w:rsidRDefault="00E43B28" w:rsidP="00A26ADB">
      <w:pPr>
        <w:autoSpaceDE w:val="0"/>
        <w:autoSpaceDN w:val="0"/>
        <w:adjustRightInd w:val="0"/>
        <w:ind w:right="-1"/>
        <w:jc w:val="both"/>
        <w:rPr>
          <w:color w:val="000000"/>
          <w:lang w:eastAsia="es-PE"/>
        </w:rPr>
      </w:pPr>
      <w:r>
        <w:rPr>
          <w:color w:val="000000"/>
          <w:lang w:eastAsia="es-PE"/>
        </w:rPr>
        <w:t>Ahora bien, de lo expuesto por el Comité Especial se advierte que sólo se aceptará la acreditación de la experiencia del postor con bienes iguales, lo cual no se ajusta a lo dispuesto en la normativa de contratación pública.</w:t>
      </w:r>
    </w:p>
    <w:p w:rsidR="00E43B28" w:rsidRPr="008003E3" w:rsidRDefault="00E43B28" w:rsidP="00A26ADB">
      <w:pPr>
        <w:autoSpaceDE w:val="0"/>
        <w:autoSpaceDN w:val="0"/>
        <w:adjustRightInd w:val="0"/>
        <w:ind w:right="-1"/>
        <w:jc w:val="both"/>
      </w:pPr>
    </w:p>
    <w:p w:rsidR="00CB452F" w:rsidRPr="008003E3" w:rsidRDefault="00E43B28" w:rsidP="00CB452F">
      <w:pPr>
        <w:autoSpaceDE w:val="0"/>
        <w:autoSpaceDN w:val="0"/>
        <w:adjustRightInd w:val="0"/>
        <w:ind w:right="-1"/>
        <w:jc w:val="both"/>
      </w:pPr>
      <w:r>
        <w:t>No obstante ello</w:t>
      </w:r>
      <w:r w:rsidR="0026352C" w:rsidRPr="008003E3">
        <w:t xml:space="preserve">, considerando que es competencia de la Entidad determinar la definición de los bienes que serán considerados similares y que la Entidad ha definición los bienes similares en función de su necesidad, en tanto la pretensión del recurrente es </w:t>
      </w:r>
      <w:r w:rsidR="0026352C" w:rsidRPr="008003E3">
        <w:lastRenderedPageBreak/>
        <w:t xml:space="preserve">que se modifique la definición de bienes similares, en función de su interés particular, este Organismo Supervisor ha decidido </w:t>
      </w:r>
      <w:r w:rsidR="0026352C" w:rsidRPr="008003E3">
        <w:rPr>
          <w:b/>
        </w:rPr>
        <w:t>NO ACOGER</w:t>
      </w:r>
      <w:r w:rsidR="0026352C" w:rsidRPr="008003E3">
        <w:t xml:space="preserve"> la presente observación.</w:t>
      </w:r>
    </w:p>
    <w:p w:rsidR="00CB452F" w:rsidRPr="008003E3" w:rsidRDefault="00CB452F" w:rsidP="00CB452F">
      <w:pPr>
        <w:autoSpaceDE w:val="0"/>
        <w:autoSpaceDN w:val="0"/>
        <w:adjustRightInd w:val="0"/>
        <w:ind w:right="-1"/>
        <w:jc w:val="both"/>
      </w:pPr>
    </w:p>
    <w:p w:rsidR="00E43B28" w:rsidRDefault="0026352C" w:rsidP="00E43B28">
      <w:pPr>
        <w:autoSpaceDE w:val="0"/>
        <w:autoSpaceDN w:val="0"/>
        <w:adjustRightInd w:val="0"/>
        <w:ind w:right="-1"/>
        <w:jc w:val="both"/>
      </w:pPr>
      <w:r w:rsidRPr="008003E3">
        <w:rPr>
          <w:bCs/>
        </w:rPr>
        <w:t>Sin</w:t>
      </w:r>
      <w:r w:rsidR="008E6409" w:rsidRPr="008003E3">
        <w:rPr>
          <w:bCs/>
        </w:rPr>
        <w:t xml:space="preserve"> perjuicio de</w:t>
      </w:r>
      <w:r w:rsidRPr="008003E3">
        <w:rPr>
          <w:bCs/>
        </w:rPr>
        <w:t xml:space="preserve"> ello, </w:t>
      </w:r>
      <w:r w:rsidRPr="008003E3">
        <w:rPr>
          <w:b/>
          <w:u w:val="single"/>
        </w:rPr>
        <w:t>deberá precisarse</w:t>
      </w:r>
      <w:r w:rsidRPr="008003E3">
        <w:t xml:space="preserve"> en las Bases integradas una lista de los bienes similares al objeto de la convocatoria, </w:t>
      </w:r>
      <w:r w:rsidR="00CB452F" w:rsidRPr="008003E3">
        <w:t>teniendo en consideración que son bienes similares aquellos de naturaleza y características semejantes y no iguales al que se desea contratar</w:t>
      </w:r>
      <w:r w:rsidR="00E43B28">
        <w:t>.</w:t>
      </w:r>
      <w:r w:rsidRPr="008003E3">
        <w:t xml:space="preserve"> </w:t>
      </w:r>
    </w:p>
    <w:p w:rsidR="00E43B28" w:rsidRDefault="00E43B28" w:rsidP="00E43B28">
      <w:pPr>
        <w:autoSpaceDE w:val="0"/>
        <w:autoSpaceDN w:val="0"/>
        <w:adjustRightInd w:val="0"/>
        <w:ind w:right="-1"/>
        <w:jc w:val="both"/>
      </w:pPr>
    </w:p>
    <w:p w:rsidR="00A26ADB" w:rsidRDefault="00A26ADB" w:rsidP="00E43B28">
      <w:pPr>
        <w:autoSpaceDE w:val="0"/>
        <w:autoSpaceDN w:val="0"/>
        <w:adjustRightInd w:val="0"/>
        <w:ind w:right="-1"/>
        <w:jc w:val="both"/>
      </w:pPr>
      <w:r w:rsidRPr="008003E3">
        <w:t>Cabe acotar que, en l</w:t>
      </w:r>
      <w:r w:rsidR="00E43B28">
        <w:t xml:space="preserve">a medida que la definición de los bienes similares es </w:t>
      </w:r>
      <w:r w:rsidRPr="008003E3">
        <w:t>responsabilidad de la Entidad, su contenido se encuentra sujeto a ren</w:t>
      </w:r>
      <w:r w:rsidR="00E43B28">
        <w:t xml:space="preserve">dición de cuentas por parte de la </w:t>
      </w:r>
      <w:r w:rsidRPr="008003E3">
        <w:t>de</w:t>
      </w:r>
      <w:r w:rsidR="00E43B28">
        <w:t>pendencia técnica encargada de su</w:t>
      </w:r>
      <w:r w:rsidRPr="008003E3">
        <w:t xml:space="preserve"> determinación, en caso de corresponder, ante el Titular de la Entidad, la Contraloría General de la República, Ministerio Público, Poder Judicial y/o ante otros organismo competentes, no siendo este Organismo Supervisor perito técnico en aspectos específicos de las características técnicas.</w:t>
      </w:r>
    </w:p>
    <w:p w:rsidR="00E15896" w:rsidRPr="00E43B28" w:rsidRDefault="00E15896" w:rsidP="00E43B28">
      <w:pPr>
        <w:autoSpaceDE w:val="0"/>
        <w:autoSpaceDN w:val="0"/>
        <w:adjustRightInd w:val="0"/>
        <w:ind w:right="-1"/>
        <w:jc w:val="both"/>
      </w:pPr>
    </w:p>
    <w:p w:rsidR="001F786F" w:rsidRPr="008003E3" w:rsidRDefault="001F786F" w:rsidP="001F786F">
      <w:pPr>
        <w:widowControl w:val="0"/>
        <w:ind w:left="284" w:hanging="284"/>
        <w:jc w:val="both"/>
        <w:rPr>
          <w:b/>
          <w:lang w:val="es-PE"/>
        </w:rPr>
      </w:pPr>
      <w:r w:rsidRPr="008003E3">
        <w:rPr>
          <w:b/>
          <w:lang w:val="es-PE"/>
        </w:rPr>
        <w:t xml:space="preserve">3. CONTENIDO DE LAS BASES CONTRARIO A LA NORMATIVA SOBRE CONTRATACIONES DEL ESTADO </w:t>
      </w:r>
    </w:p>
    <w:p w:rsidR="003A3E61" w:rsidRPr="008003E3" w:rsidRDefault="003A3E61" w:rsidP="003A3E61">
      <w:pPr>
        <w:widowControl w:val="0"/>
        <w:shd w:val="clear" w:color="auto" w:fill="FFFFFF"/>
        <w:tabs>
          <w:tab w:val="left" w:pos="540"/>
        </w:tabs>
        <w:jc w:val="both"/>
        <w:rPr>
          <w:b/>
          <w:lang w:val="es-PE"/>
        </w:rPr>
      </w:pPr>
    </w:p>
    <w:p w:rsidR="003A3E61" w:rsidRPr="008003E3" w:rsidRDefault="003A3E61" w:rsidP="008D7E18">
      <w:pPr>
        <w:pStyle w:val="Ttulo8"/>
        <w:widowControl w:val="0"/>
        <w:spacing w:before="0" w:after="0"/>
        <w:jc w:val="both"/>
        <w:rPr>
          <w:rFonts w:ascii="Times New Roman" w:hAnsi="Times New Roman"/>
          <w:i w:val="0"/>
          <w:lang w:val="es-ES"/>
        </w:rPr>
      </w:pPr>
      <w:r w:rsidRPr="008003E3">
        <w:rPr>
          <w:rFonts w:ascii="Times New Roman" w:hAnsi="Times New Roman"/>
          <w:i w:val="0"/>
          <w:lang w:val="es-ES"/>
        </w:rPr>
        <w:t xml:space="preserve">En ejercicio de su función de velar por el cumplimiento de la Ley y su </w:t>
      </w:r>
      <w:r w:rsidRPr="008003E3">
        <w:rPr>
          <w:rFonts w:ascii="Times New Roman" w:hAnsi="Times New Roman"/>
          <w:i w:val="0"/>
        </w:rPr>
        <w:t>Reglamento</w:t>
      </w:r>
      <w:r w:rsidRPr="008003E3">
        <w:rPr>
          <w:rFonts w:ascii="Times New Roman" w:hAnsi="Times New Roman"/>
          <w:i w:val="0"/>
          <w:lang w:val="es-ES"/>
        </w:rPr>
        <w:t xml:space="preserve">, de conformidad con lo dispuesto en el literal a) del artículo 58° de la Ley, este Organismo Supervisor ha efectuado una revisión </w:t>
      </w:r>
      <w:r w:rsidRPr="008003E3">
        <w:rPr>
          <w:rFonts w:ascii="Times New Roman" w:hAnsi="Times New Roman"/>
          <w:i w:val="0"/>
          <w:lang w:val="es-PE"/>
        </w:rPr>
        <w:t>de</w:t>
      </w:r>
      <w:r w:rsidRPr="008003E3">
        <w:rPr>
          <w:rFonts w:ascii="Times New Roman" w:hAnsi="Times New Roman"/>
          <w:i w:val="0"/>
          <w:lang w:val="es-ES"/>
        </w:rPr>
        <w:t xml:space="preserve"> oficio de las Bases del presente proceso, advirtiendo las siguientes deficiencias, las mismas que deberán ser implementadas, obligatoriamente, en la Integración de Bases, en mérito a lo dispuesto en el artículo 59° del Reglamento.</w:t>
      </w:r>
    </w:p>
    <w:p w:rsidR="00AD5972" w:rsidRPr="008003E3" w:rsidRDefault="00AD5972" w:rsidP="00AD5972">
      <w:pPr>
        <w:rPr>
          <w:lang w:val="es-ES"/>
        </w:rPr>
      </w:pPr>
    </w:p>
    <w:p w:rsidR="00DD6CE6" w:rsidRPr="008003E3" w:rsidRDefault="00DD6CE6" w:rsidP="00DD6CE6">
      <w:pPr>
        <w:widowControl w:val="0"/>
        <w:numPr>
          <w:ilvl w:val="0"/>
          <w:numId w:val="6"/>
        </w:numPr>
        <w:ind w:left="0" w:firstLine="0"/>
        <w:jc w:val="both"/>
        <w:rPr>
          <w:b/>
          <w:iCs/>
        </w:rPr>
      </w:pPr>
      <w:r w:rsidRPr="008003E3">
        <w:rPr>
          <w:b/>
        </w:rPr>
        <w:t>Objeto de contratación</w:t>
      </w:r>
    </w:p>
    <w:p w:rsidR="00DD6CE6" w:rsidRPr="008003E3" w:rsidRDefault="00DD6CE6" w:rsidP="00DD6CE6">
      <w:pPr>
        <w:widowControl w:val="0"/>
        <w:ind w:left="2268" w:hanging="2268"/>
        <w:jc w:val="both"/>
        <w:rPr>
          <w:b/>
        </w:rPr>
      </w:pPr>
    </w:p>
    <w:p w:rsidR="00DD6CE6" w:rsidRPr="008003E3" w:rsidRDefault="00DD6CE6" w:rsidP="00DD6CE6">
      <w:pPr>
        <w:autoSpaceDE w:val="0"/>
        <w:autoSpaceDN w:val="0"/>
        <w:adjustRightInd w:val="0"/>
        <w:jc w:val="both"/>
        <w:rPr>
          <w:rFonts w:eastAsia="Calibri"/>
          <w:color w:val="000000"/>
          <w:lang w:eastAsia="es-ES"/>
        </w:rPr>
      </w:pPr>
      <w:r w:rsidRPr="008003E3">
        <w:rPr>
          <w:rFonts w:eastAsia="Calibri"/>
          <w:color w:val="000000"/>
          <w:lang w:eastAsia="es-ES"/>
        </w:rPr>
        <w:t>En el Capítulo I de la Sección Específica de las Bases, se consignó lo siguiente:</w:t>
      </w:r>
    </w:p>
    <w:p w:rsidR="00DD6CE6" w:rsidRPr="008003E3" w:rsidRDefault="00DD6CE6" w:rsidP="00DD6CE6">
      <w:pPr>
        <w:autoSpaceDE w:val="0"/>
        <w:autoSpaceDN w:val="0"/>
        <w:adjustRightInd w:val="0"/>
        <w:jc w:val="both"/>
        <w:rPr>
          <w:rFonts w:eastAsia="Calibri"/>
          <w:color w:val="000000"/>
          <w:lang w:eastAsia="es-ES"/>
        </w:rPr>
      </w:pPr>
    </w:p>
    <w:p w:rsidR="008003E3" w:rsidRPr="008003E3" w:rsidRDefault="008003E3" w:rsidP="008003E3">
      <w:pPr>
        <w:autoSpaceDE w:val="0"/>
        <w:autoSpaceDN w:val="0"/>
        <w:adjustRightInd w:val="0"/>
        <w:ind w:left="708"/>
        <w:jc w:val="both"/>
        <w:rPr>
          <w:rFonts w:eastAsia="Calibri"/>
          <w:i/>
          <w:color w:val="000000"/>
          <w:lang w:eastAsia="es-ES"/>
        </w:rPr>
      </w:pPr>
      <w:r w:rsidRPr="008003E3">
        <w:rPr>
          <w:rFonts w:eastAsia="Calibri"/>
          <w:i/>
          <w:color w:val="000000"/>
          <w:lang w:eastAsia="es-ES"/>
        </w:rPr>
        <w:t>“1.2.</w:t>
      </w:r>
      <w:r w:rsidRPr="008003E3">
        <w:rPr>
          <w:rFonts w:eastAsia="Calibri"/>
          <w:i/>
          <w:color w:val="000000"/>
          <w:lang w:eastAsia="es-ES"/>
        </w:rPr>
        <w:tab/>
        <w:t xml:space="preserve">OBJETO DE LA CONVOCATORIA </w:t>
      </w:r>
    </w:p>
    <w:p w:rsidR="008003E3" w:rsidRPr="008003E3" w:rsidRDefault="008003E3" w:rsidP="008003E3">
      <w:pPr>
        <w:autoSpaceDE w:val="0"/>
        <w:autoSpaceDN w:val="0"/>
        <w:adjustRightInd w:val="0"/>
        <w:ind w:left="708"/>
        <w:jc w:val="both"/>
        <w:rPr>
          <w:rFonts w:eastAsia="Calibri"/>
          <w:color w:val="000000"/>
          <w:lang w:eastAsia="es-ES"/>
        </w:rPr>
      </w:pPr>
      <w:r w:rsidRPr="008003E3">
        <w:rPr>
          <w:rFonts w:eastAsia="Calibri"/>
          <w:i/>
          <w:color w:val="000000"/>
          <w:lang w:eastAsia="es-ES"/>
        </w:rPr>
        <w:t xml:space="preserve">El presente proceso de selección tiene por objeto la contratación para la </w:t>
      </w:r>
      <w:r w:rsidRPr="008003E3">
        <w:rPr>
          <w:rFonts w:eastAsia="Calibri"/>
          <w:b/>
          <w:i/>
          <w:color w:val="000000"/>
          <w:u w:val="single"/>
          <w:lang w:eastAsia="es-ES"/>
        </w:rPr>
        <w:t xml:space="preserve">ADQUISICIÓN DE REPUESTOS PARA LA EXCAVADORA SOBRE ORUGA NEW </w:t>
      </w:r>
      <w:proofErr w:type="spellStart"/>
      <w:r w:rsidRPr="008003E3">
        <w:rPr>
          <w:rFonts w:eastAsia="Calibri"/>
          <w:b/>
          <w:i/>
          <w:color w:val="000000"/>
          <w:u w:val="single"/>
          <w:lang w:eastAsia="es-ES"/>
        </w:rPr>
        <w:t>HOLLAND</w:t>
      </w:r>
      <w:proofErr w:type="spellEnd"/>
      <w:r w:rsidRPr="008003E3">
        <w:rPr>
          <w:rFonts w:eastAsia="Calibri"/>
          <w:b/>
          <w:i/>
          <w:color w:val="000000"/>
          <w:u w:val="single"/>
          <w:lang w:eastAsia="es-ES"/>
        </w:rPr>
        <w:t xml:space="preserve"> MODELO SK210-LC SERIE N8DA21236</w:t>
      </w:r>
      <w:r w:rsidRPr="008003E3">
        <w:rPr>
          <w:rFonts w:eastAsia="Calibri"/>
          <w:i/>
          <w:color w:val="000000"/>
          <w:lang w:eastAsia="es-ES"/>
        </w:rPr>
        <w:t xml:space="preserve">.” </w:t>
      </w:r>
      <w:r w:rsidRPr="008003E3">
        <w:rPr>
          <w:rFonts w:eastAsia="Calibri"/>
          <w:color w:val="000000"/>
          <w:lang w:eastAsia="es-ES"/>
        </w:rPr>
        <w:t>(El subrayado y negrita es agregado)</w:t>
      </w:r>
    </w:p>
    <w:p w:rsidR="008003E3" w:rsidRPr="008003E3" w:rsidRDefault="008003E3" w:rsidP="00DD6CE6">
      <w:pPr>
        <w:autoSpaceDE w:val="0"/>
        <w:autoSpaceDN w:val="0"/>
        <w:adjustRightInd w:val="0"/>
        <w:jc w:val="both"/>
        <w:rPr>
          <w:rFonts w:eastAsia="Calibri"/>
          <w:color w:val="000000"/>
          <w:lang w:eastAsia="es-ES"/>
        </w:rPr>
      </w:pPr>
    </w:p>
    <w:p w:rsidR="008003E3" w:rsidRDefault="00DD6CE6" w:rsidP="008003E3">
      <w:pPr>
        <w:autoSpaceDE w:val="0"/>
        <w:autoSpaceDN w:val="0"/>
        <w:adjustRightInd w:val="0"/>
        <w:jc w:val="both"/>
        <w:rPr>
          <w:rFonts w:eastAsia="Calibri"/>
          <w:color w:val="000000"/>
          <w:lang w:eastAsia="es-ES"/>
        </w:rPr>
      </w:pPr>
      <w:r w:rsidRPr="008003E3">
        <w:rPr>
          <w:rFonts w:eastAsia="Calibri"/>
          <w:color w:val="000000"/>
          <w:lang w:eastAsia="es-ES"/>
        </w:rPr>
        <w:t>Asimismo, en el numeral 1</w:t>
      </w:r>
      <w:r w:rsidR="008003E3" w:rsidRPr="008003E3">
        <w:rPr>
          <w:rFonts w:eastAsia="Calibri"/>
          <w:color w:val="000000"/>
          <w:lang w:eastAsia="es-ES"/>
        </w:rPr>
        <w:t>.3</w:t>
      </w:r>
      <w:r w:rsidRPr="008003E3">
        <w:rPr>
          <w:rFonts w:eastAsia="Calibri"/>
          <w:color w:val="000000"/>
          <w:lang w:eastAsia="es-ES"/>
        </w:rPr>
        <w:t xml:space="preserve"> del Capítulo III de la Sección Específica de las Bases, se advierte que </w:t>
      </w:r>
      <w:r w:rsidR="008003E3" w:rsidRPr="008003E3">
        <w:rPr>
          <w:rFonts w:eastAsia="Calibri"/>
          <w:color w:val="000000"/>
          <w:lang w:eastAsia="es-ES"/>
        </w:rPr>
        <w:t>las siguientes especificaciones técnicas de los bienes a adquirir:</w:t>
      </w:r>
    </w:p>
    <w:p w:rsidR="008003E3" w:rsidRDefault="008003E3" w:rsidP="008003E3">
      <w:pPr>
        <w:autoSpaceDE w:val="0"/>
        <w:autoSpaceDN w:val="0"/>
        <w:adjustRightInd w:val="0"/>
        <w:jc w:val="both"/>
        <w:rPr>
          <w:rFonts w:eastAsia="Calibri"/>
          <w:color w:val="000000"/>
          <w:lang w:eastAsia="es-ES"/>
        </w:rPr>
      </w:pPr>
    </w:p>
    <w:p w:rsidR="008003E3" w:rsidRPr="008003E3" w:rsidRDefault="008003E3" w:rsidP="008003E3">
      <w:pPr>
        <w:autoSpaceDE w:val="0"/>
        <w:autoSpaceDN w:val="0"/>
        <w:adjustRightInd w:val="0"/>
        <w:ind w:firstLine="708"/>
        <w:jc w:val="both"/>
        <w:rPr>
          <w:rFonts w:eastAsia="Calibri"/>
          <w:color w:val="000000"/>
          <w:lang w:eastAsia="es-ES"/>
        </w:rPr>
      </w:pPr>
      <w:r w:rsidRPr="008003E3">
        <w:rPr>
          <w:i/>
          <w:lang w:val="es-ES"/>
        </w:rPr>
        <w:t>“1.3 ESPECIFICACIONES TÉCNICAS REQUERIDAS:</w:t>
      </w:r>
    </w:p>
    <w:p w:rsidR="008003E3" w:rsidRPr="008003E3" w:rsidRDefault="008003E3" w:rsidP="008003E3">
      <w:pPr>
        <w:pStyle w:val="Prrafodelista"/>
        <w:ind w:left="1056"/>
        <w:jc w:val="both"/>
        <w:rPr>
          <w:i/>
          <w:lang w:val="es-ES"/>
        </w:rPr>
      </w:pPr>
      <w:r w:rsidRPr="008003E3">
        <w:rPr>
          <w:i/>
          <w:lang w:val="es-ES"/>
        </w:rPr>
        <w:t>Los repuestos deben ser de buena calidad (originales) que reúnan las especificaciones técnicas, certificación de calidad y garantía técnica para maximizar la duración y garantizar el óptimo funcionamiento y operatividad de las maquinarias.</w:t>
      </w:r>
    </w:p>
    <w:p w:rsidR="008003E3" w:rsidRPr="008003E3" w:rsidRDefault="008003E3" w:rsidP="008003E3">
      <w:pPr>
        <w:pStyle w:val="Prrafodelista"/>
        <w:ind w:left="1056"/>
        <w:jc w:val="both"/>
        <w:rPr>
          <w:i/>
          <w:lang w:val="es-ES"/>
        </w:rPr>
      </w:pPr>
      <w:r w:rsidRPr="008003E3">
        <w:rPr>
          <w:i/>
          <w:lang w:val="es-ES"/>
        </w:rPr>
        <w:t xml:space="preserve">Procedencia: argentina, Brasil, USA </w:t>
      </w:r>
      <w:proofErr w:type="gramStart"/>
      <w:r w:rsidRPr="008003E3">
        <w:rPr>
          <w:i/>
          <w:lang w:val="es-ES"/>
        </w:rPr>
        <w:t>y</w:t>
      </w:r>
      <w:proofErr w:type="gramEnd"/>
      <w:r w:rsidRPr="008003E3">
        <w:rPr>
          <w:i/>
          <w:lang w:val="es-ES"/>
        </w:rPr>
        <w:t xml:space="preserve"> Italia</w:t>
      </w:r>
    </w:p>
    <w:p w:rsidR="008003E3" w:rsidRDefault="008003E3" w:rsidP="008003E3">
      <w:pPr>
        <w:pStyle w:val="Prrafodelista"/>
        <w:ind w:left="1056"/>
        <w:jc w:val="both"/>
        <w:rPr>
          <w:i/>
          <w:lang w:val="es-ES"/>
        </w:rPr>
      </w:pPr>
      <w:r w:rsidRPr="008003E3">
        <w:rPr>
          <w:i/>
          <w:lang w:val="es-ES"/>
        </w:rPr>
        <w:t>(…)</w:t>
      </w:r>
    </w:p>
    <w:p w:rsidR="00E15896" w:rsidRDefault="00E15896" w:rsidP="008003E3">
      <w:pPr>
        <w:pStyle w:val="Prrafodelista"/>
        <w:ind w:left="1056"/>
        <w:jc w:val="both"/>
        <w:rPr>
          <w:i/>
          <w:lang w:val="es-ES"/>
        </w:rPr>
      </w:pPr>
    </w:p>
    <w:p w:rsidR="00E15896" w:rsidRDefault="00E15896" w:rsidP="008003E3">
      <w:pPr>
        <w:pStyle w:val="Prrafodelista"/>
        <w:ind w:left="1056"/>
        <w:jc w:val="both"/>
        <w:rPr>
          <w:i/>
          <w:lang w:val="es-ES"/>
        </w:rPr>
      </w:pPr>
    </w:p>
    <w:tbl>
      <w:tblPr>
        <w:tblW w:w="6407" w:type="dxa"/>
        <w:tblInd w:w="1416" w:type="dxa"/>
        <w:tblCellMar>
          <w:left w:w="70" w:type="dxa"/>
          <w:right w:w="70" w:type="dxa"/>
        </w:tblCellMar>
        <w:tblLook w:val="04A0"/>
      </w:tblPr>
      <w:tblGrid>
        <w:gridCol w:w="700"/>
        <w:gridCol w:w="2916"/>
        <w:gridCol w:w="850"/>
        <w:gridCol w:w="1941"/>
      </w:tblGrid>
      <w:tr w:rsidR="008003E3" w:rsidRPr="008003E3" w:rsidTr="008003E3">
        <w:trPr>
          <w:trHeight w:val="600"/>
        </w:trPr>
        <w:tc>
          <w:tcPr>
            <w:tcW w:w="6407" w:type="dxa"/>
            <w:gridSpan w:val="4"/>
            <w:tcBorders>
              <w:top w:val="nil"/>
              <w:left w:val="nil"/>
              <w:bottom w:val="single" w:sz="4" w:space="0" w:color="auto"/>
              <w:right w:val="nil"/>
            </w:tcBorders>
            <w:shd w:val="clear" w:color="auto" w:fill="auto"/>
            <w:vAlign w:val="bottom"/>
            <w:hideMark/>
          </w:tcPr>
          <w:p w:rsidR="008003E3" w:rsidRDefault="008003E3" w:rsidP="008003E3">
            <w:pPr>
              <w:jc w:val="center"/>
              <w:rPr>
                <w:b/>
                <w:bCs/>
                <w:i/>
                <w:u w:val="single"/>
              </w:rPr>
            </w:pPr>
            <w:r w:rsidRPr="008003E3">
              <w:rPr>
                <w:b/>
                <w:bCs/>
                <w:i/>
                <w:u w:val="single"/>
              </w:rPr>
              <w:lastRenderedPageBreak/>
              <w:t xml:space="preserve">EXCAVADORA SOBRE ORUGAS NEW </w:t>
            </w:r>
            <w:proofErr w:type="spellStart"/>
            <w:r w:rsidRPr="008003E3">
              <w:rPr>
                <w:b/>
                <w:bCs/>
                <w:i/>
                <w:u w:val="single"/>
              </w:rPr>
              <w:t>HOLLAND</w:t>
            </w:r>
            <w:proofErr w:type="spellEnd"/>
            <w:r w:rsidRPr="008003E3">
              <w:rPr>
                <w:b/>
                <w:bCs/>
                <w:i/>
                <w:u w:val="single"/>
              </w:rPr>
              <w:t>/</w:t>
            </w:r>
            <w:proofErr w:type="spellStart"/>
            <w:r w:rsidRPr="008003E3">
              <w:rPr>
                <w:b/>
                <w:bCs/>
                <w:i/>
                <w:u w:val="single"/>
              </w:rPr>
              <w:t>KOBELCO</w:t>
            </w:r>
            <w:proofErr w:type="spellEnd"/>
            <w:r w:rsidRPr="008003E3">
              <w:rPr>
                <w:b/>
                <w:bCs/>
                <w:i/>
                <w:u w:val="single"/>
              </w:rPr>
              <w:t xml:space="preserve"> MOD:SK210-LC SERIE N8DA21236 </w:t>
            </w:r>
          </w:p>
          <w:p w:rsidR="008003E3" w:rsidRPr="008003E3" w:rsidRDefault="008003E3" w:rsidP="008003E3">
            <w:pPr>
              <w:jc w:val="center"/>
              <w:rPr>
                <w:b/>
                <w:bCs/>
                <w:i/>
                <w:u w:val="single"/>
              </w:rPr>
            </w:pP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bCs/>
                <w:i/>
              </w:rPr>
            </w:pPr>
            <w:proofErr w:type="spellStart"/>
            <w:r w:rsidRPr="008003E3">
              <w:rPr>
                <w:bCs/>
                <w:i/>
              </w:rPr>
              <w:t>ITEM</w:t>
            </w:r>
            <w:proofErr w:type="spellEnd"/>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bCs/>
                <w:i/>
              </w:rPr>
            </w:pPr>
            <w:proofErr w:type="spellStart"/>
            <w:r w:rsidRPr="008003E3">
              <w:rPr>
                <w:bCs/>
                <w:i/>
              </w:rPr>
              <w:t>DESCRIPCION</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bCs/>
                <w:i/>
              </w:rPr>
            </w:pPr>
            <w:proofErr w:type="spellStart"/>
            <w:r w:rsidRPr="008003E3">
              <w:rPr>
                <w:bCs/>
                <w:i/>
              </w:rPr>
              <w:t>CANT</w:t>
            </w:r>
            <w:proofErr w:type="spellEnd"/>
            <w:r w:rsidRPr="008003E3">
              <w:rPr>
                <w:bCs/>
                <w:i/>
              </w:rPr>
              <w:t>.</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bCs/>
                <w:i/>
              </w:rPr>
            </w:pPr>
            <w:proofErr w:type="spellStart"/>
            <w:r w:rsidRPr="008003E3">
              <w:rPr>
                <w:bCs/>
                <w:i/>
              </w:rPr>
              <w:t>CODIGO</w:t>
            </w:r>
            <w:proofErr w:type="spellEnd"/>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1</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TURBOCHARGER</w:t>
            </w:r>
            <w:proofErr w:type="spellEnd"/>
            <w:r w:rsidRPr="008003E3">
              <w:rPr>
                <w:i/>
              </w:rPr>
              <w:t xml:space="preserve"> .</w:t>
            </w:r>
            <w:proofErr w:type="spellStart"/>
            <w:r w:rsidRPr="008003E3">
              <w:rPr>
                <w:i/>
              </w:rPr>
              <w:t>TURGO</w:t>
            </w:r>
            <w:proofErr w:type="spellEnd"/>
            <w:r w:rsidRPr="008003E3">
              <w:rPr>
                <w:i/>
              </w:rPr>
              <w:t xml:space="preserve"> </w:t>
            </w:r>
            <w:proofErr w:type="spellStart"/>
            <w:r w:rsidRPr="008003E3">
              <w:rPr>
                <w:i/>
              </w:rPr>
              <w:t>ASSY</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1</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2855890</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GASKET</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1</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4895132</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3</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GASKET</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6</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504053522</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4</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SEAL</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1</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4895296</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5</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GASKET</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6</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504053522</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6</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ISOLATOR</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6</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4895360</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7</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HOSE</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1</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YN42H02683D1</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8</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HOSE</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1</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YN03H01805D1</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9</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r w:rsidRPr="008003E3">
              <w:rPr>
                <w:i/>
              </w:rPr>
              <w:t xml:space="preserve">KIT </w:t>
            </w:r>
            <w:proofErr w:type="spellStart"/>
            <w:r w:rsidRPr="008003E3">
              <w:rPr>
                <w:i/>
              </w:rPr>
              <w:t>REPAIR</w:t>
            </w:r>
            <w:proofErr w:type="spellEnd"/>
            <w:r w:rsidRPr="008003E3">
              <w:rPr>
                <w:i/>
              </w:rPr>
              <w:t xml:space="preserve"> KIT</w:t>
            </w:r>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1</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YN01V00175R300</w:t>
            </w:r>
          </w:p>
        </w:tc>
      </w:tr>
      <w:tr w:rsidR="008003E3" w:rsidRPr="008003E3" w:rsidTr="008003E3">
        <w:trPr>
          <w:trHeight w:val="28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10</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HOSE</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1</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YN02B1030D1</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11</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O'RING</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ZD12P03400</w:t>
            </w:r>
          </w:p>
        </w:tc>
      </w:tr>
      <w:tr w:rsidR="008003E3" w:rsidRPr="008003E3" w:rsidTr="008003E3">
        <w:trPr>
          <w:trHeight w:val="300"/>
        </w:trPr>
        <w:tc>
          <w:tcPr>
            <w:tcW w:w="700" w:type="dxa"/>
            <w:vMerge w:val="restart"/>
            <w:tcBorders>
              <w:top w:val="nil"/>
              <w:left w:val="single" w:sz="4" w:space="0" w:color="auto"/>
              <w:bottom w:val="single" w:sz="4" w:space="0" w:color="auto"/>
              <w:right w:val="single" w:sz="4" w:space="0" w:color="auto"/>
            </w:tcBorders>
            <w:shd w:val="clear" w:color="auto" w:fill="auto"/>
            <w:vAlign w:val="center"/>
            <w:hideMark/>
          </w:tcPr>
          <w:p w:rsidR="008003E3" w:rsidRPr="008003E3" w:rsidRDefault="008003E3" w:rsidP="008003E3">
            <w:pPr>
              <w:jc w:val="center"/>
              <w:rPr>
                <w:i/>
              </w:rPr>
            </w:pPr>
            <w:r w:rsidRPr="008003E3">
              <w:rPr>
                <w:i/>
              </w:rPr>
              <w:t>12</w:t>
            </w:r>
          </w:p>
        </w:tc>
        <w:tc>
          <w:tcPr>
            <w:tcW w:w="291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003E3" w:rsidRPr="008003E3" w:rsidRDefault="008003E3" w:rsidP="008003E3">
            <w:pPr>
              <w:rPr>
                <w:i/>
              </w:rPr>
            </w:pPr>
            <w:r w:rsidRPr="008003E3">
              <w:rPr>
                <w:i/>
              </w:rPr>
              <w:t xml:space="preserve">MOTOR </w:t>
            </w:r>
            <w:proofErr w:type="spellStart"/>
            <w:r w:rsidRPr="008003E3">
              <w:rPr>
                <w:i/>
              </w:rPr>
              <w:t>ASS'Y</w:t>
            </w:r>
            <w:proofErr w:type="spellEnd"/>
            <w:r w:rsidRPr="008003E3">
              <w:rPr>
                <w:i/>
              </w:rPr>
              <w:t xml:space="preserve"> </w:t>
            </w:r>
            <w:proofErr w:type="spellStart"/>
            <w:r w:rsidRPr="008003E3">
              <w:rPr>
                <w:i/>
              </w:rPr>
              <w:t>PROPEL</w:t>
            </w:r>
            <w:proofErr w:type="spellEnd"/>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8003E3" w:rsidRPr="008003E3" w:rsidRDefault="008003E3" w:rsidP="008003E3">
            <w:pPr>
              <w:jc w:val="center"/>
              <w:rPr>
                <w:i/>
              </w:rPr>
            </w:pPr>
            <w:r w:rsidRPr="008003E3">
              <w:rPr>
                <w:i/>
              </w:rPr>
              <w:t>2</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LQ53D00011F1</w:t>
            </w:r>
          </w:p>
        </w:tc>
      </w:tr>
      <w:tr w:rsidR="008003E3" w:rsidRPr="008003E3" w:rsidTr="008003E3">
        <w:trPr>
          <w:trHeight w:val="285"/>
        </w:trPr>
        <w:tc>
          <w:tcPr>
            <w:tcW w:w="700" w:type="dxa"/>
            <w:vMerge/>
            <w:tcBorders>
              <w:top w:val="nil"/>
              <w:left w:val="single" w:sz="4" w:space="0" w:color="auto"/>
              <w:bottom w:val="single" w:sz="4" w:space="0" w:color="auto"/>
              <w:right w:val="single" w:sz="4" w:space="0" w:color="auto"/>
            </w:tcBorders>
            <w:vAlign w:val="center"/>
            <w:hideMark/>
          </w:tcPr>
          <w:p w:rsidR="008003E3" w:rsidRPr="008003E3" w:rsidRDefault="008003E3" w:rsidP="008003E3">
            <w:pPr>
              <w:rPr>
                <w:i/>
              </w:rPr>
            </w:pPr>
          </w:p>
        </w:tc>
        <w:tc>
          <w:tcPr>
            <w:tcW w:w="2916" w:type="dxa"/>
            <w:vMerge/>
            <w:tcBorders>
              <w:top w:val="nil"/>
              <w:left w:val="single" w:sz="4" w:space="0" w:color="auto"/>
              <w:bottom w:val="single" w:sz="4" w:space="0" w:color="auto"/>
              <w:right w:val="single" w:sz="4" w:space="0" w:color="auto"/>
            </w:tcBorders>
            <w:vAlign w:val="center"/>
            <w:hideMark/>
          </w:tcPr>
          <w:p w:rsidR="008003E3" w:rsidRPr="008003E3" w:rsidRDefault="008003E3" w:rsidP="008003E3">
            <w:pPr>
              <w:rPr>
                <w:i/>
              </w:rPr>
            </w:pPr>
          </w:p>
        </w:tc>
        <w:tc>
          <w:tcPr>
            <w:tcW w:w="850" w:type="dxa"/>
            <w:vMerge/>
            <w:tcBorders>
              <w:top w:val="nil"/>
              <w:left w:val="single" w:sz="4" w:space="0" w:color="auto"/>
              <w:bottom w:val="single" w:sz="4" w:space="0" w:color="auto"/>
              <w:right w:val="single" w:sz="4" w:space="0" w:color="auto"/>
            </w:tcBorders>
            <w:vAlign w:val="center"/>
            <w:hideMark/>
          </w:tcPr>
          <w:p w:rsidR="008003E3" w:rsidRPr="008003E3" w:rsidRDefault="008003E3" w:rsidP="008003E3">
            <w:pPr>
              <w:rPr>
                <w:i/>
              </w:rPr>
            </w:pPr>
          </w:p>
        </w:tc>
        <w:tc>
          <w:tcPr>
            <w:tcW w:w="1941" w:type="dxa"/>
            <w:tcBorders>
              <w:top w:val="nil"/>
              <w:left w:val="nil"/>
              <w:bottom w:val="single" w:sz="4" w:space="0" w:color="auto"/>
              <w:right w:val="single" w:sz="4" w:space="0" w:color="auto"/>
            </w:tcBorders>
            <w:shd w:val="clear" w:color="auto" w:fill="auto"/>
            <w:vAlign w:val="bottom"/>
            <w:hideMark/>
          </w:tcPr>
          <w:p w:rsidR="008003E3" w:rsidRPr="008003E3" w:rsidRDefault="008003E3" w:rsidP="008003E3">
            <w:pPr>
              <w:jc w:val="center"/>
              <w:rPr>
                <w:i/>
              </w:rPr>
            </w:pPr>
            <w:r w:rsidRPr="008003E3">
              <w:rPr>
                <w:i/>
              </w:rPr>
              <w:t>(YN15V0037F1)</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13</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ROLLER</w:t>
            </w:r>
            <w:proofErr w:type="spellEnd"/>
            <w:r w:rsidRPr="008003E3">
              <w:rPr>
                <w:i/>
              </w:rPr>
              <w:t xml:space="preserve">  </w:t>
            </w:r>
            <w:proofErr w:type="spellStart"/>
            <w:r w:rsidRPr="008003E3">
              <w:rPr>
                <w:i/>
              </w:rPr>
              <w:t>TRACK</w:t>
            </w:r>
            <w:proofErr w:type="spellEnd"/>
            <w:r w:rsidRPr="008003E3">
              <w:rPr>
                <w:i/>
              </w:rPr>
              <w:t xml:space="preserve"> </w:t>
            </w:r>
            <w:proofErr w:type="spellStart"/>
            <w:r w:rsidRPr="008003E3">
              <w:rPr>
                <w:i/>
              </w:rPr>
              <w:t>ASSY</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16</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LQ64D00029F1</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14</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IDLER</w:t>
            </w:r>
            <w:proofErr w:type="spellEnd"/>
            <w:r w:rsidRPr="008003E3">
              <w:rPr>
                <w:i/>
              </w:rPr>
              <w:t xml:space="preserve"> </w:t>
            </w:r>
            <w:proofErr w:type="spellStart"/>
            <w:r w:rsidRPr="008003E3">
              <w:rPr>
                <w:i/>
              </w:rPr>
              <w:t>ASS'Y</w:t>
            </w:r>
            <w:proofErr w:type="spellEnd"/>
            <w:r w:rsidRPr="008003E3">
              <w:rPr>
                <w:i/>
              </w:rPr>
              <w:t xml:space="preserve"> </w:t>
            </w:r>
            <w:proofErr w:type="spellStart"/>
            <w:r w:rsidRPr="008003E3">
              <w:rPr>
                <w:i/>
              </w:rPr>
              <w:t>CRAWLER</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YN52D01006P1</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15</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SEAL</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4</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2445R442F1</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16</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O'RING</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4</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ZD11G07000</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17</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BUSHING</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4</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2405P482</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18</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SPROKET</w:t>
            </w:r>
            <w:proofErr w:type="spellEnd"/>
            <w:r w:rsidRPr="008003E3">
              <w:rPr>
                <w:i/>
              </w:rPr>
              <w:t xml:space="preserve"> </w:t>
            </w:r>
            <w:proofErr w:type="spellStart"/>
            <w:r w:rsidRPr="008003E3">
              <w:rPr>
                <w:i/>
              </w:rPr>
              <w:t>DRIVING</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YN51D01003P1</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19</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CAP</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52</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3ZS13C16045</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20</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SCREW</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64</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2420P1580D4</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21</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SEAL</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1</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YN40F01018P1</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22</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BUSHING</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4</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YN12B02221P1</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23</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BUSHING</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LC12B01499P1</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24</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SEAL</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2445R220D3</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25</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SEAL</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2445R220D4</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26</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SEAL</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2445R138D8</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27</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BUSHING</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YN12B02285P1</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28</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BUSHING</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YN12B02102P1</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29</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BUSHING</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YN12B02137P1</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30</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proofErr w:type="spellStart"/>
            <w:r w:rsidRPr="008003E3">
              <w:rPr>
                <w:i/>
              </w:rPr>
              <w:t>BUSHING</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2</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YN12B01943P1</w:t>
            </w:r>
          </w:p>
        </w:tc>
      </w:tr>
      <w:tr w:rsidR="008003E3" w:rsidRPr="008003E3" w:rsidTr="008003E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31</w:t>
            </w:r>
          </w:p>
        </w:tc>
        <w:tc>
          <w:tcPr>
            <w:tcW w:w="2916"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rPr>
                <w:i/>
              </w:rPr>
            </w:pPr>
            <w:r w:rsidRPr="008003E3">
              <w:rPr>
                <w:i/>
              </w:rPr>
              <w:t>PIN</w:t>
            </w:r>
          </w:p>
        </w:tc>
        <w:tc>
          <w:tcPr>
            <w:tcW w:w="850"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1</w:t>
            </w:r>
          </w:p>
        </w:tc>
        <w:tc>
          <w:tcPr>
            <w:tcW w:w="1941" w:type="dxa"/>
            <w:tcBorders>
              <w:top w:val="nil"/>
              <w:left w:val="nil"/>
              <w:bottom w:val="single" w:sz="4" w:space="0" w:color="auto"/>
              <w:right w:val="single" w:sz="4" w:space="0" w:color="auto"/>
            </w:tcBorders>
            <w:shd w:val="clear" w:color="auto" w:fill="auto"/>
            <w:noWrap/>
            <w:vAlign w:val="bottom"/>
            <w:hideMark/>
          </w:tcPr>
          <w:p w:rsidR="008003E3" w:rsidRPr="008003E3" w:rsidRDefault="008003E3" w:rsidP="008003E3">
            <w:pPr>
              <w:jc w:val="center"/>
              <w:rPr>
                <w:i/>
              </w:rPr>
            </w:pPr>
            <w:r w:rsidRPr="008003E3">
              <w:rPr>
                <w:i/>
              </w:rPr>
              <w:t>YN12B02407P1</w:t>
            </w:r>
          </w:p>
        </w:tc>
      </w:tr>
    </w:tbl>
    <w:p w:rsidR="00F30340" w:rsidRDefault="00F30340" w:rsidP="00DD6CE6">
      <w:pPr>
        <w:pStyle w:val="Textoindependiente"/>
        <w:widowControl w:val="0"/>
        <w:spacing w:after="0"/>
        <w:jc w:val="both"/>
        <w:rPr>
          <w:snapToGrid w:val="0"/>
          <w:lang w:eastAsia="es-ES"/>
        </w:rPr>
      </w:pPr>
    </w:p>
    <w:p w:rsidR="00E43B28" w:rsidRDefault="00E43B28" w:rsidP="00DD6CE6">
      <w:pPr>
        <w:pStyle w:val="Textoindependiente"/>
        <w:widowControl w:val="0"/>
        <w:spacing w:after="0"/>
        <w:jc w:val="both"/>
        <w:rPr>
          <w:snapToGrid w:val="0"/>
          <w:lang w:eastAsia="es-ES"/>
        </w:rPr>
      </w:pPr>
      <w:r>
        <w:rPr>
          <w:snapToGrid w:val="0"/>
          <w:lang w:eastAsia="es-ES"/>
        </w:rPr>
        <w:t xml:space="preserve">Adicionalmente, a través del pliego absolutorio de observaciones, el Comité Especial al absolver la Observación N° 4 del participante </w:t>
      </w:r>
      <w:proofErr w:type="spellStart"/>
      <w:r>
        <w:rPr>
          <w:snapToGrid w:val="0"/>
          <w:lang w:eastAsia="es-ES"/>
        </w:rPr>
        <w:t>DYSAR</w:t>
      </w:r>
      <w:proofErr w:type="spellEnd"/>
      <w:r>
        <w:rPr>
          <w:snapToGrid w:val="0"/>
          <w:lang w:eastAsia="es-ES"/>
        </w:rPr>
        <w:t xml:space="preserve"> </w:t>
      </w:r>
      <w:proofErr w:type="spellStart"/>
      <w:r>
        <w:rPr>
          <w:snapToGrid w:val="0"/>
          <w:lang w:eastAsia="es-ES"/>
        </w:rPr>
        <w:t>SRL</w:t>
      </w:r>
      <w:proofErr w:type="spellEnd"/>
      <w:r>
        <w:rPr>
          <w:snapToGrid w:val="0"/>
          <w:lang w:eastAsia="es-ES"/>
        </w:rPr>
        <w:t xml:space="preserve">, señaló </w:t>
      </w:r>
      <w:r w:rsidRPr="00E43B28">
        <w:rPr>
          <w:i/>
          <w:snapToGrid w:val="0"/>
          <w:lang w:eastAsia="es-ES"/>
        </w:rPr>
        <w:t xml:space="preserve">“(…) esta licitación es la adquisición de los repuestos originales para la excavadora NEW </w:t>
      </w:r>
      <w:proofErr w:type="spellStart"/>
      <w:r w:rsidRPr="00E43B28">
        <w:rPr>
          <w:i/>
          <w:snapToGrid w:val="0"/>
          <w:lang w:eastAsia="es-ES"/>
        </w:rPr>
        <w:t>HOLLAND-KOBELCO</w:t>
      </w:r>
      <w:proofErr w:type="spellEnd"/>
      <w:r w:rsidRPr="00E43B28">
        <w:rPr>
          <w:i/>
          <w:snapToGrid w:val="0"/>
          <w:lang w:eastAsia="es-ES"/>
        </w:rPr>
        <w:t>, si</w:t>
      </w:r>
      <w:r>
        <w:rPr>
          <w:i/>
          <w:snapToGrid w:val="0"/>
          <w:lang w:eastAsia="es-ES"/>
        </w:rPr>
        <w:t>e</w:t>
      </w:r>
      <w:r w:rsidRPr="00E43B28">
        <w:rPr>
          <w:i/>
          <w:snapToGrid w:val="0"/>
          <w:lang w:eastAsia="es-ES"/>
        </w:rPr>
        <w:t>n</w:t>
      </w:r>
      <w:r>
        <w:rPr>
          <w:i/>
          <w:snapToGrid w:val="0"/>
          <w:lang w:eastAsia="es-ES"/>
        </w:rPr>
        <w:t>do en ese ex</w:t>
      </w:r>
      <w:r w:rsidRPr="00E43B28">
        <w:rPr>
          <w:i/>
          <w:snapToGrid w:val="0"/>
          <w:lang w:eastAsia="es-ES"/>
        </w:rPr>
        <w:t>tremo la necesidad de la Entidad de contar con las empresas distribuidoras de repuestos originales (…)”</w:t>
      </w:r>
      <w:r>
        <w:rPr>
          <w:i/>
          <w:snapToGrid w:val="0"/>
          <w:lang w:eastAsia="es-ES"/>
        </w:rPr>
        <w:t>.</w:t>
      </w:r>
    </w:p>
    <w:p w:rsidR="00E43B28" w:rsidRDefault="00E43B28" w:rsidP="00DD6CE6">
      <w:pPr>
        <w:pStyle w:val="Textoindependiente"/>
        <w:widowControl w:val="0"/>
        <w:spacing w:after="0"/>
        <w:jc w:val="both"/>
        <w:rPr>
          <w:snapToGrid w:val="0"/>
          <w:lang w:eastAsia="es-ES"/>
        </w:rPr>
      </w:pPr>
    </w:p>
    <w:p w:rsidR="00DD6CE6" w:rsidRPr="008003E3" w:rsidRDefault="00DD6CE6" w:rsidP="00DD6CE6">
      <w:pPr>
        <w:pStyle w:val="Textoindependiente"/>
        <w:widowControl w:val="0"/>
        <w:spacing w:after="0"/>
        <w:jc w:val="both"/>
        <w:rPr>
          <w:snapToGrid w:val="0"/>
          <w:lang w:val="es-PE" w:eastAsia="es-ES"/>
        </w:rPr>
      </w:pPr>
      <w:r w:rsidRPr="008003E3">
        <w:rPr>
          <w:snapToGrid w:val="0"/>
          <w:lang w:eastAsia="es-ES"/>
        </w:rPr>
        <w:t>Sobre el particular</w:t>
      </w:r>
      <w:r w:rsidRPr="008003E3">
        <w:rPr>
          <w:snapToGrid w:val="0"/>
          <w:lang w:val="es-PE" w:eastAsia="es-ES"/>
        </w:rPr>
        <w:t xml:space="preserve">, cabe señalar que, de conformidad con lo dispuesto en el artículo 13º </w:t>
      </w:r>
      <w:r w:rsidRPr="008003E3">
        <w:rPr>
          <w:snapToGrid w:val="0"/>
          <w:lang w:val="es-PE" w:eastAsia="es-ES"/>
        </w:rPr>
        <w:lastRenderedPageBreak/>
        <w:t xml:space="preserve">de la Ley, </w:t>
      </w:r>
      <w:r w:rsidRPr="008003E3">
        <w:rPr>
          <w:snapToGrid w:val="0"/>
          <w:lang w:eastAsia="es-ES"/>
        </w:rPr>
        <w:t xml:space="preserve">concordado con el artículo 11º del Reglamento, la definición de los requerimientos técnicos mínimos es responsabilidad de la Entidad, </w:t>
      </w:r>
      <w:r w:rsidRPr="008003E3">
        <w:rPr>
          <w:snapToGrid w:val="0"/>
          <w:u w:val="single"/>
          <w:lang w:eastAsia="es-ES"/>
        </w:rPr>
        <w:t>sin mayor restricción que la de permitir la mayor concurrencia de proveedores en el mercado</w:t>
      </w:r>
      <w:r w:rsidRPr="008003E3">
        <w:rPr>
          <w:snapToGrid w:val="0"/>
          <w:lang w:eastAsia="es-ES"/>
        </w:rPr>
        <w:t>, debiéndose considerar criterios de razonabilidad, congruencia y proporcionalidad.</w:t>
      </w:r>
      <w:r w:rsidRPr="008003E3">
        <w:rPr>
          <w:snapToGrid w:val="0"/>
          <w:lang w:val="es-PE" w:eastAsia="es-ES"/>
        </w:rPr>
        <w:t xml:space="preserve"> </w:t>
      </w:r>
    </w:p>
    <w:p w:rsidR="008003E3" w:rsidRDefault="008003E3" w:rsidP="00DD6CE6">
      <w:pPr>
        <w:pStyle w:val="Prrafodelista"/>
        <w:ind w:left="0"/>
        <w:jc w:val="both"/>
        <w:rPr>
          <w:lang w:val="es-PE"/>
        </w:rPr>
      </w:pPr>
    </w:p>
    <w:p w:rsidR="00DD6CE6" w:rsidRPr="008003E3" w:rsidRDefault="008003E3" w:rsidP="00DD6CE6">
      <w:pPr>
        <w:pStyle w:val="Prrafodelista"/>
        <w:ind w:left="0"/>
        <w:jc w:val="both"/>
      </w:pPr>
      <w:r>
        <w:rPr>
          <w:lang w:val="es-PE"/>
        </w:rPr>
        <w:t>Asimismo</w:t>
      </w:r>
      <w:r w:rsidR="00DD6CE6" w:rsidRPr="008003E3">
        <w:rPr>
          <w:lang w:val="es-PE"/>
        </w:rPr>
        <w:t>, corresponde señalar que</w:t>
      </w:r>
      <w:r w:rsidR="00DD6CE6" w:rsidRPr="008003E3">
        <w:t>, en el segundo párrafo del artículo 11 del Reglamento se dispone que: “</w:t>
      </w:r>
      <w:r w:rsidR="00DD6CE6" w:rsidRPr="008003E3">
        <w:rPr>
          <w:i/>
        </w:rPr>
        <w:t xml:space="preserve">Para la descripción de los bienes y servicios a contratar </w:t>
      </w:r>
      <w:r w:rsidR="00DD6CE6" w:rsidRPr="008003E3">
        <w:rPr>
          <w:i/>
          <w:u w:val="single"/>
        </w:rPr>
        <w:t>no se hará referencia a marcas o nombres comerciales, patentes, diseños o tipos particulares, fabricantes determinados, ni descripción que oriente la adquisición o contratación de marca, fabricante o tipo de producto específico.”</w:t>
      </w:r>
      <w:r w:rsidR="00DD6CE6" w:rsidRPr="008003E3">
        <w:rPr>
          <w:i/>
        </w:rPr>
        <w:t xml:space="preserve"> </w:t>
      </w:r>
      <w:r w:rsidR="00DD6CE6" w:rsidRPr="008003E3">
        <w:t>(El subrayado es nuestro)</w:t>
      </w:r>
    </w:p>
    <w:p w:rsidR="00DD6CE6" w:rsidRPr="008003E3" w:rsidRDefault="00DD6CE6" w:rsidP="00DD6CE6">
      <w:pPr>
        <w:pStyle w:val="Prrafodelista"/>
        <w:ind w:left="0"/>
        <w:jc w:val="both"/>
      </w:pPr>
    </w:p>
    <w:p w:rsidR="00DD6CE6" w:rsidRPr="008003E3" w:rsidRDefault="00DD6CE6" w:rsidP="00DD6CE6">
      <w:pPr>
        <w:pStyle w:val="Prrafodelista"/>
        <w:ind w:left="0"/>
        <w:jc w:val="both"/>
      </w:pPr>
      <w:r w:rsidRPr="008003E3">
        <w:rPr>
          <w:lang w:val="es-ES_tradnl"/>
        </w:rPr>
        <w:t xml:space="preserve">Sin embargo, en el mismo artículo se señala que </w:t>
      </w:r>
      <w:r w:rsidRPr="008003E3">
        <w:rPr>
          <w:i/>
          <w:lang w:val="es-ES_tradnl"/>
        </w:rPr>
        <w:t xml:space="preserve">"(...) </w:t>
      </w:r>
      <w:r w:rsidRPr="008003E3">
        <w:rPr>
          <w:i/>
          <w:u w:val="single"/>
        </w:rPr>
        <w:t xml:space="preserve">sólo será posible solicitar una marca o tipo de producto determinado cuando ello responda a un </w:t>
      </w:r>
      <w:r w:rsidRPr="008003E3">
        <w:rPr>
          <w:b/>
          <w:i/>
          <w:u w:val="single"/>
        </w:rPr>
        <w:t xml:space="preserve">proceso de estandarización </w:t>
      </w:r>
      <w:r w:rsidRPr="008003E3">
        <w:rPr>
          <w:i/>
          <w:u w:val="single"/>
        </w:rPr>
        <w:t>debidamente sustentado, bajo responsabilidad del Titular de la Entidad</w:t>
      </w:r>
      <w:r w:rsidRPr="008003E3">
        <w:rPr>
          <w:i/>
        </w:rPr>
        <w:t xml:space="preserve">." </w:t>
      </w:r>
      <w:r w:rsidRPr="008003E3">
        <w:t>(El subrayado y negrita es nuestro)</w:t>
      </w:r>
    </w:p>
    <w:p w:rsidR="00DD6CE6" w:rsidRPr="008003E3" w:rsidRDefault="00DD6CE6" w:rsidP="00DD6CE6">
      <w:pPr>
        <w:pStyle w:val="Textoindependiente"/>
        <w:widowControl w:val="0"/>
        <w:spacing w:after="0"/>
        <w:jc w:val="both"/>
        <w:rPr>
          <w:snapToGrid w:val="0"/>
          <w:lang w:val="es-PE" w:eastAsia="es-ES"/>
        </w:rPr>
      </w:pPr>
    </w:p>
    <w:p w:rsidR="00DD6CE6" w:rsidRPr="008003E3" w:rsidRDefault="00E43B28" w:rsidP="0025121E">
      <w:pPr>
        <w:pStyle w:val="Prrafodelista"/>
        <w:ind w:left="0"/>
        <w:jc w:val="both"/>
        <w:rPr>
          <w:lang w:val="es-ES_tradnl" w:eastAsia="es-ES"/>
        </w:rPr>
      </w:pPr>
      <w:r>
        <w:t xml:space="preserve">En el presente caso, de las </w:t>
      </w:r>
      <w:r w:rsidR="0025121E">
        <w:t>disposiciones</w:t>
      </w:r>
      <w:r>
        <w:t xml:space="preserve"> contenidos en las </w:t>
      </w:r>
      <w:r w:rsidR="0025121E">
        <w:t>Bases</w:t>
      </w:r>
      <w:r>
        <w:t xml:space="preserve"> y de lo absuelto por el Comité Especial en el pliego absolutorio de observaciones, se advertiría que la Entidad pretende adquirir repuestos de la marca NEW </w:t>
      </w:r>
      <w:proofErr w:type="spellStart"/>
      <w:r w:rsidR="0025121E">
        <w:t>HOLLAND-KOBELCO</w:t>
      </w:r>
      <w:proofErr w:type="spellEnd"/>
      <w:r w:rsidR="0025121E">
        <w:t xml:space="preserve">; sin embargo, </w:t>
      </w:r>
      <w:r w:rsidR="00A04B22">
        <w:rPr>
          <w:lang w:val="es-ES_tradnl" w:eastAsia="es-ES"/>
        </w:rPr>
        <w:t xml:space="preserve">en el numeral 2.5 </w:t>
      </w:r>
      <w:r w:rsidR="00DD6CE6" w:rsidRPr="008003E3">
        <w:rPr>
          <w:lang w:val="es-ES_tradnl" w:eastAsia="es-ES"/>
        </w:rPr>
        <w:t>del "Formato de Resumen Ejecutivo" la Entidad ha declarado que,</w:t>
      </w:r>
      <w:r w:rsidR="00A04B22">
        <w:rPr>
          <w:lang w:val="es-ES_tradnl" w:eastAsia="es-ES"/>
        </w:rPr>
        <w:t xml:space="preserve"> no se ha llevado a cabo un proceso de estandarización, lo cual resulta incongruente con lo señalado anteriormente. </w:t>
      </w:r>
    </w:p>
    <w:p w:rsidR="00DD6CE6" w:rsidRPr="0025121E" w:rsidRDefault="00DD6CE6" w:rsidP="00DD6CE6">
      <w:pPr>
        <w:widowControl w:val="0"/>
        <w:jc w:val="both"/>
        <w:rPr>
          <w:lang w:val="es-ES_tradnl"/>
        </w:rPr>
      </w:pPr>
    </w:p>
    <w:p w:rsidR="006B249C" w:rsidRPr="008003E3" w:rsidRDefault="0025121E" w:rsidP="006B249C">
      <w:pPr>
        <w:widowControl w:val="0"/>
        <w:jc w:val="both"/>
      </w:pPr>
      <w:r>
        <w:t>Por lo tanto, previamente a</w:t>
      </w:r>
      <w:r w:rsidR="00DD6CE6" w:rsidRPr="008003E3">
        <w:t xml:space="preserve"> la integración de las Bases, </w:t>
      </w:r>
      <w:r w:rsidR="00A04B22" w:rsidRPr="00CA1335">
        <w:rPr>
          <w:b/>
          <w:u w:val="single"/>
        </w:rPr>
        <w:t>deberá verificarse</w:t>
      </w:r>
      <w:r w:rsidR="00A04B22" w:rsidRPr="00CA1335">
        <w:t xml:space="preserve"> si en el presente caso se habría efectuado un proceso de estandarización, </w:t>
      </w:r>
      <w:r w:rsidR="00A04B22">
        <w:t xml:space="preserve">en ese supuesto, en atención al </w:t>
      </w:r>
      <w:r>
        <w:t xml:space="preserve">Principio </w:t>
      </w:r>
      <w:r w:rsidR="00A04B22">
        <w:t xml:space="preserve">de </w:t>
      </w:r>
      <w:r>
        <w:t xml:space="preserve">Transparencia </w:t>
      </w:r>
      <w:r w:rsidR="00A04B22">
        <w:t xml:space="preserve">deberá </w:t>
      </w:r>
      <w:r w:rsidR="00A04B22" w:rsidRPr="005067D8">
        <w:t xml:space="preserve">publicarse </w:t>
      </w:r>
      <w:r w:rsidR="00A04B22">
        <w:t xml:space="preserve">en el </w:t>
      </w:r>
      <w:r w:rsidR="00A04B22" w:rsidRPr="005067D8">
        <w:rPr>
          <w:snapToGrid w:val="0"/>
          <w:lang w:val="es-PE" w:eastAsia="es-ES"/>
        </w:rPr>
        <w:t>Sistema Electrónico de Contrataciones del Estado (</w:t>
      </w:r>
      <w:proofErr w:type="spellStart"/>
      <w:r w:rsidR="00A04B22" w:rsidRPr="005067D8">
        <w:rPr>
          <w:snapToGrid w:val="0"/>
          <w:lang w:val="es-PE" w:eastAsia="es-ES"/>
        </w:rPr>
        <w:t>SEACE</w:t>
      </w:r>
      <w:proofErr w:type="spellEnd"/>
      <w:r w:rsidR="00A04B22" w:rsidRPr="005067D8">
        <w:rPr>
          <w:snapToGrid w:val="0"/>
          <w:lang w:val="es-PE" w:eastAsia="es-ES"/>
        </w:rPr>
        <w:t>) los siguientes documentos:</w:t>
      </w:r>
      <w:r w:rsidR="00A04B22">
        <w:rPr>
          <w:snapToGrid w:val="0"/>
          <w:lang w:val="es-PE" w:eastAsia="es-ES"/>
        </w:rPr>
        <w:t xml:space="preserve">  i) </w:t>
      </w:r>
      <w:r w:rsidR="00A04B22" w:rsidRPr="003B0851">
        <w:rPr>
          <w:snapToGrid w:val="0"/>
          <w:u w:val="single"/>
          <w:lang w:val="es-PE" w:eastAsia="es-ES"/>
        </w:rPr>
        <w:t>el informe técnico de estandarización</w:t>
      </w:r>
      <w:r w:rsidR="00A04B22">
        <w:rPr>
          <w:snapToGrid w:val="0"/>
          <w:lang w:val="es-PE" w:eastAsia="es-ES"/>
        </w:rPr>
        <w:t xml:space="preserve"> y </w:t>
      </w:r>
      <w:proofErr w:type="spellStart"/>
      <w:r w:rsidR="00A04B22">
        <w:rPr>
          <w:snapToGrid w:val="0"/>
          <w:lang w:val="es-PE" w:eastAsia="es-ES"/>
        </w:rPr>
        <w:t>ii</w:t>
      </w:r>
      <w:proofErr w:type="spellEnd"/>
      <w:r w:rsidR="00A04B22">
        <w:rPr>
          <w:snapToGrid w:val="0"/>
          <w:lang w:val="es-PE" w:eastAsia="es-ES"/>
        </w:rPr>
        <w:t xml:space="preserve">) </w:t>
      </w:r>
      <w:r w:rsidR="00A04B22" w:rsidRPr="003B0851">
        <w:rPr>
          <w:snapToGrid w:val="0"/>
          <w:u w:val="single"/>
          <w:lang w:val="es-PE" w:eastAsia="es-ES"/>
        </w:rPr>
        <w:t>el instrumento que aprobó la estandarización</w:t>
      </w:r>
      <w:r w:rsidR="00A04B22">
        <w:rPr>
          <w:snapToGrid w:val="0"/>
          <w:lang w:val="es-PE" w:eastAsia="es-ES"/>
        </w:rPr>
        <w:t xml:space="preserve">, conforme con </w:t>
      </w:r>
      <w:r w:rsidR="00A04B22" w:rsidRPr="005D52C0">
        <w:t xml:space="preserve">la Directiva N° 010-2009-OSCE/CD </w:t>
      </w:r>
      <w:r w:rsidR="00A04B22" w:rsidRPr="00ED076F">
        <w:rPr>
          <w:i/>
        </w:rPr>
        <w:t>"Lineamientos para la contratación en la que se hace referencia a determinada marca o tipo particular"</w:t>
      </w:r>
      <w:r>
        <w:t>; asimismo, en dicho caso</w:t>
      </w:r>
      <w:r w:rsidR="00F30340">
        <w:t xml:space="preserve">, </w:t>
      </w:r>
      <w:r w:rsidR="00F30340" w:rsidRPr="00F30340">
        <w:rPr>
          <w:b/>
          <w:u w:val="single"/>
        </w:rPr>
        <w:t>deberá corregirse</w:t>
      </w:r>
      <w:r w:rsidR="00F30340">
        <w:t xml:space="preserve"> lo señalado e</w:t>
      </w:r>
      <w:r w:rsidR="006B249C">
        <w:t xml:space="preserve">n el numeral </w:t>
      </w:r>
      <w:r w:rsidR="006B249C" w:rsidRPr="008003E3">
        <w:t xml:space="preserve">2.5 del Formato de Resumen Ejecutivo </w:t>
      </w:r>
      <w:r w:rsidR="00F30340">
        <w:t>respecto de llevarse</w:t>
      </w:r>
      <w:r w:rsidR="006B249C" w:rsidRPr="008003E3">
        <w:t xml:space="preserve"> a cabo un</w:t>
      </w:r>
      <w:r w:rsidR="00F30340">
        <w:t xml:space="preserve"> proceso de estandarización.</w:t>
      </w:r>
      <w:r w:rsidR="006B249C" w:rsidRPr="008003E3">
        <w:t xml:space="preserve"> </w:t>
      </w:r>
    </w:p>
    <w:p w:rsidR="006B249C" w:rsidRDefault="006B249C" w:rsidP="00145F18">
      <w:pPr>
        <w:widowControl w:val="0"/>
        <w:jc w:val="both"/>
      </w:pPr>
    </w:p>
    <w:p w:rsidR="000D574D" w:rsidRDefault="000D574D" w:rsidP="00145F18">
      <w:pPr>
        <w:widowControl w:val="0"/>
        <w:jc w:val="both"/>
      </w:pPr>
      <w:r w:rsidRPr="0068472F">
        <w:rPr>
          <w:u w:val="single"/>
        </w:rPr>
        <w:t>En caso la Entidad no ha</w:t>
      </w:r>
      <w:r w:rsidR="0025121E">
        <w:rPr>
          <w:u w:val="single"/>
        </w:rPr>
        <w:t>ya</w:t>
      </w:r>
      <w:r w:rsidRPr="0068472F">
        <w:rPr>
          <w:u w:val="single"/>
        </w:rPr>
        <w:t xml:space="preserve"> realizado el procedimiento de estandarización correspondiente, con ocasión de la integración de las Bases, deberá suprimirse de todo extremo de las Bases cuando corresponda toda referencia a </w:t>
      </w:r>
      <w:r w:rsidR="0025121E">
        <w:rPr>
          <w:u w:val="single"/>
        </w:rPr>
        <w:t xml:space="preserve">requerir </w:t>
      </w:r>
      <w:r w:rsidRPr="0068472F">
        <w:rPr>
          <w:u w:val="single"/>
        </w:rPr>
        <w:t>determinada marca y modelo</w:t>
      </w:r>
      <w:r>
        <w:t xml:space="preserve">. Adicionalmente, en la medida que en el numeral 4.2 y 4.3 del Formato de Resumen Ejecutivo la Entidad ha declarado la existencia de pluralidad de marcas y proveedores que cumplen con el requerimiento técnico mínimo, con ocasión de la integración de las Bases, </w:t>
      </w:r>
      <w:r w:rsidRPr="0068472F">
        <w:t>deberá registrarse</w:t>
      </w:r>
      <w:r>
        <w:t xml:space="preserve"> nuevamente el Formato de Cuadro Comparativo</w:t>
      </w:r>
      <w:r w:rsidR="0025121E">
        <w:t xml:space="preserve">, del cual se evidencie </w:t>
      </w:r>
      <w:r>
        <w:t xml:space="preserve">la pluralidad de </w:t>
      </w:r>
      <w:r w:rsidRPr="0025121E">
        <w:rPr>
          <w:u w:val="single"/>
        </w:rPr>
        <w:t>marcas</w:t>
      </w:r>
      <w:r>
        <w:t xml:space="preserve"> y proveedores declarado en el </w:t>
      </w:r>
      <w:r w:rsidR="0025121E">
        <w:t>Resumen Ejecutivo</w:t>
      </w:r>
      <w:r>
        <w:t xml:space="preserve">.      </w:t>
      </w:r>
    </w:p>
    <w:p w:rsidR="000D574D" w:rsidRDefault="000D574D" w:rsidP="00145F18">
      <w:pPr>
        <w:widowControl w:val="0"/>
        <w:jc w:val="both"/>
      </w:pPr>
    </w:p>
    <w:p w:rsidR="00145F18" w:rsidRPr="008003E3" w:rsidRDefault="00145F18" w:rsidP="00145F18">
      <w:pPr>
        <w:widowControl w:val="0"/>
        <w:tabs>
          <w:tab w:val="left" w:pos="709"/>
        </w:tabs>
        <w:jc w:val="both"/>
        <w:rPr>
          <w:lang w:val="es-ES_tradnl"/>
        </w:rPr>
      </w:pPr>
      <w:r>
        <w:t>De otro lado</w:t>
      </w:r>
      <w:r w:rsidRPr="00746681">
        <w:t xml:space="preserve">, </w:t>
      </w:r>
      <w:r w:rsidRPr="00ED076F">
        <w:rPr>
          <w:u w:val="single"/>
        </w:rPr>
        <w:t xml:space="preserve">en caso la Entidad </w:t>
      </w:r>
      <w:r>
        <w:rPr>
          <w:u w:val="single"/>
        </w:rPr>
        <w:t xml:space="preserve">persista en requerir, tal como se señaló en el pliego absolutorio de observaciones y en el informe técnico remitido con ocasión de la presente solicitud de elevación de observaciones, </w:t>
      </w:r>
      <w:r w:rsidRPr="00ED076F">
        <w:rPr>
          <w:u w:val="single"/>
        </w:rPr>
        <w:t>una determinada marca o tipo particular de los productos requeridos y no haya realizado el procedimiento de estandarización correspondiente</w:t>
      </w:r>
      <w:r>
        <w:t xml:space="preserve">, deberá declarar la nulidad del presente proceso de selección y efectuar </w:t>
      </w:r>
      <w:r>
        <w:lastRenderedPageBreak/>
        <w:t xml:space="preserve">el referido procedimiento de estandarización conforme a los lineamientos establecidos en la </w:t>
      </w:r>
      <w:r w:rsidR="0025121E">
        <w:t>Directiva.</w:t>
      </w:r>
    </w:p>
    <w:p w:rsidR="00145F18" w:rsidRDefault="00145F18" w:rsidP="00145F18">
      <w:pPr>
        <w:pStyle w:val="Normaltimes"/>
        <w:jc w:val="both"/>
        <w:rPr>
          <w:szCs w:val="24"/>
          <w:lang w:val="es-ES_tradnl"/>
        </w:rPr>
      </w:pPr>
    </w:p>
    <w:p w:rsidR="006B249C" w:rsidRPr="006B249C" w:rsidRDefault="006B249C" w:rsidP="006B249C">
      <w:pPr>
        <w:widowControl w:val="0"/>
        <w:numPr>
          <w:ilvl w:val="0"/>
          <w:numId w:val="6"/>
        </w:numPr>
        <w:ind w:left="0" w:firstLine="0"/>
        <w:jc w:val="both"/>
        <w:rPr>
          <w:b/>
          <w:iCs/>
        </w:rPr>
      </w:pPr>
      <w:r w:rsidRPr="006B249C">
        <w:rPr>
          <w:b/>
        </w:rPr>
        <w:t>Resumen ejecutivo</w:t>
      </w:r>
    </w:p>
    <w:p w:rsidR="006B249C" w:rsidRDefault="006B249C" w:rsidP="006B249C">
      <w:pPr>
        <w:widowControl w:val="0"/>
        <w:jc w:val="both"/>
      </w:pPr>
    </w:p>
    <w:p w:rsidR="006B249C" w:rsidRDefault="006B249C" w:rsidP="006B249C">
      <w:pPr>
        <w:pStyle w:val="Prrafodelista"/>
        <w:widowControl w:val="0"/>
        <w:numPr>
          <w:ilvl w:val="0"/>
          <w:numId w:val="14"/>
        </w:numPr>
        <w:jc w:val="both"/>
      </w:pPr>
      <w:r>
        <w:t xml:space="preserve">En el numeral 2.3 del Formato de Resumen Ejecutivo, se advierte que la Entidad ha declarado que la contratación del presente proceso no se realizará por paquete; sin embargo, de la revisión de las Bases se aprecia la </w:t>
      </w:r>
      <w:r w:rsidR="0025121E">
        <w:t>adquisición</w:t>
      </w:r>
      <w:r>
        <w:t xml:space="preserve"> de varios tipos de repuestos, lo cual resulta incongruente. Por lo que, </w:t>
      </w:r>
      <w:r w:rsidRPr="006B249C">
        <w:rPr>
          <w:b/>
          <w:u w:val="single"/>
        </w:rPr>
        <w:t>deberá corregirse</w:t>
      </w:r>
      <w:r>
        <w:t xml:space="preserve"> dicha incongruencia</w:t>
      </w:r>
      <w:r w:rsidR="0025121E">
        <w:t xml:space="preserve"> en el archivo de Resumen Ejecutivo que se registre conjuntamente con las Bases integradas.</w:t>
      </w:r>
    </w:p>
    <w:p w:rsidR="006B249C" w:rsidRDefault="006B249C" w:rsidP="006B249C">
      <w:pPr>
        <w:widowControl w:val="0"/>
        <w:jc w:val="both"/>
      </w:pPr>
    </w:p>
    <w:p w:rsidR="006B249C" w:rsidRDefault="006B249C" w:rsidP="006B249C">
      <w:pPr>
        <w:pStyle w:val="Prrafodelista"/>
        <w:widowControl w:val="0"/>
        <w:numPr>
          <w:ilvl w:val="0"/>
          <w:numId w:val="14"/>
        </w:numPr>
        <w:jc w:val="both"/>
      </w:pPr>
      <w:r>
        <w:t>De la revisión del Formato de Cuadro Comparativo no se aprecia la información declarada</w:t>
      </w:r>
      <w:r w:rsidR="00F30340">
        <w:t>, con relación procedencia, año de fabricación, garantía comercial, plazo de entrega, entre otros</w:t>
      </w:r>
      <w:r>
        <w:t xml:space="preserve">; por lo que, con ocasión a la integración de las Bases, </w:t>
      </w:r>
      <w:r w:rsidRPr="00F30340">
        <w:rPr>
          <w:b/>
          <w:u w:val="single"/>
        </w:rPr>
        <w:t>deberá registrarse</w:t>
      </w:r>
      <w:r>
        <w:t xml:space="preserve"> nuevamente el Formato de Cuadro Comparativo </w:t>
      </w:r>
      <w:r w:rsidR="0025121E">
        <w:t>conteniendo toda la información requerida en la Directiva N° 4-2013-OSCE/CD</w:t>
      </w:r>
      <w:r w:rsidR="00F30340">
        <w:t>.</w:t>
      </w:r>
    </w:p>
    <w:p w:rsidR="00616FF6" w:rsidRDefault="00616FF6" w:rsidP="00616FF6">
      <w:pPr>
        <w:pStyle w:val="Prrafodelista"/>
        <w:widowControl w:val="0"/>
        <w:tabs>
          <w:tab w:val="left" w:pos="0"/>
        </w:tabs>
        <w:ind w:left="0" w:right="-1"/>
        <w:jc w:val="both"/>
        <w:rPr>
          <w:b/>
          <w:color w:val="000000"/>
          <w:lang w:eastAsia="es-PE"/>
        </w:rPr>
      </w:pPr>
    </w:p>
    <w:p w:rsidR="000D574D" w:rsidRPr="000D574D" w:rsidRDefault="000D574D" w:rsidP="000D574D">
      <w:pPr>
        <w:widowControl w:val="0"/>
        <w:numPr>
          <w:ilvl w:val="0"/>
          <w:numId w:val="6"/>
        </w:numPr>
        <w:ind w:left="0" w:firstLine="0"/>
        <w:jc w:val="both"/>
        <w:rPr>
          <w:b/>
          <w:iCs/>
        </w:rPr>
      </w:pPr>
      <w:r>
        <w:rPr>
          <w:b/>
          <w:color w:val="000000"/>
          <w:lang w:eastAsia="es-PE"/>
        </w:rPr>
        <w:t>Documentación de presentación obligatoria</w:t>
      </w:r>
      <w:r w:rsidRPr="000D574D">
        <w:rPr>
          <w:b/>
          <w:color w:val="000000"/>
          <w:lang w:eastAsia="es-PE"/>
        </w:rPr>
        <w:t xml:space="preserve"> </w:t>
      </w:r>
    </w:p>
    <w:p w:rsidR="000D574D" w:rsidRDefault="000D574D" w:rsidP="000D574D">
      <w:pPr>
        <w:widowControl w:val="0"/>
        <w:jc w:val="both"/>
        <w:rPr>
          <w:b/>
          <w:u w:val="single"/>
        </w:rPr>
      </w:pPr>
    </w:p>
    <w:p w:rsidR="0025121E" w:rsidRDefault="000D574D" w:rsidP="000D574D">
      <w:pPr>
        <w:widowControl w:val="0"/>
        <w:jc w:val="both"/>
      </w:pPr>
      <w:r w:rsidRPr="008003E3">
        <w:rPr>
          <w:b/>
          <w:u w:val="single"/>
        </w:rPr>
        <w:t xml:space="preserve">Deberá </w:t>
      </w:r>
      <w:r w:rsidRPr="00F30340">
        <w:rPr>
          <w:b/>
          <w:u w:val="single"/>
        </w:rPr>
        <w:t>incluirse</w:t>
      </w:r>
      <w:r>
        <w:rPr>
          <w:b/>
        </w:rPr>
        <w:t xml:space="preserve"> </w:t>
      </w:r>
      <w:r w:rsidR="0025121E">
        <w:t xml:space="preserve">la declaración jurada la garantía comercial y técnica </w:t>
      </w:r>
      <w:r>
        <w:t xml:space="preserve">en la relación de documentos de obligatorios de la propuesta técnica </w:t>
      </w:r>
      <w:r w:rsidR="0025121E">
        <w:t>conforme lo señalado en los requerimiento técnicos mínimos (Capítulo III de la Sección Específica).</w:t>
      </w:r>
    </w:p>
    <w:p w:rsidR="000D574D" w:rsidRPr="000D574D" w:rsidRDefault="0025121E" w:rsidP="000D574D">
      <w:pPr>
        <w:widowControl w:val="0"/>
        <w:jc w:val="both"/>
        <w:rPr>
          <w:b/>
          <w:iCs/>
        </w:rPr>
      </w:pPr>
      <w:r>
        <w:t xml:space="preserve"> </w:t>
      </w:r>
    </w:p>
    <w:p w:rsidR="00B167AF" w:rsidRPr="008003E3" w:rsidRDefault="000A7BE9" w:rsidP="00B167AF">
      <w:pPr>
        <w:widowControl w:val="0"/>
        <w:numPr>
          <w:ilvl w:val="0"/>
          <w:numId w:val="6"/>
        </w:numPr>
        <w:ind w:left="0" w:firstLine="0"/>
        <w:jc w:val="both"/>
        <w:rPr>
          <w:b/>
          <w:iCs/>
        </w:rPr>
      </w:pPr>
      <w:r w:rsidRPr="008003E3">
        <w:rPr>
          <w:b/>
          <w:color w:val="000000"/>
          <w:lang w:eastAsia="es-PE"/>
        </w:rPr>
        <w:t>Documentación de presentación facultativa</w:t>
      </w:r>
      <w:r w:rsidR="00B167AF" w:rsidRPr="008003E3">
        <w:rPr>
          <w:b/>
          <w:color w:val="000000"/>
          <w:lang w:eastAsia="es-PE"/>
        </w:rPr>
        <w:t xml:space="preserve"> </w:t>
      </w:r>
    </w:p>
    <w:p w:rsidR="00AD192A" w:rsidRPr="008003E3" w:rsidRDefault="00AD192A" w:rsidP="00AD192A">
      <w:pPr>
        <w:widowControl w:val="0"/>
        <w:jc w:val="both"/>
        <w:rPr>
          <w:b/>
          <w:iCs/>
        </w:rPr>
      </w:pPr>
    </w:p>
    <w:p w:rsidR="00B167AF" w:rsidRPr="000D574D" w:rsidRDefault="00B167AF" w:rsidP="000D574D">
      <w:pPr>
        <w:widowControl w:val="0"/>
        <w:jc w:val="both"/>
        <w:rPr>
          <w:b/>
          <w:iCs/>
        </w:rPr>
      </w:pPr>
      <w:r w:rsidRPr="008003E3">
        <w:rPr>
          <w:b/>
          <w:u w:val="single"/>
        </w:rPr>
        <w:t xml:space="preserve">Deberá </w:t>
      </w:r>
      <w:r w:rsidR="00F30340" w:rsidRPr="00F30340">
        <w:rPr>
          <w:b/>
          <w:u w:val="single"/>
        </w:rPr>
        <w:t>incluirse</w:t>
      </w:r>
      <w:r w:rsidR="00F30340">
        <w:rPr>
          <w:b/>
        </w:rPr>
        <w:t xml:space="preserve"> </w:t>
      </w:r>
      <w:r w:rsidR="00F30340">
        <w:t xml:space="preserve"> en la relación de documentos de facultativos de la propuesta técnica </w:t>
      </w:r>
      <w:r w:rsidR="0039009C" w:rsidRPr="00F30340">
        <w:t>la</w:t>
      </w:r>
      <w:r w:rsidR="0039009C" w:rsidRPr="008003E3">
        <w:t xml:space="preserve"> forma de acredi</w:t>
      </w:r>
      <w:r w:rsidR="00F30340">
        <w:t xml:space="preserve">tar los factores de evaluación “experiencia del postor” y “cumplimiento de la prestación”, </w:t>
      </w:r>
      <w:r w:rsidRPr="008003E3">
        <w:t xml:space="preserve">de la documentación de presentación facultativa de acuerdo </w:t>
      </w:r>
      <w:r w:rsidR="0039009C" w:rsidRPr="008003E3">
        <w:t xml:space="preserve">con </w:t>
      </w:r>
      <w:r w:rsidRPr="008003E3">
        <w:t>la forma de acreditación señalada en</w:t>
      </w:r>
      <w:r w:rsidR="0039009C" w:rsidRPr="008003E3">
        <w:t xml:space="preserve"> el Capítulo IV de la Sección Específica de la Bases.</w:t>
      </w:r>
    </w:p>
    <w:p w:rsidR="000D574D" w:rsidRPr="008003E3" w:rsidRDefault="000D574D" w:rsidP="000D574D">
      <w:pPr>
        <w:widowControl w:val="0"/>
        <w:ind w:left="720"/>
        <w:jc w:val="both"/>
        <w:rPr>
          <w:b/>
          <w:iCs/>
        </w:rPr>
      </w:pPr>
    </w:p>
    <w:p w:rsidR="00193354" w:rsidRPr="008003E3" w:rsidRDefault="00193354" w:rsidP="00193354">
      <w:pPr>
        <w:widowControl w:val="0"/>
        <w:numPr>
          <w:ilvl w:val="0"/>
          <w:numId w:val="6"/>
        </w:numPr>
        <w:ind w:left="0" w:firstLine="0"/>
        <w:jc w:val="both"/>
        <w:rPr>
          <w:b/>
        </w:rPr>
      </w:pPr>
      <w:r w:rsidRPr="008003E3">
        <w:rPr>
          <w:b/>
          <w:lang w:val="es-PE"/>
        </w:rPr>
        <w:t>Proforma del contrato</w:t>
      </w:r>
    </w:p>
    <w:p w:rsidR="00193354" w:rsidRPr="008003E3" w:rsidRDefault="00193354" w:rsidP="00193354">
      <w:pPr>
        <w:widowControl w:val="0"/>
        <w:jc w:val="both"/>
        <w:rPr>
          <w:lang w:val="es-PE"/>
        </w:rPr>
      </w:pPr>
    </w:p>
    <w:p w:rsidR="00193354" w:rsidRPr="008003E3" w:rsidRDefault="00193354" w:rsidP="00193354">
      <w:pPr>
        <w:widowControl w:val="0"/>
        <w:jc w:val="both"/>
        <w:rPr>
          <w:lang w:val="es-PE"/>
        </w:rPr>
      </w:pPr>
      <w:r w:rsidRPr="008003E3">
        <w:rPr>
          <w:lang w:val="es-PE"/>
        </w:rPr>
        <w:t>Con ocasión de la integración de las Bases o, para la suscripción del Contrato, deberá completarse el Capítulo V “Proforma del contrato” de acuerdo con lo indicado en los demás Capítulos de las Bases</w:t>
      </w:r>
    </w:p>
    <w:p w:rsidR="005F103D" w:rsidRPr="008003E3" w:rsidRDefault="005F103D" w:rsidP="00193354">
      <w:pPr>
        <w:widowControl w:val="0"/>
        <w:jc w:val="both"/>
        <w:rPr>
          <w:lang w:val="es-PE"/>
        </w:rPr>
      </w:pPr>
    </w:p>
    <w:p w:rsidR="00B24368" w:rsidRPr="008003E3" w:rsidRDefault="001F786F" w:rsidP="007501A9">
      <w:pPr>
        <w:pStyle w:val="Textoindependiente2"/>
        <w:rPr>
          <w:rFonts w:ascii="Times New Roman" w:hAnsi="Times New Roman"/>
          <w:b/>
          <w:szCs w:val="24"/>
        </w:rPr>
      </w:pPr>
      <w:r w:rsidRPr="008003E3">
        <w:rPr>
          <w:rFonts w:ascii="Times New Roman" w:hAnsi="Times New Roman"/>
          <w:b/>
          <w:szCs w:val="24"/>
          <w:lang w:val="es-PE"/>
        </w:rPr>
        <w:t>4</w:t>
      </w:r>
      <w:r w:rsidR="007501A9" w:rsidRPr="008003E3">
        <w:rPr>
          <w:rFonts w:ascii="Times New Roman" w:hAnsi="Times New Roman"/>
          <w:b/>
          <w:szCs w:val="24"/>
          <w:lang w:val="es-PE"/>
        </w:rPr>
        <w:t xml:space="preserve">.   </w:t>
      </w:r>
      <w:r w:rsidR="00B24368" w:rsidRPr="008003E3">
        <w:rPr>
          <w:rFonts w:ascii="Times New Roman" w:hAnsi="Times New Roman"/>
          <w:b/>
          <w:szCs w:val="24"/>
        </w:rPr>
        <w:t>CONCLUSIONES</w:t>
      </w:r>
    </w:p>
    <w:p w:rsidR="00B24368" w:rsidRPr="008003E3" w:rsidRDefault="00B24368" w:rsidP="00B24368">
      <w:pPr>
        <w:pStyle w:val="Textoindependiente2"/>
        <w:ind w:left="540"/>
        <w:rPr>
          <w:rFonts w:ascii="Times New Roman" w:hAnsi="Times New Roman"/>
          <w:szCs w:val="24"/>
        </w:rPr>
      </w:pPr>
    </w:p>
    <w:p w:rsidR="00A54F1A" w:rsidRPr="008003E3" w:rsidRDefault="00A54F1A" w:rsidP="00A54F1A">
      <w:pPr>
        <w:widowControl w:val="0"/>
        <w:jc w:val="both"/>
        <w:rPr>
          <w:snapToGrid w:val="0"/>
        </w:rPr>
      </w:pPr>
      <w:r w:rsidRPr="008003E3">
        <w:rPr>
          <w:snapToGrid w:val="0"/>
        </w:rPr>
        <w:t>En virtud de lo expuesto, este Organismo Supervisor ha dispuesto:</w:t>
      </w:r>
    </w:p>
    <w:p w:rsidR="00A54F1A" w:rsidRPr="008003E3" w:rsidRDefault="00A54F1A" w:rsidP="00A54F1A">
      <w:pPr>
        <w:widowControl w:val="0"/>
        <w:jc w:val="both"/>
        <w:rPr>
          <w:snapToGrid w:val="0"/>
        </w:rPr>
      </w:pPr>
    </w:p>
    <w:p w:rsidR="00A54F1A" w:rsidRPr="008003E3" w:rsidRDefault="00A54F1A" w:rsidP="005C3772">
      <w:pPr>
        <w:widowControl w:val="0"/>
        <w:numPr>
          <w:ilvl w:val="1"/>
          <w:numId w:val="1"/>
        </w:numPr>
        <w:ind w:left="567" w:hanging="567"/>
        <w:jc w:val="both"/>
      </w:pPr>
      <w:r w:rsidRPr="008003E3">
        <w:rPr>
          <w:snapToGrid w:val="0"/>
        </w:rPr>
        <w:t xml:space="preserve">El </w:t>
      </w:r>
      <w:r w:rsidRPr="008003E3">
        <w:rPr>
          <w:color w:val="000000"/>
          <w:lang w:eastAsia="es-ES"/>
        </w:rPr>
        <w:t>Comité Especial deberá cumplir con lo dispuesto por este Organismo Supervisor al absolver las observaciones indicadas en el numeral 2 del presente Pronunciamiento.</w:t>
      </w:r>
    </w:p>
    <w:p w:rsidR="00963FAE" w:rsidRPr="008003E3" w:rsidRDefault="00963FAE" w:rsidP="00A54F1A">
      <w:pPr>
        <w:widowControl w:val="0"/>
        <w:ind w:left="567"/>
        <w:jc w:val="both"/>
      </w:pPr>
    </w:p>
    <w:p w:rsidR="00A54F1A" w:rsidRPr="008003E3" w:rsidRDefault="00A54F1A" w:rsidP="005C3772">
      <w:pPr>
        <w:widowControl w:val="0"/>
        <w:numPr>
          <w:ilvl w:val="1"/>
          <w:numId w:val="1"/>
        </w:numPr>
        <w:ind w:left="567" w:hanging="567"/>
        <w:jc w:val="both"/>
      </w:pPr>
      <w:r w:rsidRPr="008003E3">
        <w:rPr>
          <w:iCs/>
          <w:color w:val="000000"/>
        </w:rPr>
        <w:t>El Comité Especial deberá tener en cuenta lo indicado en el numeral 3 del presente Pronunciamiento a fin de efectuar las modificaciones a las Bases que hubiere a lugar, así como registrar en el SEACE la documentación solicitada.</w:t>
      </w:r>
    </w:p>
    <w:p w:rsidR="000677C8" w:rsidRPr="008003E3" w:rsidRDefault="000677C8" w:rsidP="000677C8">
      <w:pPr>
        <w:widowControl w:val="0"/>
        <w:ind w:left="567"/>
        <w:jc w:val="both"/>
      </w:pPr>
    </w:p>
    <w:p w:rsidR="00A54F1A" w:rsidRPr="008003E3" w:rsidRDefault="00A54F1A" w:rsidP="005C3772">
      <w:pPr>
        <w:widowControl w:val="0"/>
        <w:numPr>
          <w:ilvl w:val="1"/>
          <w:numId w:val="1"/>
        </w:numPr>
        <w:ind w:left="567" w:hanging="567"/>
        <w:jc w:val="both"/>
      </w:pPr>
      <w:r w:rsidRPr="008003E3">
        <w:rPr>
          <w:iCs/>
          <w:color w:val="000000"/>
        </w:rPr>
        <w:lastRenderedPageBreak/>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A54F1A" w:rsidRPr="008003E3" w:rsidRDefault="00A54F1A" w:rsidP="00A54F1A">
      <w:pPr>
        <w:widowControl w:val="0"/>
        <w:ind w:left="567"/>
        <w:jc w:val="both"/>
      </w:pPr>
    </w:p>
    <w:p w:rsidR="00A54F1A" w:rsidRPr="008003E3" w:rsidRDefault="00A54F1A" w:rsidP="005C3772">
      <w:pPr>
        <w:widowControl w:val="0"/>
        <w:numPr>
          <w:ilvl w:val="1"/>
          <w:numId w:val="1"/>
        </w:numPr>
        <w:ind w:left="567" w:hanging="567"/>
        <w:jc w:val="both"/>
        <w:rPr>
          <w:iCs/>
          <w:color w:val="000000"/>
        </w:rPr>
      </w:pPr>
      <w:r w:rsidRPr="008003E3">
        <w:rPr>
          <w:iCs/>
          <w:color w:val="000000"/>
        </w:rPr>
        <w:t xml:space="preserve">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(1) día después de haber quedado integradas las Bases, y que, a tenor del artículo 24° del Reglamento, entre la integración de Bases y la presentación de propuestas no podrá mediar menos de </w:t>
      </w:r>
      <w:r w:rsidR="004B4E27" w:rsidRPr="008003E3">
        <w:rPr>
          <w:iCs/>
          <w:color w:val="000000"/>
        </w:rPr>
        <w:t>tres</w:t>
      </w:r>
      <w:r w:rsidRPr="008003E3">
        <w:rPr>
          <w:iCs/>
          <w:color w:val="000000"/>
        </w:rPr>
        <w:t xml:space="preserve"> (</w:t>
      </w:r>
      <w:r w:rsidR="004B4E27" w:rsidRPr="008003E3">
        <w:rPr>
          <w:iCs/>
          <w:color w:val="000000"/>
        </w:rPr>
        <w:t>3</w:t>
      </w:r>
      <w:r w:rsidRPr="008003E3">
        <w:rPr>
          <w:iCs/>
          <w:color w:val="000000"/>
        </w:rPr>
        <w:t xml:space="preserve">) días hábiles, computados a partir del día siguiente de la publicación de las Bases Integradas en el SEACE.                     </w:t>
      </w:r>
    </w:p>
    <w:p w:rsidR="00A54F1A" w:rsidRPr="008003E3" w:rsidRDefault="00A54F1A" w:rsidP="00A54F1A">
      <w:pPr>
        <w:pStyle w:val="Prrafodelista"/>
        <w:rPr>
          <w:lang w:val="es-ES"/>
        </w:rPr>
      </w:pPr>
    </w:p>
    <w:p w:rsidR="00A54F1A" w:rsidRPr="008003E3" w:rsidRDefault="00A54F1A" w:rsidP="005C3772">
      <w:pPr>
        <w:widowControl w:val="0"/>
        <w:numPr>
          <w:ilvl w:val="1"/>
          <w:numId w:val="1"/>
        </w:numPr>
        <w:ind w:left="567" w:hanging="567"/>
        <w:jc w:val="both"/>
      </w:pPr>
      <w:r w:rsidRPr="008003E3">
        <w:rPr>
          <w:iCs/>
          <w:color w:val="000000"/>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A54F1A" w:rsidRPr="008003E3" w:rsidRDefault="00A54F1A" w:rsidP="00A54F1A">
      <w:pPr>
        <w:widowControl w:val="0"/>
        <w:ind w:left="567"/>
        <w:jc w:val="both"/>
      </w:pPr>
    </w:p>
    <w:p w:rsidR="00A54F1A" w:rsidRPr="008003E3" w:rsidRDefault="00A54F1A" w:rsidP="005C3772">
      <w:pPr>
        <w:widowControl w:val="0"/>
        <w:numPr>
          <w:ilvl w:val="1"/>
          <w:numId w:val="1"/>
        </w:numPr>
        <w:ind w:left="567" w:hanging="567"/>
        <w:jc w:val="both"/>
        <w:rPr>
          <w:iCs/>
          <w:color w:val="000000"/>
        </w:rPr>
      </w:pPr>
      <w:r w:rsidRPr="008003E3">
        <w:rPr>
          <w:iCs/>
          <w:color w:val="000000"/>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8777F7" w:rsidRPr="008003E3" w:rsidRDefault="008777F7" w:rsidP="00A54F1A">
      <w:pPr>
        <w:pStyle w:val="Prrafodelista"/>
        <w:rPr>
          <w:iCs/>
          <w:color w:val="000000"/>
        </w:rPr>
      </w:pPr>
    </w:p>
    <w:p w:rsidR="00A54F1A" w:rsidRPr="008003E3" w:rsidRDefault="00A54F1A" w:rsidP="005C3772">
      <w:pPr>
        <w:widowControl w:val="0"/>
        <w:numPr>
          <w:ilvl w:val="1"/>
          <w:numId w:val="1"/>
        </w:numPr>
        <w:ind w:left="567" w:hanging="567"/>
        <w:jc w:val="both"/>
        <w:rPr>
          <w:iCs/>
          <w:color w:val="000000"/>
        </w:rPr>
      </w:pPr>
      <w:r w:rsidRPr="008003E3">
        <w:rPr>
          <w:iCs/>
          <w:color w:val="000000"/>
        </w:rPr>
        <w:t xml:space="preserve">En caso la Entidad continúe con el proceso sin sujetarse a lo dispuesto en el presente </w:t>
      </w:r>
      <w:r w:rsidRPr="008003E3">
        <w:rPr>
          <w:iCs/>
        </w:rPr>
        <w:t>Pronunciamiento, tal actuación constituirá un elemento a tomar en cuenta para la no emisión de las constancias necesarias para la suscripción del respectivo contrato; siendo</w:t>
      </w:r>
      <w:r w:rsidRPr="008003E3">
        <w:rPr>
          <w:iCs/>
          <w:color w:val="000000"/>
        </w:rPr>
        <w:t xml:space="preserve"> que la dilación del proceso y los costos en los que podrían incurrir los postores y el ganador de la buena pro son de exclusiva responsabilidad de la Entidad.</w:t>
      </w:r>
    </w:p>
    <w:p w:rsidR="002744BC" w:rsidRPr="008003E3" w:rsidRDefault="002744BC" w:rsidP="002744BC">
      <w:pPr>
        <w:widowControl w:val="0"/>
        <w:ind w:left="3545" w:firstLine="709"/>
        <w:jc w:val="right"/>
      </w:pPr>
    </w:p>
    <w:p w:rsidR="002744BC" w:rsidRPr="008003E3" w:rsidRDefault="002744BC" w:rsidP="002744BC">
      <w:pPr>
        <w:widowControl w:val="0"/>
        <w:ind w:left="3545" w:firstLine="709"/>
        <w:jc w:val="right"/>
        <w:rPr>
          <w:lang w:val="es-PE"/>
        </w:rPr>
      </w:pPr>
      <w:r w:rsidRPr="008003E3">
        <w:rPr>
          <w:lang w:val="es-PE"/>
        </w:rPr>
        <w:t xml:space="preserve">Jesús María, </w:t>
      </w:r>
      <w:r w:rsidR="004B4E27" w:rsidRPr="008003E3">
        <w:rPr>
          <w:lang w:val="es-PE"/>
        </w:rPr>
        <w:t>27</w:t>
      </w:r>
      <w:r w:rsidR="00615F30" w:rsidRPr="008003E3">
        <w:rPr>
          <w:lang w:val="es-PE"/>
        </w:rPr>
        <w:t xml:space="preserve"> </w:t>
      </w:r>
      <w:r w:rsidRPr="008003E3">
        <w:rPr>
          <w:lang w:val="es-PE"/>
        </w:rPr>
        <w:t xml:space="preserve">de </w:t>
      </w:r>
      <w:r w:rsidR="004B4E27" w:rsidRPr="008003E3">
        <w:rPr>
          <w:lang w:val="es-PE"/>
        </w:rPr>
        <w:t>octubre</w:t>
      </w:r>
      <w:r w:rsidRPr="008003E3">
        <w:rPr>
          <w:lang w:val="es-PE"/>
        </w:rPr>
        <w:t xml:space="preserve"> de 201</w:t>
      </w:r>
      <w:r w:rsidR="00193354" w:rsidRPr="008003E3">
        <w:rPr>
          <w:lang w:val="es-PE"/>
        </w:rPr>
        <w:t>5</w:t>
      </w:r>
    </w:p>
    <w:p w:rsidR="00193354" w:rsidRPr="008003E3" w:rsidRDefault="00193354" w:rsidP="002744BC">
      <w:pPr>
        <w:widowControl w:val="0"/>
        <w:ind w:left="3545" w:firstLine="709"/>
        <w:jc w:val="right"/>
        <w:rPr>
          <w:lang w:val="es-PE"/>
        </w:rPr>
      </w:pPr>
    </w:p>
    <w:p w:rsidR="00D01513" w:rsidRPr="008003E3" w:rsidRDefault="00D01513" w:rsidP="00D01513">
      <w:pPr>
        <w:widowControl w:val="0"/>
        <w:ind w:firstLine="708"/>
      </w:pPr>
      <w:r w:rsidRPr="008003E3">
        <w:t xml:space="preserve">Elaborado: </w:t>
      </w:r>
      <w:r w:rsidRPr="008003E3">
        <w:tab/>
      </w:r>
      <w:r w:rsidRPr="008003E3">
        <w:tab/>
        <w:t xml:space="preserve">Franklin Garay Morales </w:t>
      </w:r>
    </w:p>
    <w:p w:rsidR="00D01513" w:rsidRPr="008003E3" w:rsidRDefault="00D01513" w:rsidP="00D01513">
      <w:pPr>
        <w:widowControl w:val="0"/>
        <w:ind w:firstLine="708"/>
      </w:pPr>
      <w:r w:rsidRPr="008003E3">
        <w:t xml:space="preserve">Supervisado: </w:t>
      </w:r>
      <w:r w:rsidRPr="008003E3">
        <w:tab/>
      </w:r>
      <w:r w:rsidRPr="008003E3">
        <w:tab/>
      </w:r>
      <w:proofErr w:type="spellStart"/>
      <w:r w:rsidRPr="008003E3">
        <w:t>Elissa</w:t>
      </w:r>
      <w:proofErr w:type="spellEnd"/>
      <w:r w:rsidRPr="008003E3">
        <w:t xml:space="preserve"> </w:t>
      </w:r>
      <w:proofErr w:type="spellStart"/>
      <w:r w:rsidRPr="008003E3">
        <w:t>Lacca</w:t>
      </w:r>
      <w:proofErr w:type="spellEnd"/>
      <w:r w:rsidRPr="008003E3">
        <w:t xml:space="preserve"> Velasco </w:t>
      </w:r>
    </w:p>
    <w:p w:rsidR="004B4E27" w:rsidRPr="008003E3" w:rsidRDefault="004B4E27" w:rsidP="00D01513">
      <w:pPr>
        <w:widowControl w:val="0"/>
        <w:ind w:firstLine="708"/>
      </w:pPr>
      <w:r w:rsidRPr="008003E3">
        <w:t>Validado por:</w:t>
      </w:r>
      <w:r w:rsidRPr="008003E3">
        <w:tab/>
      </w:r>
      <w:r w:rsidRPr="008003E3">
        <w:tab/>
        <w:t xml:space="preserve">Laura </w:t>
      </w:r>
      <w:proofErr w:type="spellStart"/>
      <w:r w:rsidRPr="008003E3">
        <w:t>Gutierrez</w:t>
      </w:r>
      <w:proofErr w:type="spellEnd"/>
      <w:r w:rsidRPr="008003E3">
        <w:t xml:space="preserve"> Gonzales</w:t>
      </w:r>
    </w:p>
    <w:p w:rsidR="00D01513" w:rsidRPr="008003E3" w:rsidRDefault="00D01513" w:rsidP="00D01513">
      <w:pPr>
        <w:widowControl w:val="0"/>
        <w:ind w:firstLine="708"/>
      </w:pPr>
    </w:p>
    <w:p w:rsidR="00D56480" w:rsidRDefault="00D56480" w:rsidP="002744BC">
      <w:pPr>
        <w:widowControl w:val="0"/>
        <w:ind w:firstLine="708"/>
        <w:jc w:val="center"/>
        <w:rPr>
          <w:b/>
        </w:rPr>
      </w:pPr>
    </w:p>
    <w:p w:rsidR="00D56480" w:rsidRPr="008003E3" w:rsidRDefault="00D56480" w:rsidP="002744BC">
      <w:pPr>
        <w:widowControl w:val="0"/>
        <w:ind w:firstLine="708"/>
        <w:jc w:val="center"/>
        <w:rPr>
          <w:b/>
        </w:rPr>
      </w:pPr>
    </w:p>
    <w:p w:rsidR="00D56480" w:rsidRPr="008003E3" w:rsidRDefault="00D56480" w:rsidP="00D56480">
      <w:pPr>
        <w:widowControl w:val="0"/>
        <w:ind w:firstLine="708"/>
        <w:jc w:val="center"/>
        <w:rPr>
          <w:b/>
        </w:rPr>
      </w:pPr>
      <w:r w:rsidRPr="008003E3">
        <w:rPr>
          <w:b/>
        </w:rPr>
        <w:t xml:space="preserve">PATRICIA ALARCÓN </w:t>
      </w:r>
      <w:proofErr w:type="spellStart"/>
      <w:r w:rsidRPr="008003E3">
        <w:rPr>
          <w:b/>
        </w:rPr>
        <w:t>ALVIZURI</w:t>
      </w:r>
      <w:proofErr w:type="spellEnd"/>
    </w:p>
    <w:p w:rsidR="00071F50" w:rsidRPr="008003E3" w:rsidRDefault="00D56480" w:rsidP="00D56480">
      <w:pPr>
        <w:widowControl w:val="0"/>
        <w:ind w:firstLine="708"/>
        <w:jc w:val="center"/>
        <w:rPr>
          <w:b/>
        </w:rPr>
      </w:pPr>
      <w:r w:rsidRPr="008003E3">
        <w:rPr>
          <w:b/>
        </w:rPr>
        <w:t>Directora de Supervisión</w:t>
      </w:r>
    </w:p>
    <w:sectPr w:rsidR="00071F50" w:rsidRPr="008003E3" w:rsidSect="0068472F">
      <w:headerReference w:type="default" r:id="rId8"/>
      <w:pgSz w:w="11906" w:h="16838" w:code="9"/>
      <w:pgMar w:top="1644" w:right="1644" w:bottom="164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3B28" w:rsidRDefault="00E43B28" w:rsidP="00AC1B01">
      <w:r>
        <w:separator/>
      </w:r>
    </w:p>
  </w:endnote>
  <w:endnote w:type="continuationSeparator" w:id="1">
    <w:p w:rsidR="00E43B28" w:rsidRDefault="00E43B28" w:rsidP="00AC1B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Book">
    <w:altName w:val="Corbel"/>
    <w:charset w:val="00"/>
    <w:family w:val="swiss"/>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Perpetua">
    <w:altName w:val="Goudy"/>
    <w:charset w:val="00"/>
    <w:family w:val="roman"/>
    <w:pitch w:val="variable"/>
    <w:sig w:usb0="00000003" w:usb1="00000000" w:usb2="00000000" w:usb3="00000000" w:csb0="00000001" w:csb1="00000000"/>
  </w:font>
  <w:font w:name="Humnst777 BT">
    <w:altName w:val="Humnst777 B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3B28" w:rsidRDefault="00E43B28" w:rsidP="00AC1B01">
      <w:r>
        <w:separator/>
      </w:r>
    </w:p>
  </w:footnote>
  <w:footnote w:type="continuationSeparator" w:id="1">
    <w:p w:rsidR="00E43B28" w:rsidRDefault="00E43B28" w:rsidP="00AC1B01">
      <w:r>
        <w:continuationSeparator/>
      </w:r>
    </w:p>
  </w:footnote>
  <w:footnote w:id="2">
    <w:p w:rsidR="00E43B28" w:rsidRPr="0026352C" w:rsidRDefault="00E43B28" w:rsidP="008E6409">
      <w:pPr>
        <w:pStyle w:val="Textonotapie"/>
        <w:rPr>
          <w:rFonts w:asciiTheme="minorHAnsi" w:hAnsiTheme="minorHAnsi"/>
          <w:sz w:val="18"/>
          <w:szCs w:val="18"/>
          <w:lang w:eastAsia="es-ES"/>
        </w:rPr>
      </w:pPr>
      <w:r w:rsidRPr="0026352C">
        <w:rPr>
          <w:rStyle w:val="Refdenotaalpie"/>
          <w:rFonts w:asciiTheme="minorHAnsi" w:hAnsiTheme="minorHAnsi"/>
          <w:sz w:val="18"/>
          <w:szCs w:val="18"/>
        </w:rPr>
        <w:footnoteRef/>
      </w:r>
      <w:r w:rsidRPr="0026352C">
        <w:rPr>
          <w:rFonts w:asciiTheme="minorHAnsi" w:hAnsiTheme="minorHAnsi"/>
          <w:sz w:val="18"/>
          <w:szCs w:val="18"/>
        </w:rPr>
        <w:t xml:space="preserve"> </w:t>
      </w:r>
      <w:r w:rsidRPr="0026352C">
        <w:rPr>
          <w:rFonts w:asciiTheme="minorHAnsi" w:hAnsiTheme="minorHAnsi"/>
          <w:sz w:val="18"/>
          <w:szCs w:val="18"/>
          <w:lang w:eastAsia="es-ES"/>
        </w:rPr>
        <w:t>El Tribunal de Contrataciones y Adquisiciones del Estado se ha pronunciado sobre este tema en la Resolución N° 232/2007.TC-SU.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B28" w:rsidRDefault="00E43B28">
    <w:pPr>
      <w:pStyle w:val="Encabezado"/>
      <w:jc w:val="center"/>
    </w:pPr>
    <w:fldSimple w:instr=" PAGE   \* MERGEFORMAT ">
      <w:r w:rsidR="00E15896">
        <w:rPr>
          <w:noProof/>
        </w:rPr>
        <w:t>9</w:t>
      </w:r>
    </w:fldSimple>
  </w:p>
  <w:p w:rsidR="00E43B28" w:rsidRDefault="00E43B28">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54F76"/>
    <w:multiLevelType w:val="hybridMultilevel"/>
    <w:tmpl w:val="32AC81DE"/>
    <w:lvl w:ilvl="0" w:tplc="845AE8A0">
      <w:start w:val="1"/>
      <w:numFmt w:val="bullet"/>
      <w:lvlText w:val="-"/>
      <w:lvlJc w:val="left"/>
      <w:pPr>
        <w:ind w:left="720" w:hanging="360"/>
      </w:pPr>
      <w:rPr>
        <w:rFonts w:ascii="Times New Roman" w:eastAsia="MS Mincho"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5B40277"/>
    <w:multiLevelType w:val="hybridMultilevel"/>
    <w:tmpl w:val="8EACFE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6FF1050"/>
    <w:multiLevelType w:val="hybridMultilevel"/>
    <w:tmpl w:val="59462DA6"/>
    <w:lvl w:ilvl="0" w:tplc="17E06CA4">
      <w:start w:val="10"/>
      <w:numFmt w:val="bullet"/>
      <w:lvlText w:val="-"/>
      <w:lvlJc w:val="left"/>
      <w:pPr>
        <w:ind w:left="1068" w:hanging="360"/>
      </w:pPr>
      <w:rPr>
        <w:rFonts w:ascii="Times New Roman" w:eastAsia="Times New Roman" w:hAnsi="Times New Roman" w:cs="Times New Roman"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3">
    <w:nsid w:val="14315E46"/>
    <w:multiLevelType w:val="hybridMultilevel"/>
    <w:tmpl w:val="636242DA"/>
    <w:lvl w:ilvl="0" w:tplc="BA748D98">
      <w:start w:val="1"/>
      <w:numFmt w:val="bullet"/>
      <w:lvlText w:val=""/>
      <w:lvlJc w:val="left"/>
      <w:pPr>
        <w:ind w:left="1068" w:hanging="360"/>
      </w:pPr>
      <w:rPr>
        <w:rFonts w:ascii="Symbol" w:eastAsia="Times New Roman" w:hAnsi="Symbol" w:cs="Times New Roman"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4">
    <w:nsid w:val="16B13CCB"/>
    <w:multiLevelType w:val="hybridMultilevel"/>
    <w:tmpl w:val="352C1F3E"/>
    <w:lvl w:ilvl="0" w:tplc="3BB4E57A">
      <w:start w:val="10"/>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23176771"/>
    <w:multiLevelType w:val="hybridMultilevel"/>
    <w:tmpl w:val="06F67484"/>
    <w:lvl w:ilvl="0" w:tplc="845AE8A0">
      <w:start w:val="1"/>
      <w:numFmt w:val="bullet"/>
      <w:lvlText w:val="-"/>
      <w:lvlJc w:val="left"/>
      <w:pPr>
        <w:ind w:left="720" w:hanging="360"/>
      </w:pPr>
      <w:rPr>
        <w:rFonts w:ascii="Times New Roman" w:eastAsia="MS Mincho"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940405E"/>
    <w:multiLevelType w:val="multilevel"/>
    <w:tmpl w:val="E02CB4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4584490"/>
    <w:multiLevelType w:val="hybridMultilevel"/>
    <w:tmpl w:val="8FBC89DC"/>
    <w:lvl w:ilvl="0" w:tplc="041E412C">
      <w:start w:val="12"/>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4D2A1AF5"/>
    <w:multiLevelType w:val="hybridMultilevel"/>
    <w:tmpl w:val="0B7E44DE"/>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DC24DB6"/>
    <w:multiLevelType w:val="multilevel"/>
    <w:tmpl w:val="E806E31C"/>
    <w:lvl w:ilvl="0">
      <w:start w:val="1"/>
      <w:numFmt w:val="decimal"/>
      <w:lvlText w:val="%1."/>
      <w:lvlJc w:val="left"/>
      <w:pPr>
        <w:tabs>
          <w:tab w:val="num" w:pos="360"/>
        </w:tabs>
        <w:ind w:left="360" w:hanging="360"/>
      </w:pPr>
      <w:rPr>
        <w:rFonts w:hint="default"/>
        <w:b/>
        <w:sz w:val="24"/>
        <w:szCs w:val="24"/>
        <w:vertAlign w:val="baseline"/>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0">
    <w:nsid w:val="553B72B7"/>
    <w:multiLevelType w:val="hybridMultilevel"/>
    <w:tmpl w:val="419ED8F6"/>
    <w:lvl w:ilvl="0" w:tplc="0C0A001B">
      <w:start w:val="1"/>
      <w:numFmt w:val="lowerRoman"/>
      <w:lvlText w:val="%1."/>
      <w:lvlJc w:val="righ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55D5229C"/>
    <w:multiLevelType w:val="multilevel"/>
    <w:tmpl w:val="E858374C"/>
    <w:lvl w:ilvl="0">
      <w:start w:val="3"/>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800" w:hanging="1800"/>
      </w:pPr>
      <w:rPr>
        <w:rFonts w:eastAsia="MS Mincho" w:hint="default"/>
      </w:rPr>
    </w:lvl>
  </w:abstractNum>
  <w:abstractNum w:abstractNumId="12">
    <w:nsid w:val="588656AE"/>
    <w:multiLevelType w:val="hybridMultilevel"/>
    <w:tmpl w:val="CAE06BF0"/>
    <w:lvl w:ilvl="0" w:tplc="744ACF6C">
      <w:start w:val="1"/>
      <w:numFmt w:val="decimal"/>
      <w:lvlText w:val="3.%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C7F4890"/>
    <w:multiLevelType w:val="multilevel"/>
    <w:tmpl w:val="3014D3DC"/>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3AC5380"/>
    <w:multiLevelType w:val="hybridMultilevel"/>
    <w:tmpl w:val="FFA054DA"/>
    <w:lvl w:ilvl="0" w:tplc="92BEFDE6">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5"/>
  </w:num>
  <w:num w:numId="4">
    <w:abstractNumId w:val="1"/>
  </w:num>
  <w:num w:numId="5">
    <w:abstractNumId w:val="10"/>
  </w:num>
  <w:num w:numId="6">
    <w:abstractNumId w:val="12"/>
  </w:num>
  <w:num w:numId="7">
    <w:abstractNumId w:val="0"/>
  </w:num>
  <w:num w:numId="8">
    <w:abstractNumId w:val="11"/>
  </w:num>
  <w:num w:numId="9">
    <w:abstractNumId w:val="14"/>
  </w:num>
  <w:num w:numId="10">
    <w:abstractNumId w:val="7"/>
  </w:num>
  <w:num w:numId="11">
    <w:abstractNumId w:val="3"/>
  </w:num>
  <w:num w:numId="12">
    <w:abstractNumId w:val="8"/>
  </w:num>
  <w:num w:numId="13">
    <w:abstractNumId w:val="2"/>
  </w:num>
  <w:num w:numId="14">
    <w:abstractNumId w:val="4"/>
  </w:num>
  <w:num w:numId="15">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5121"/>
  </w:hdrShapeDefaults>
  <w:footnotePr>
    <w:footnote w:id="0"/>
    <w:footnote w:id="1"/>
  </w:footnotePr>
  <w:endnotePr>
    <w:endnote w:id="0"/>
    <w:endnote w:id="1"/>
  </w:endnotePr>
  <w:compat/>
  <w:rsids>
    <w:rsidRoot w:val="00AC1B01"/>
    <w:rsid w:val="0000105E"/>
    <w:rsid w:val="00002104"/>
    <w:rsid w:val="00003878"/>
    <w:rsid w:val="000043B8"/>
    <w:rsid w:val="00010E9C"/>
    <w:rsid w:val="000120F9"/>
    <w:rsid w:val="00012E23"/>
    <w:rsid w:val="0001597C"/>
    <w:rsid w:val="00017310"/>
    <w:rsid w:val="00017EAB"/>
    <w:rsid w:val="000204D2"/>
    <w:rsid w:val="0002196A"/>
    <w:rsid w:val="0002419E"/>
    <w:rsid w:val="000270D4"/>
    <w:rsid w:val="00027316"/>
    <w:rsid w:val="00027DE3"/>
    <w:rsid w:val="00035724"/>
    <w:rsid w:val="00035774"/>
    <w:rsid w:val="00035C77"/>
    <w:rsid w:val="000452AB"/>
    <w:rsid w:val="000464CC"/>
    <w:rsid w:val="00053646"/>
    <w:rsid w:val="0005427D"/>
    <w:rsid w:val="00054E59"/>
    <w:rsid w:val="00060C1F"/>
    <w:rsid w:val="000677C8"/>
    <w:rsid w:val="00071F50"/>
    <w:rsid w:val="00074193"/>
    <w:rsid w:val="000742D9"/>
    <w:rsid w:val="000756AB"/>
    <w:rsid w:val="00075E6F"/>
    <w:rsid w:val="00076E90"/>
    <w:rsid w:val="000810E8"/>
    <w:rsid w:val="000835D0"/>
    <w:rsid w:val="00084FD0"/>
    <w:rsid w:val="000856E4"/>
    <w:rsid w:val="000930B9"/>
    <w:rsid w:val="000948A0"/>
    <w:rsid w:val="00095B26"/>
    <w:rsid w:val="00097210"/>
    <w:rsid w:val="000A0AD0"/>
    <w:rsid w:val="000A4F7B"/>
    <w:rsid w:val="000A5452"/>
    <w:rsid w:val="000A7386"/>
    <w:rsid w:val="000A7BE9"/>
    <w:rsid w:val="000B00B2"/>
    <w:rsid w:val="000B0B7E"/>
    <w:rsid w:val="000C486B"/>
    <w:rsid w:val="000C60CA"/>
    <w:rsid w:val="000D0C09"/>
    <w:rsid w:val="000D1055"/>
    <w:rsid w:val="000D4628"/>
    <w:rsid w:val="000D574D"/>
    <w:rsid w:val="000D6751"/>
    <w:rsid w:val="000D7BDE"/>
    <w:rsid w:val="000E0A11"/>
    <w:rsid w:val="000F3A2E"/>
    <w:rsid w:val="000F4AAD"/>
    <w:rsid w:val="000F5034"/>
    <w:rsid w:val="000F75D0"/>
    <w:rsid w:val="0010108C"/>
    <w:rsid w:val="00103044"/>
    <w:rsid w:val="00103826"/>
    <w:rsid w:val="001056EF"/>
    <w:rsid w:val="001066FC"/>
    <w:rsid w:val="00111453"/>
    <w:rsid w:val="00111BE7"/>
    <w:rsid w:val="00112167"/>
    <w:rsid w:val="001155A8"/>
    <w:rsid w:val="00117247"/>
    <w:rsid w:val="00120C61"/>
    <w:rsid w:val="0012142F"/>
    <w:rsid w:val="00125548"/>
    <w:rsid w:val="001264FF"/>
    <w:rsid w:val="00133010"/>
    <w:rsid w:val="0013316C"/>
    <w:rsid w:val="00134356"/>
    <w:rsid w:val="00141C1C"/>
    <w:rsid w:val="00144C9B"/>
    <w:rsid w:val="00145B8A"/>
    <w:rsid w:val="00145F18"/>
    <w:rsid w:val="001565FE"/>
    <w:rsid w:val="00161C2C"/>
    <w:rsid w:val="001706F8"/>
    <w:rsid w:val="00171128"/>
    <w:rsid w:val="00172D02"/>
    <w:rsid w:val="00173DFF"/>
    <w:rsid w:val="00191068"/>
    <w:rsid w:val="00193354"/>
    <w:rsid w:val="00195CAD"/>
    <w:rsid w:val="001A4669"/>
    <w:rsid w:val="001A70AA"/>
    <w:rsid w:val="001B3069"/>
    <w:rsid w:val="001B6025"/>
    <w:rsid w:val="001B7652"/>
    <w:rsid w:val="001C0D2E"/>
    <w:rsid w:val="001C29CA"/>
    <w:rsid w:val="001C6B36"/>
    <w:rsid w:val="001D056F"/>
    <w:rsid w:val="001D12DD"/>
    <w:rsid w:val="001D3710"/>
    <w:rsid w:val="001D68F9"/>
    <w:rsid w:val="001D7A1A"/>
    <w:rsid w:val="001D7D03"/>
    <w:rsid w:val="001E2442"/>
    <w:rsid w:val="001E3832"/>
    <w:rsid w:val="001E3EBC"/>
    <w:rsid w:val="001F786F"/>
    <w:rsid w:val="00202208"/>
    <w:rsid w:val="00205105"/>
    <w:rsid w:val="00206BF3"/>
    <w:rsid w:val="0021019A"/>
    <w:rsid w:val="00211063"/>
    <w:rsid w:val="00211214"/>
    <w:rsid w:val="00212535"/>
    <w:rsid w:val="00212837"/>
    <w:rsid w:val="00212E35"/>
    <w:rsid w:val="002140D4"/>
    <w:rsid w:val="002153F2"/>
    <w:rsid w:val="002155DA"/>
    <w:rsid w:val="00216293"/>
    <w:rsid w:val="00220475"/>
    <w:rsid w:val="00223CE3"/>
    <w:rsid w:val="00224B03"/>
    <w:rsid w:val="00235BD5"/>
    <w:rsid w:val="00237F06"/>
    <w:rsid w:val="00237F48"/>
    <w:rsid w:val="0024144E"/>
    <w:rsid w:val="00242860"/>
    <w:rsid w:val="00247C87"/>
    <w:rsid w:val="0025121E"/>
    <w:rsid w:val="00251EEE"/>
    <w:rsid w:val="00254DAA"/>
    <w:rsid w:val="00255B9F"/>
    <w:rsid w:val="00256967"/>
    <w:rsid w:val="0026352C"/>
    <w:rsid w:val="00272091"/>
    <w:rsid w:val="002744BC"/>
    <w:rsid w:val="00276CF8"/>
    <w:rsid w:val="00285AD6"/>
    <w:rsid w:val="00285C88"/>
    <w:rsid w:val="00286247"/>
    <w:rsid w:val="00286C56"/>
    <w:rsid w:val="002926A0"/>
    <w:rsid w:val="00293CDA"/>
    <w:rsid w:val="00293F31"/>
    <w:rsid w:val="0029531F"/>
    <w:rsid w:val="00295621"/>
    <w:rsid w:val="002A20A7"/>
    <w:rsid w:val="002A27E4"/>
    <w:rsid w:val="002A3C8A"/>
    <w:rsid w:val="002B453C"/>
    <w:rsid w:val="002C1F0A"/>
    <w:rsid w:val="002C476B"/>
    <w:rsid w:val="002C5005"/>
    <w:rsid w:val="002C57DB"/>
    <w:rsid w:val="002C7F57"/>
    <w:rsid w:val="002D22B1"/>
    <w:rsid w:val="002D5C41"/>
    <w:rsid w:val="002E1AEB"/>
    <w:rsid w:val="002E31F7"/>
    <w:rsid w:val="002E5365"/>
    <w:rsid w:val="002E54F7"/>
    <w:rsid w:val="002E77E2"/>
    <w:rsid w:val="002F1E00"/>
    <w:rsid w:val="002F3BBC"/>
    <w:rsid w:val="002F3CE1"/>
    <w:rsid w:val="002F3F96"/>
    <w:rsid w:val="002F4466"/>
    <w:rsid w:val="00300391"/>
    <w:rsid w:val="003042C0"/>
    <w:rsid w:val="00310638"/>
    <w:rsid w:val="00312951"/>
    <w:rsid w:val="00312DFD"/>
    <w:rsid w:val="00321104"/>
    <w:rsid w:val="003279C7"/>
    <w:rsid w:val="00330EFC"/>
    <w:rsid w:val="003326C6"/>
    <w:rsid w:val="003371F8"/>
    <w:rsid w:val="003406F4"/>
    <w:rsid w:val="003423CF"/>
    <w:rsid w:val="003435FA"/>
    <w:rsid w:val="00350CA6"/>
    <w:rsid w:val="00352233"/>
    <w:rsid w:val="00355AFA"/>
    <w:rsid w:val="00362E2C"/>
    <w:rsid w:val="00363A4A"/>
    <w:rsid w:val="00365207"/>
    <w:rsid w:val="00365454"/>
    <w:rsid w:val="0036717E"/>
    <w:rsid w:val="0037340A"/>
    <w:rsid w:val="0038097A"/>
    <w:rsid w:val="003813BD"/>
    <w:rsid w:val="0038799E"/>
    <w:rsid w:val="0039009C"/>
    <w:rsid w:val="00394D7C"/>
    <w:rsid w:val="00395A5F"/>
    <w:rsid w:val="003963C2"/>
    <w:rsid w:val="00396536"/>
    <w:rsid w:val="003A058A"/>
    <w:rsid w:val="003A3A07"/>
    <w:rsid w:val="003A3E61"/>
    <w:rsid w:val="003A588E"/>
    <w:rsid w:val="003A7600"/>
    <w:rsid w:val="003B2DDC"/>
    <w:rsid w:val="003B5326"/>
    <w:rsid w:val="003B677D"/>
    <w:rsid w:val="003C0ECC"/>
    <w:rsid w:val="003C12D5"/>
    <w:rsid w:val="003C18AA"/>
    <w:rsid w:val="003C4B05"/>
    <w:rsid w:val="003C4E22"/>
    <w:rsid w:val="003C55C5"/>
    <w:rsid w:val="003C7733"/>
    <w:rsid w:val="003D65E8"/>
    <w:rsid w:val="003D6DA9"/>
    <w:rsid w:val="003E425D"/>
    <w:rsid w:val="003E54A4"/>
    <w:rsid w:val="003E7A5B"/>
    <w:rsid w:val="003E7A9C"/>
    <w:rsid w:val="003F3500"/>
    <w:rsid w:val="003F7AEB"/>
    <w:rsid w:val="003F7D47"/>
    <w:rsid w:val="00400C1C"/>
    <w:rsid w:val="0040110B"/>
    <w:rsid w:val="004058B3"/>
    <w:rsid w:val="00407C78"/>
    <w:rsid w:val="00407E76"/>
    <w:rsid w:val="00410742"/>
    <w:rsid w:val="00410E07"/>
    <w:rsid w:val="00415224"/>
    <w:rsid w:val="0041691E"/>
    <w:rsid w:val="00416E19"/>
    <w:rsid w:val="00417728"/>
    <w:rsid w:val="0042364B"/>
    <w:rsid w:val="00426423"/>
    <w:rsid w:val="00427BB6"/>
    <w:rsid w:val="0043476A"/>
    <w:rsid w:val="004448D1"/>
    <w:rsid w:val="00447FD2"/>
    <w:rsid w:val="00450472"/>
    <w:rsid w:val="0045087D"/>
    <w:rsid w:val="00451401"/>
    <w:rsid w:val="0045467D"/>
    <w:rsid w:val="00455982"/>
    <w:rsid w:val="00457BF9"/>
    <w:rsid w:val="00460952"/>
    <w:rsid w:val="00461A78"/>
    <w:rsid w:val="00463DF1"/>
    <w:rsid w:val="00463F81"/>
    <w:rsid w:val="0046414B"/>
    <w:rsid w:val="00466A1F"/>
    <w:rsid w:val="0047352D"/>
    <w:rsid w:val="00473F0E"/>
    <w:rsid w:val="0047451A"/>
    <w:rsid w:val="0048098D"/>
    <w:rsid w:val="00482DAC"/>
    <w:rsid w:val="00485035"/>
    <w:rsid w:val="004863F0"/>
    <w:rsid w:val="00490159"/>
    <w:rsid w:val="0049020C"/>
    <w:rsid w:val="00492493"/>
    <w:rsid w:val="00494707"/>
    <w:rsid w:val="004A5BA8"/>
    <w:rsid w:val="004A6CBF"/>
    <w:rsid w:val="004A7EE7"/>
    <w:rsid w:val="004B0E58"/>
    <w:rsid w:val="004B196F"/>
    <w:rsid w:val="004B4E27"/>
    <w:rsid w:val="004B758B"/>
    <w:rsid w:val="004C2999"/>
    <w:rsid w:val="004C482F"/>
    <w:rsid w:val="004D2437"/>
    <w:rsid w:val="004D379F"/>
    <w:rsid w:val="004D6CDB"/>
    <w:rsid w:val="004D772D"/>
    <w:rsid w:val="004E157B"/>
    <w:rsid w:val="004E1D59"/>
    <w:rsid w:val="004E3AAB"/>
    <w:rsid w:val="004E5F61"/>
    <w:rsid w:val="004F0115"/>
    <w:rsid w:val="00501206"/>
    <w:rsid w:val="0050195B"/>
    <w:rsid w:val="00503C52"/>
    <w:rsid w:val="005059E6"/>
    <w:rsid w:val="00507E7A"/>
    <w:rsid w:val="0051370B"/>
    <w:rsid w:val="00515BDD"/>
    <w:rsid w:val="00520CB4"/>
    <w:rsid w:val="00521E05"/>
    <w:rsid w:val="00522C7C"/>
    <w:rsid w:val="00522C99"/>
    <w:rsid w:val="00526E46"/>
    <w:rsid w:val="00531563"/>
    <w:rsid w:val="005336AE"/>
    <w:rsid w:val="005351B9"/>
    <w:rsid w:val="00536F66"/>
    <w:rsid w:val="00545589"/>
    <w:rsid w:val="0055252C"/>
    <w:rsid w:val="00552D45"/>
    <w:rsid w:val="00557AAB"/>
    <w:rsid w:val="00563704"/>
    <w:rsid w:val="00573299"/>
    <w:rsid w:val="00574027"/>
    <w:rsid w:val="00585165"/>
    <w:rsid w:val="00587DC6"/>
    <w:rsid w:val="005943EF"/>
    <w:rsid w:val="00596F75"/>
    <w:rsid w:val="00597B92"/>
    <w:rsid w:val="005A1A71"/>
    <w:rsid w:val="005A3AD7"/>
    <w:rsid w:val="005A40EE"/>
    <w:rsid w:val="005A4A24"/>
    <w:rsid w:val="005A5C98"/>
    <w:rsid w:val="005B19BE"/>
    <w:rsid w:val="005B3C68"/>
    <w:rsid w:val="005C3704"/>
    <w:rsid w:val="005C3772"/>
    <w:rsid w:val="005C63C3"/>
    <w:rsid w:val="005D2555"/>
    <w:rsid w:val="005D4123"/>
    <w:rsid w:val="005E04E1"/>
    <w:rsid w:val="005E6C41"/>
    <w:rsid w:val="005F103D"/>
    <w:rsid w:val="005F1FD4"/>
    <w:rsid w:val="005F4D98"/>
    <w:rsid w:val="005F6AE7"/>
    <w:rsid w:val="006010DF"/>
    <w:rsid w:val="006026F1"/>
    <w:rsid w:val="006031FA"/>
    <w:rsid w:val="0060388F"/>
    <w:rsid w:val="00603F5E"/>
    <w:rsid w:val="00604551"/>
    <w:rsid w:val="00607097"/>
    <w:rsid w:val="006101DB"/>
    <w:rsid w:val="00610791"/>
    <w:rsid w:val="00615F30"/>
    <w:rsid w:val="00616204"/>
    <w:rsid w:val="00616FF6"/>
    <w:rsid w:val="00617112"/>
    <w:rsid w:val="00617E01"/>
    <w:rsid w:val="0062106F"/>
    <w:rsid w:val="006224C6"/>
    <w:rsid w:val="0062376F"/>
    <w:rsid w:val="006276BB"/>
    <w:rsid w:val="00627EB3"/>
    <w:rsid w:val="00630C62"/>
    <w:rsid w:val="0063622E"/>
    <w:rsid w:val="0064396E"/>
    <w:rsid w:val="00643E3C"/>
    <w:rsid w:val="00644F5F"/>
    <w:rsid w:val="00646104"/>
    <w:rsid w:val="0064642C"/>
    <w:rsid w:val="006506C2"/>
    <w:rsid w:val="006507C1"/>
    <w:rsid w:val="0065349A"/>
    <w:rsid w:val="00656D9A"/>
    <w:rsid w:val="00657124"/>
    <w:rsid w:val="00660A11"/>
    <w:rsid w:val="00662B7C"/>
    <w:rsid w:val="00663861"/>
    <w:rsid w:val="00671538"/>
    <w:rsid w:val="00674324"/>
    <w:rsid w:val="00681EF2"/>
    <w:rsid w:val="00682C78"/>
    <w:rsid w:val="006839F2"/>
    <w:rsid w:val="0068472F"/>
    <w:rsid w:val="0069358F"/>
    <w:rsid w:val="00693EB3"/>
    <w:rsid w:val="00695262"/>
    <w:rsid w:val="006960DD"/>
    <w:rsid w:val="00696F60"/>
    <w:rsid w:val="006A4E6F"/>
    <w:rsid w:val="006B249C"/>
    <w:rsid w:val="006B48D9"/>
    <w:rsid w:val="006B5CBC"/>
    <w:rsid w:val="006B5F17"/>
    <w:rsid w:val="006C17CF"/>
    <w:rsid w:val="006C29B7"/>
    <w:rsid w:val="006C3CB2"/>
    <w:rsid w:val="006C3CD9"/>
    <w:rsid w:val="006C619B"/>
    <w:rsid w:val="006D064C"/>
    <w:rsid w:val="006D116E"/>
    <w:rsid w:val="006D503E"/>
    <w:rsid w:val="006D74CB"/>
    <w:rsid w:val="006E24F9"/>
    <w:rsid w:val="006E718E"/>
    <w:rsid w:val="006F0006"/>
    <w:rsid w:val="006F3EB5"/>
    <w:rsid w:val="006F6AE3"/>
    <w:rsid w:val="007017A9"/>
    <w:rsid w:val="00702628"/>
    <w:rsid w:val="007064E7"/>
    <w:rsid w:val="00706DCE"/>
    <w:rsid w:val="00721EF3"/>
    <w:rsid w:val="0073372E"/>
    <w:rsid w:val="007351DD"/>
    <w:rsid w:val="0073531D"/>
    <w:rsid w:val="00743402"/>
    <w:rsid w:val="00746979"/>
    <w:rsid w:val="00746AE1"/>
    <w:rsid w:val="007501A9"/>
    <w:rsid w:val="00752D21"/>
    <w:rsid w:val="00753D87"/>
    <w:rsid w:val="007563FB"/>
    <w:rsid w:val="007602B5"/>
    <w:rsid w:val="00760F5D"/>
    <w:rsid w:val="007679D3"/>
    <w:rsid w:val="00770AD4"/>
    <w:rsid w:val="0077273E"/>
    <w:rsid w:val="00772947"/>
    <w:rsid w:val="00774B48"/>
    <w:rsid w:val="00775CF4"/>
    <w:rsid w:val="007836F5"/>
    <w:rsid w:val="00786F4E"/>
    <w:rsid w:val="00791E7E"/>
    <w:rsid w:val="00792DFB"/>
    <w:rsid w:val="00797063"/>
    <w:rsid w:val="00797B91"/>
    <w:rsid w:val="007A1E01"/>
    <w:rsid w:val="007A6689"/>
    <w:rsid w:val="007B1BBE"/>
    <w:rsid w:val="007B6711"/>
    <w:rsid w:val="007C048B"/>
    <w:rsid w:val="007C333F"/>
    <w:rsid w:val="007C35A3"/>
    <w:rsid w:val="007C438E"/>
    <w:rsid w:val="007C6EA2"/>
    <w:rsid w:val="007D5831"/>
    <w:rsid w:val="007D6A87"/>
    <w:rsid w:val="007E119A"/>
    <w:rsid w:val="007E3B24"/>
    <w:rsid w:val="007E42B2"/>
    <w:rsid w:val="007E79AE"/>
    <w:rsid w:val="007F7180"/>
    <w:rsid w:val="008003E3"/>
    <w:rsid w:val="008035CD"/>
    <w:rsid w:val="00810D03"/>
    <w:rsid w:val="00815307"/>
    <w:rsid w:val="00815B1F"/>
    <w:rsid w:val="00816A9F"/>
    <w:rsid w:val="00822961"/>
    <w:rsid w:val="00824B1A"/>
    <w:rsid w:val="008301EA"/>
    <w:rsid w:val="00831A63"/>
    <w:rsid w:val="00831F8D"/>
    <w:rsid w:val="008345C0"/>
    <w:rsid w:val="008402F4"/>
    <w:rsid w:val="00841197"/>
    <w:rsid w:val="008427A4"/>
    <w:rsid w:val="008429C1"/>
    <w:rsid w:val="00844D8C"/>
    <w:rsid w:val="00845A62"/>
    <w:rsid w:val="008471B9"/>
    <w:rsid w:val="00854376"/>
    <w:rsid w:val="00855B58"/>
    <w:rsid w:val="00860214"/>
    <w:rsid w:val="00861CAB"/>
    <w:rsid w:val="0087027D"/>
    <w:rsid w:val="00872B2F"/>
    <w:rsid w:val="008764B2"/>
    <w:rsid w:val="008777F7"/>
    <w:rsid w:val="00877B26"/>
    <w:rsid w:val="00882369"/>
    <w:rsid w:val="00882E84"/>
    <w:rsid w:val="00882FEC"/>
    <w:rsid w:val="0088374C"/>
    <w:rsid w:val="008866CE"/>
    <w:rsid w:val="008925C5"/>
    <w:rsid w:val="00892E3D"/>
    <w:rsid w:val="00894FBE"/>
    <w:rsid w:val="00895C59"/>
    <w:rsid w:val="008967B4"/>
    <w:rsid w:val="00896DBA"/>
    <w:rsid w:val="00897A3C"/>
    <w:rsid w:val="008A1846"/>
    <w:rsid w:val="008A2694"/>
    <w:rsid w:val="008A64A5"/>
    <w:rsid w:val="008B0F55"/>
    <w:rsid w:val="008B136E"/>
    <w:rsid w:val="008B35C2"/>
    <w:rsid w:val="008B3928"/>
    <w:rsid w:val="008B477F"/>
    <w:rsid w:val="008C0104"/>
    <w:rsid w:val="008C4DBE"/>
    <w:rsid w:val="008D1D1A"/>
    <w:rsid w:val="008D2967"/>
    <w:rsid w:val="008D3766"/>
    <w:rsid w:val="008D524B"/>
    <w:rsid w:val="008D5990"/>
    <w:rsid w:val="008D6392"/>
    <w:rsid w:val="008D6F83"/>
    <w:rsid w:val="008D7A95"/>
    <w:rsid w:val="008D7E18"/>
    <w:rsid w:val="008E186C"/>
    <w:rsid w:val="008E597A"/>
    <w:rsid w:val="008E6409"/>
    <w:rsid w:val="008F15DA"/>
    <w:rsid w:val="008F32ED"/>
    <w:rsid w:val="00900575"/>
    <w:rsid w:val="009026C3"/>
    <w:rsid w:val="00902D1D"/>
    <w:rsid w:val="00902F80"/>
    <w:rsid w:val="0090436A"/>
    <w:rsid w:val="00904FD4"/>
    <w:rsid w:val="00905D84"/>
    <w:rsid w:val="009107AE"/>
    <w:rsid w:val="00914FF2"/>
    <w:rsid w:val="00915AD6"/>
    <w:rsid w:val="00916D1F"/>
    <w:rsid w:val="00920C5C"/>
    <w:rsid w:val="00923733"/>
    <w:rsid w:val="00923F26"/>
    <w:rsid w:val="00935031"/>
    <w:rsid w:val="00935FF9"/>
    <w:rsid w:val="0094392C"/>
    <w:rsid w:val="00955C5B"/>
    <w:rsid w:val="00957AC0"/>
    <w:rsid w:val="009615AD"/>
    <w:rsid w:val="00963FAE"/>
    <w:rsid w:val="00966C44"/>
    <w:rsid w:val="00980259"/>
    <w:rsid w:val="00983B9B"/>
    <w:rsid w:val="00987A85"/>
    <w:rsid w:val="009915F1"/>
    <w:rsid w:val="00993AF0"/>
    <w:rsid w:val="00994817"/>
    <w:rsid w:val="009A16F9"/>
    <w:rsid w:val="009A4E65"/>
    <w:rsid w:val="009B00B6"/>
    <w:rsid w:val="009C6270"/>
    <w:rsid w:val="009C6892"/>
    <w:rsid w:val="009D71AA"/>
    <w:rsid w:val="009E22D4"/>
    <w:rsid w:val="009E517F"/>
    <w:rsid w:val="009E6F92"/>
    <w:rsid w:val="009E74B4"/>
    <w:rsid w:val="009F0007"/>
    <w:rsid w:val="009F065D"/>
    <w:rsid w:val="009F1F0D"/>
    <w:rsid w:val="009F2FDE"/>
    <w:rsid w:val="009F6AC2"/>
    <w:rsid w:val="00A04B22"/>
    <w:rsid w:val="00A10F55"/>
    <w:rsid w:val="00A12DD4"/>
    <w:rsid w:val="00A160DF"/>
    <w:rsid w:val="00A16BC2"/>
    <w:rsid w:val="00A26ADB"/>
    <w:rsid w:val="00A26F08"/>
    <w:rsid w:val="00A27797"/>
    <w:rsid w:val="00A3156E"/>
    <w:rsid w:val="00A33900"/>
    <w:rsid w:val="00A4041E"/>
    <w:rsid w:val="00A43ACB"/>
    <w:rsid w:val="00A444DC"/>
    <w:rsid w:val="00A477FE"/>
    <w:rsid w:val="00A54F1A"/>
    <w:rsid w:val="00A567B5"/>
    <w:rsid w:val="00A61B04"/>
    <w:rsid w:val="00A628D7"/>
    <w:rsid w:val="00A651CE"/>
    <w:rsid w:val="00A72639"/>
    <w:rsid w:val="00A73369"/>
    <w:rsid w:val="00A82A87"/>
    <w:rsid w:val="00A83912"/>
    <w:rsid w:val="00A842EC"/>
    <w:rsid w:val="00A84CF4"/>
    <w:rsid w:val="00A90657"/>
    <w:rsid w:val="00A919BD"/>
    <w:rsid w:val="00A9743F"/>
    <w:rsid w:val="00A9750A"/>
    <w:rsid w:val="00AA0A47"/>
    <w:rsid w:val="00AA21FF"/>
    <w:rsid w:val="00AA3518"/>
    <w:rsid w:val="00AA52E0"/>
    <w:rsid w:val="00AA577C"/>
    <w:rsid w:val="00AA6939"/>
    <w:rsid w:val="00AB5D36"/>
    <w:rsid w:val="00AB7926"/>
    <w:rsid w:val="00AC1B01"/>
    <w:rsid w:val="00AC1E1F"/>
    <w:rsid w:val="00AC2BE7"/>
    <w:rsid w:val="00AD00F1"/>
    <w:rsid w:val="00AD02E3"/>
    <w:rsid w:val="00AD0DDC"/>
    <w:rsid w:val="00AD13CA"/>
    <w:rsid w:val="00AD192A"/>
    <w:rsid w:val="00AD2C97"/>
    <w:rsid w:val="00AD56AD"/>
    <w:rsid w:val="00AD5902"/>
    <w:rsid w:val="00AD5972"/>
    <w:rsid w:val="00AD6261"/>
    <w:rsid w:val="00AE158F"/>
    <w:rsid w:val="00AE5203"/>
    <w:rsid w:val="00AE7707"/>
    <w:rsid w:val="00AF4981"/>
    <w:rsid w:val="00AF7133"/>
    <w:rsid w:val="00B008A1"/>
    <w:rsid w:val="00B04006"/>
    <w:rsid w:val="00B0532D"/>
    <w:rsid w:val="00B0696B"/>
    <w:rsid w:val="00B11197"/>
    <w:rsid w:val="00B12DAE"/>
    <w:rsid w:val="00B13DB3"/>
    <w:rsid w:val="00B167AF"/>
    <w:rsid w:val="00B17745"/>
    <w:rsid w:val="00B236BF"/>
    <w:rsid w:val="00B24368"/>
    <w:rsid w:val="00B24D91"/>
    <w:rsid w:val="00B30E59"/>
    <w:rsid w:val="00B3283C"/>
    <w:rsid w:val="00B338DD"/>
    <w:rsid w:val="00B35DC0"/>
    <w:rsid w:val="00B508A6"/>
    <w:rsid w:val="00B57C5D"/>
    <w:rsid w:val="00B61DB0"/>
    <w:rsid w:val="00B63E1F"/>
    <w:rsid w:val="00B66D1C"/>
    <w:rsid w:val="00B71ABC"/>
    <w:rsid w:val="00B747F5"/>
    <w:rsid w:val="00B756DB"/>
    <w:rsid w:val="00B75F2A"/>
    <w:rsid w:val="00B7670B"/>
    <w:rsid w:val="00B81793"/>
    <w:rsid w:val="00B95D83"/>
    <w:rsid w:val="00BA0A84"/>
    <w:rsid w:val="00BA2B92"/>
    <w:rsid w:val="00BA33F6"/>
    <w:rsid w:val="00BA3928"/>
    <w:rsid w:val="00BA64B3"/>
    <w:rsid w:val="00BB04E6"/>
    <w:rsid w:val="00BB0834"/>
    <w:rsid w:val="00BB298B"/>
    <w:rsid w:val="00BC0EDD"/>
    <w:rsid w:val="00BC1026"/>
    <w:rsid w:val="00BC54F2"/>
    <w:rsid w:val="00BC7885"/>
    <w:rsid w:val="00BD0232"/>
    <w:rsid w:val="00BD03C4"/>
    <w:rsid w:val="00BD077D"/>
    <w:rsid w:val="00BE4477"/>
    <w:rsid w:val="00BE4576"/>
    <w:rsid w:val="00BE5572"/>
    <w:rsid w:val="00BE70C9"/>
    <w:rsid w:val="00BE773E"/>
    <w:rsid w:val="00BF098C"/>
    <w:rsid w:val="00BF0B97"/>
    <w:rsid w:val="00C00645"/>
    <w:rsid w:val="00C0082C"/>
    <w:rsid w:val="00C01CDF"/>
    <w:rsid w:val="00C0682D"/>
    <w:rsid w:val="00C125CC"/>
    <w:rsid w:val="00C1458F"/>
    <w:rsid w:val="00C151EA"/>
    <w:rsid w:val="00C1571F"/>
    <w:rsid w:val="00C16D4B"/>
    <w:rsid w:val="00C20AAF"/>
    <w:rsid w:val="00C2429D"/>
    <w:rsid w:val="00C244FE"/>
    <w:rsid w:val="00C27032"/>
    <w:rsid w:val="00C30205"/>
    <w:rsid w:val="00C329C4"/>
    <w:rsid w:val="00C409E3"/>
    <w:rsid w:val="00C439B0"/>
    <w:rsid w:val="00C43F93"/>
    <w:rsid w:val="00C47155"/>
    <w:rsid w:val="00C51FA1"/>
    <w:rsid w:val="00C64BDB"/>
    <w:rsid w:val="00C65136"/>
    <w:rsid w:val="00C66931"/>
    <w:rsid w:val="00C66B06"/>
    <w:rsid w:val="00C67DE0"/>
    <w:rsid w:val="00C72881"/>
    <w:rsid w:val="00C772CA"/>
    <w:rsid w:val="00C77A22"/>
    <w:rsid w:val="00C80168"/>
    <w:rsid w:val="00C813F4"/>
    <w:rsid w:val="00C84BCE"/>
    <w:rsid w:val="00C868FC"/>
    <w:rsid w:val="00C90A0B"/>
    <w:rsid w:val="00C93DCF"/>
    <w:rsid w:val="00C93FE0"/>
    <w:rsid w:val="00C94119"/>
    <w:rsid w:val="00C95066"/>
    <w:rsid w:val="00CA275D"/>
    <w:rsid w:val="00CA32DF"/>
    <w:rsid w:val="00CA5811"/>
    <w:rsid w:val="00CB2D5B"/>
    <w:rsid w:val="00CB452F"/>
    <w:rsid w:val="00CB6E48"/>
    <w:rsid w:val="00CC0E7D"/>
    <w:rsid w:val="00CC104F"/>
    <w:rsid w:val="00CC32FB"/>
    <w:rsid w:val="00CD11BE"/>
    <w:rsid w:val="00CD17DC"/>
    <w:rsid w:val="00CD3C79"/>
    <w:rsid w:val="00CD5990"/>
    <w:rsid w:val="00CD6318"/>
    <w:rsid w:val="00CE16C9"/>
    <w:rsid w:val="00CE1787"/>
    <w:rsid w:val="00CE2691"/>
    <w:rsid w:val="00CE60A2"/>
    <w:rsid w:val="00CE644E"/>
    <w:rsid w:val="00CE7434"/>
    <w:rsid w:val="00CF3B8F"/>
    <w:rsid w:val="00CF3C53"/>
    <w:rsid w:val="00CF58D9"/>
    <w:rsid w:val="00D0049C"/>
    <w:rsid w:val="00D01513"/>
    <w:rsid w:val="00D0571B"/>
    <w:rsid w:val="00D10FE4"/>
    <w:rsid w:val="00D16218"/>
    <w:rsid w:val="00D17D98"/>
    <w:rsid w:val="00D24964"/>
    <w:rsid w:val="00D26CA3"/>
    <w:rsid w:val="00D3506F"/>
    <w:rsid w:val="00D3563D"/>
    <w:rsid w:val="00D37774"/>
    <w:rsid w:val="00D40184"/>
    <w:rsid w:val="00D41350"/>
    <w:rsid w:val="00D503D7"/>
    <w:rsid w:val="00D50597"/>
    <w:rsid w:val="00D506B0"/>
    <w:rsid w:val="00D528A7"/>
    <w:rsid w:val="00D52F0E"/>
    <w:rsid w:val="00D5389F"/>
    <w:rsid w:val="00D53AC8"/>
    <w:rsid w:val="00D56480"/>
    <w:rsid w:val="00D57C7E"/>
    <w:rsid w:val="00D57D7A"/>
    <w:rsid w:val="00D65288"/>
    <w:rsid w:val="00D6720C"/>
    <w:rsid w:val="00D675A6"/>
    <w:rsid w:val="00D72FC1"/>
    <w:rsid w:val="00D77779"/>
    <w:rsid w:val="00D81322"/>
    <w:rsid w:val="00D82EBB"/>
    <w:rsid w:val="00D849A6"/>
    <w:rsid w:val="00D85A19"/>
    <w:rsid w:val="00D85D03"/>
    <w:rsid w:val="00D87B2E"/>
    <w:rsid w:val="00D904A5"/>
    <w:rsid w:val="00D913A5"/>
    <w:rsid w:val="00D922F1"/>
    <w:rsid w:val="00D92AE8"/>
    <w:rsid w:val="00D93970"/>
    <w:rsid w:val="00DA4EFF"/>
    <w:rsid w:val="00DB2FBB"/>
    <w:rsid w:val="00DB6C70"/>
    <w:rsid w:val="00DC05BA"/>
    <w:rsid w:val="00DC179C"/>
    <w:rsid w:val="00DC47B0"/>
    <w:rsid w:val="00DD02F4"/>
    <w:rsid w:val="00DD39F5"/>
    <w:rsid w:val="00DD4960"/>
    <w:rsid w:val="00DD6CE6"/>
    <w:rsid w:val="00DD7027"/>
    <w:rsid w:val="00DE31FD"/>
    <w:rsid w:val="00DE47F5"/>
    <w:rsid w:val="00DE7D8D"/>
    <w:rsid w:val="00DE7ECA"/>
    <w:rsid w:val="00DF0244"/>
    <w:rsid w:val="00DF201F"/>
    <w:rsid w:val="00DF7643"/>
    <w:rsid w:val="00DF7668"/>
    <w:rsid w:val="00E00D39"/>
    <w:rsid w:val="00E0336D"/>
    <w:rsid w:val="00E055A9"/>
    <w:rsid w:val="00E06A72"/>
    <w:rsid w:val="00E1091A"/>
    <w:rsid w:val="00E10929"/>
    <w:rsid w:val="00E12CDC"/>
    <w:rsid w:val="00E15896"/>
    <w:rsid w:val="00E17148"/>
    <w:rsid w:val="00E25D5E"/>
    <w:rsid w:val="00E26B23"/>
    <w:rsid w:val="00E30D43"/>
    <w:rsid w:val="00E34EA9"/>
    <w:rsid w:val="00E36950"/>
    <w:rsid w:val="00E43B28"/>
    <w:rsid w:val="00E506B9"/>
    <w:rsid w:val="00E570E2"/>
    <w:rsid w:val="00E60ECB"/>
    <w:rsid w:val="00E626D5"/>
    <w:rsid w:val="00E73ADD"/>
    <w:rsid w:val="00E813F0"/>
    <w:rsid w:val="00E820C5"/>
    <w:rsid w:val="00E83E8E"/>
    <w:rsid w:val="00E90E6A"/>
    <w:rsid w:val="00E91A37"/>
    <w:rsid w:val="00E92683"/>
    <w:rsid w:val="00E94AB8"/>
    <w:rsid w:val="00E94B94"/>
    <w:rsid w:val="00EA0539"/>
    <w:rsid w:val="00EA225E"/>
    <w:rsid w:val="00EA65B3"/>
    <w:rsid w:val="00EA6C09"/>
    <w:rsid w:val="00EC19BA"/>
    <w:rsid w:val="00EC1F5B"/>
    <w:rsid w:val="00EC39B6"/>
    <w:rsid w:val="00EC4A1F"/>
    <w:rsid w:val="00EC6713"/>
    <w:rsid w:val="00ED1079"/>
    <w:rsid w:val="00EE29BE"/>
    <w:rsid w:val="00EF5340"/>
    <w:rsid w:val="00EF7E60"/>
    <w:rsid w:val="00F042D2"/>
    <w:rsid w:val="00F10609"/>
    <w:rsid w:val="00F13445"/>
    <w:rsid w:val="00F1799B"/>
    <w:rsid w:val="00F30340"/>
    <w:rsid w:val="00F3314E"/>
    <w:rsid w:val="00F35B29"/>
    <w:rsid w:val="00F4531D"/>
    <w:rsid w:val="00F47605"/>
    <w:rsid w:val="00F47DD3"/>
    <w:rsid w:val="00F51B6A"/>
    <w:rsid w:val="00F55A29"/>
    <w:rsid w:val="00F55D3F"/>
    <w:rsid w:val="00F624FF"/>
    <w:rsid w:val="00F62D8A"/>
    <w:rsid w:val="00F632A1"/>
    <w:rsid w:val="00F7057C"/>
    <w:rsid w:val="00F7171A"/>
    <w:rsid w:val="00F71876"/>
    <w:rsid w:val="00F74CB7"/>
    <w:rsid w:val="00F75BC6"/>
    <w:rsid w:val="00F764D5"/>
    <w:rsid w:val="00F8387C"/>
    <w:rsid w:val="00F83FDF"/>
    <w:rsid w:val="00F84FE6"/>
    <w:rsid w:val="00F854BA"/>
    <w:rsid w:val="00F868E8"/>
    <w:rsid w:val="00F97389"/>
    <w:rsid w:val="00FA55A4"/>
    <w:rsid w:val="00FA791D"/>
    <w:rsid w:val="00FA7E59"/>
    <w:rsid w:val="00FB248E"/>
    <w:rsid w:val="00FB2EEA"/>
    <w:rsid w:val="00FB2FB0"/>
    <w:rsid w:val="00FB37A1"/>
    <w:rsid w:val="00FB4705"/>
    <w:rsid w:val="00FC0684"/>
    <w:rsid w:val="00FC0E72"/>
    <w:rsid w:val="00FC430B"/>
    <w:rsid w:val="00FC44C6"/>
    <w:rsid w:val="00FC50E0"/>
    <w:rsid w:val="00FC556C"/>
    <w:rsid w:val="00FC7F2A"/>
    <w:rsid w:val="00FD0931"/>
    <w:rsid w:val="00FD133E"/>
    <w:rsid w:val="00FD4444"/>
    <w:rsid w:val="00FD72B4"/>
    <w:rsid w:val="00FF64A4"/>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B01"/>
    <w:rPr>
      <w:rFonts w:ascii="Times New Roman" w:eastAsia="Times New Roman" w:hAnsi="Times New Roman"/>
      <w:sz w:val="24"/>
      <w:szCs w:val="24"/>
      <w:lang w:val="es-MX" w:eastAsia="es-MX"/>
    </w:rPr>
  </w:style>
  <w:style w:type="paragraph" w:styleId="Ttulo2">
    <w:name w:val="heading 2"/>
    <w:basedOn w:val="Normal"/>
    <w:next w:val="Normal"/>
    <w:link w:val="Ttulo2Car"/>
    <w:uiPriority w:val="9"/>
    <w:qFormat/>
    <w:rsid w:val="000D0C09"/>
    <w:pPr>
      <w:spacing w:before="240" w:after="40"/>
      <w:outlineLvl w:val="1"/>
    </w:pPr>
    <w:rPr>
      <w:rFonts w:ascii="Franklin Gothic Book" w:eastAsia="Batang" w:hAnsi="Franklin Gothic Book"/>
      <w:b/>
      <w:color w:val="9D3511"/>
      <w:spacing w:val="20"/>
    </w:rPr>
  </w:style>
  <w:style w:type="paragraph" w:styleId="Ttulo8">
    <w:name w:val="heading 8"/>
    <w:basedOn w:val="Normal"/>
    <w:next w:val="Normal"/>
    <w:link w:val="Ttulo8Car"/>
    <w:uiPriority w:val="9"/>
    <w:unhideWhenUsed/>
    <w:qFormat/>
    <w:rsid w:val="003A3E61"/>
    <w:pPr>
      <w:spacing w:before="240" w:after="60"/>
      <w:outlineLvl w:val="7"/>
    </w:pPr>
    <w:rPr>
      <w:rFonts w:ascii="Calibri" w:hAnsi="Calibri"/>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Sangra3detindependiente">
    <w:name w:val="WW-Sangría 3 de t. independiente"/>
    <w:basedOn w:val="Normal"/>
    <w:rsid w:val="00AC1B01"/>
    <w:pPr>
      <w:widowControl w:val="0"/>
      <w:suppressAutoHyphens/>
      <w:ind w:left="426" w:firstLine="1"/>
      <w:jc w:val="both"/>
    </w:pPr>
    <w:rPr>
      <w:rFonts w:eastAsia="MS Mincho"/>
      <w:lang w:val="es-ES_tradnl" w:eastAsia="es-PE"/>
    </w:rPr>
  </w:style>
  <w:style w:type="paragraph" w:styleId="NormalWeb">
    <w:name w:val="Normal (Web)"/>
    <w:basedOn w:val="Normal"/>
    <w:uiPriority w:val="99"/>
    <w:rsid w:val="00AC1B01"/>
    <w:pPr>
      <w:spacing w:before="100" w:beforeAutospacing="1" w:after="100" w:afterAutospacing="1"/>
    </w:pPr>
    <w:rPr>
      <w:color w:val="000000"/>
      <w:lang w:val="es-ES" w:eastAsia="es-ES"/>
    </w:rPr>
  </w:style>
  <w:style w:type="character" w:styleId="Refdenotaalpie">
    <w:name w:val="footnote reference"/>
    <w:aliases w:val="16 Point,Superscript 6 Point,FC,referencia nota al pie,CVR Ref. de nota al pie"/>
    <w:unhideWhenUsed/>
    <w:rsid w:val="00AC1B01"/>
    <w:rPr>
      <w:vertAlign w:val="superscript"/>
    </w:rPr>
  </w:style>
  <w:style w:type="paragraph" w:customStyle="1" w:styleId="WW-Textoindependiente2">
    <w:name w:val="WW-Texto independiente 2"/>
    <w:basedOn w:val="Normal"/>
    <w:uiPriority w:val="99"/>
    <w:rsid w:val="00882369"/>
    <w:pPr>
      <w:jc w:val="both"/>
    </w:pPr>
    <w:rPr>
      <w:rFonts w:ascii="Arial" w:hAnsi="Arial"/>
      <w:snapToGrid w:val="0"/>
      <w:lang w:val="es-ES"/>
    </w:rPr>
  </w:style>
  <w:style w:type="paragraph" w:styleId="Prrafodelista">
    <w:name w:val="List Paragraph"/>
    <w:aliases w:val="Titulo de Fígura,TITULO A,Titulo parrafo,Punto,TITULO,Imagen 01."/>
    <w:basedOn w:val="Normal"/>
    <w:link w:val="PrrafodelistaCar"/>
    <w:uiPriority w:val="34"/>
    <w:qFormat/>
    <w:rsid w:val="00882369"/>
    <w:pPr>
      <w:ind w:left="720"/>
      <w:contextualSpacing/>
    </w:pPr>
  </w:style>
  <w:style w:type="paragraph" w:styleId="Textoindependiente2">
    <w:name w:val="Body Text 2"/>
    <w:basedOn w:val="Normal"/>
    <w:link w:val="Textoindependiente2Car"/>
    <w:rsid w:val="00A61B04"/>
    <w:pPr>
      <w:widowControl w:val="0"/>
      <w:jc w:val="both"/>
    </w:pPr>
    <w:rPr>
      <w:rFonts w:ascii="Arial" w:hAnsi="Arial"/>
      <w:snapToGrid w:val="0"/>
      <w:szCs w:val="20"/>
    </w:rPr>
  </w:style>
  <w:style w:type="character" w:customStyle="1" w:styleId="Textoindependiente2Car">
    <w:name w:val="Texto independiente 2 Car"/>
    <w:link w:val="Textoindependiente2"/>
    <w:rsid w:val="00A61B04"/>
    <w:rPr>
      <w:rFonts w:ascii="Arial" w:eastAsia="Times New Roman" w:hAnsi="Arial" w:cs="Times New Roman"/>
      <w:snapToGrid w:val="0"/>
      <w:sz w:val="24"/>
      <w:szCs w:val="20"/>
      <w:lang w:eastAsia="es-MX"/>
    </w:rPr>
  </w:style>
  <w:style w:type="paragraph" w:customStyle="1" w:styleId="Default">
    <w:name w:val="Default"/>
    <w:rsid w:val="00DC05BA"/>
    <w:pPr>
      <w:autoSpaceDE w:val="0"/>
      <w:autoSpaceDN w:val="0"/>
      <w:adjustRightInd w:val="0"/>
    </w:pPr>
    <w:rPr>
      <w:rFonts w:ascii="Times New Roman" w:hAnsi="Times New Roman"/>
      <w:color w:val="000000"/>
      <w:sz w:val="24"/>
      <w:szCs w:val="24"/>
    </w:rPr>
  </w:style>
  <w:style w:type="table" w:styleId="Tablaconcuadrcula">
    <w:name w:val="Table Grid"/>
    <w:basedOn w:val="Tablanormal"/>
    <w:uiPriority w:val="59"/>
    <w:rsid w:val="00394D7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notapie">
    <w:name w:val="footnote text"/>
    <w:aliases w:val=" Car2, Car2 Car Car Car Car Car, Car1 Car, Car2 Car Car,Car,Car2 Car Car Car Car Car,Car2 Car,Car2,Car1 Car Car Car Car, Car1 Car Car Car Car Car Car,Car1 Car,Car1,Car1 Car Car Car Car Car Car, Car1 Car Car Car, Car3, Car2 Car, Car1, Car"/>
    <w:basedOn w:val="Normal"/>
    <w:link w:val="TextonotapieCar"/>
    <w:unhideWhenUsed/>
    <w:rsid w:val="00394D7C"/>
    <w:rPr>
      <w:sz w:val="20"/>
      <w:szCs w:val="20"/>
    </w:rPr>
  </w:style>
  <w:style w:type="character" w:customStyle="1" w:styleId="TextonotapieCar">
    <w:name w:val="Texto nota pie Car"/>
    <w:aliases w:val=" Car2 Car1, Car2 Car Car Car Car Car Car, Car1 Car Car, Car2 Car Car Car,Car Car,Car2 Car Car Car Car Car Car,Car2 Car Car,Car2 Car1,Car1 Car Car Car Car Car, Car1 Car Car Car Car Car Car Car,Car1 Car Car,Car1 Car1, Car3 Car, Car Car"/>
    <w:link w:val="Textonotapie"/>
    <w:rsid w:val="00394D7C"/>
    <w:rPr>
      <w:rFonts w:ascii="Times New Roman" w:eastAsia="Times New Roman" w:hAnsi="Times New Roman" w:cs="Times New Roman"/>
      <w:sz w:val="20"/>
      <w:szCs w:val="20"/>
      <w:lang w:val="es-MX" w:eastAsia="es-MX"/>
    </w:rPr>
  </w:style>
  <w:style w:type="paragraph" w:customStyle="1" w:styleId="CarCar1CarCarCarCar">
    <w:name w:val="Car Car1 Car Car Car Car"/>
    <w:basedOn w:val="Normal"/>
    <w:rsid w:val="00C01CDF"/>
    <w:pPr>
      <w:spacing w:after="160" w:line="240" w:lineRule="exact"/>
    </w:pPr>
    <w:rPr>
      <w:rFonts w:ascii="Verdana" w:hAnsi="Verdana"/>
      <w:sz w:val="20"/>
      <w:szCs w:val="20"/>
      <w:lang w:val="en-US" w:eastAsia="en-US"/>
    </w:rPr>
  </w:style>
  <w:style w:type="paragraph" w:customStyle="1" w:styleId="Normaltimes">
    <w:name w:val="Normal+times"/>
    <w:basedOn w:val="Normal"/>
    <w:link w:val="NormaltimesCar"/>
    <w:rsid w:val="00A16BC2"/>
    <w:rPr>
      <w:szCs w:val="20"/>
    </w:rPr>
  </w:style>
  <w:style w:type="character" w:customStyle="1" w:styleId="NormaltimesCar">
    <w:name w:val="Normal+times Car"/>
    <w:link w:val="Normaltimes"/>
    <w:rsid w:val="00A16BC2"/>
    <w:rPr>
      <w:rFonts w:ascii="Times New Roman" w:eastAsia="Times New Roman" w:hAnsi="Times New Roman"/>
      <w:sz w:val="24"/>
      <w:lang w:val="es-MX" w:eastAsia="es-MX"/>
    </w:rPr>
  </w:style>
  <w:style w:type="paragraph" w:styleId="Textocomentario">
    <w:name w:val="annotation text"/>
    <w:basedOn w:val="Normal"/>
    <w:link w:val="TextocomentarioCar"/>
    <w:rsid w:val="00111453"/>
    <w:rPr>
      <w:sz w:val="20"/>
      <w:szCs w:val="20"/>
    </w:rPr>
  </w:style>
  <w:style w:type="character" w:customStyle="1" w:styleId="TextocomentarioCar">
    <w:name w:val="Texto comentario Car"/>
    <w:link w:val="Textocomentario"/>
    <w:rsid w:val="00111453"/>
    <w:rPr>
      <w:rFonts w:ascii="Times New Roman" w:eastAsia="Times New Roman" w:hAnsi="Times New Roman"/>
    </w:rPr>
  </w:style>
  <w:style w:type="paragraph" w:customStyle="1" w:styleId="WW-Textosinformato">
    <w:name w:val="WW-Texto sin formato"/>
    <w:basedOn w:val="Normal"/>
    <w:rsid w:val="000D7BDE"/>
    <w:pPr>
      <w:suppressAutoHyphens/>
    </w:pPr>
    <w:rPr>
      <w:rFonts w:ascii="Courier New" w:eastAsia="MS Mincho" w:hAnsi="Courier New"/>
      <w:sz w:val="20"/>
      <w:szCs w:val="20"/>
      <w:lang w:val="es-PE" w:eastAsia="es-ES"/>
    </w:rPr>
  </w:style>
  <w:style w:type="paragraph" w:styleId="Ttulo">
    <w:name w:val="Title"/>
    <w:basedOn w:val="Normal"/>
    <w:link w:val="TtuloCar"/>
    <w:uiPriority w:val="10"/>
    <w:qFormat/>
    <w:rsid w:val="003C12D5"/>
    <w:pPr>
      <w:widowControl w:val="0"/>
      <w:jc w:val="center"/>
    </w:pPr>
    <w:rPr>
      <w:rFonts w:ascii="Arial" w:hAnsi="Arial"/>
      <w:b/>
      <w:snapToGrid w:val="0"/>
      <w:szCs w:val="20"/>
      <w:lang w:eastAsia="es-PE"/>
    </w:rPr>
  </w:style>
  <w:style w:type="character" w:customStyle="1" w:styleId="TtuloCar">
    <w:name w:val="Título Car"/>
    <w:link w:val="Ttulo"/>
    <w:uiPriority w:val="10"/>
    <w:rsid w:val="003C12D5"/>
    <w:rPr>
      <w:rFonts w:ascii="Arial" w:eastAsia="Times New Roman" w:hAnsi="Arial"/>
      <w:b/>
      <w:snapToGrid w:val="0"/>
      <w:sz w:val="24"/>
      <w:lang w:eastAsia="es-PE"/>
    </w:rPr>
  </w:style>
  <w:style w:type="paragraph" w:styleId="Textoindependiente">
    <w:name w:val="Body Text"/>
    <w:basedOn w:val="Normal"/>
    <w:link w:val="TextoindependienteCar"/>
    <w:uiPriority w:val="99"/>
    <w:unhideWhenUsed/>
    <w:rsid w:val="00BC54F2"/>
    <w:pPr>
      <w:spacing w:after="120"/>
    </w:pPr>
  </w:style>
  <w:style w:type="character" w:customStyle="1" w:styleId="TextoindependienteCar">
    <w:name w:val="Texto independiente Car"/>
    <w:link w:val="Textoindependiente"/>
    <w:uiPriority w:val="99"/>
    <w:rsid w:val="00BC54F2"/>
    <w:rPr>
      <w:rFonts w:ascii="Times New Roman" w:eastAsia="Times New Roman" w:hAnsi="Times New Roman"/>
      <w:sz w:val="24"/>
      <w:szCs w:val="24"/>
      <w:lang w:val="es-MX" w:eastAsia="es-MX"/>
    </w:rPr>
  </w:style>
  <w:style w:type="paragraph" w:styleId="Sangradetextonormal">
    <w:name w:val="Body Text Indent"/>
    <w:basedOn w:val="Normal"/>
    <w:link w:val="SangradetextonormalCar"/>
    <w:uiPriority w:val="99"/>
    <w:semiHidden/>
    <w:unhideWhenUsed/>
    <w:rsid w:val="006D74CB"/>
    <w:pPr>
      <w:spacing w:after="120"/>
      <w:ind w:left="283"/>
    </w:pPr>
  </w:style>
  <w:style w:type="character" w:customStyle="1" w:styleId="SangradetextonormalCar">
    <w:name w:val="Sangría de texto normal Car"/>
    <w:link w:val="Sangradetextonormal"/>
    <w:uiPriority w:val="99"/>
    <w:semiHidden/>
    <w:rsid w:val="006D74CB"/>
    <w:rPr>
      <w:rFonts w:ascii="Times New Roman" w:eastAsia="Times New Roman" w:hAnsi="Times New Roman"/>
      <w:sz w:val="24"/>
      <w:szCs w:val="24"/>
      <w:lang w:val="es-MX" w:eastAsia="es-MX"/>
    </w:rPr>
  </w:style>
  <w:style w:type="character" w:customStyle="1" w:styleId="PrrafodelistaCar">
    <w:name w:val="Párrafo de lista Car"/>
    <w:aliases w:val="Titulo de Fígura Car,TITULO A Car,Titulo parrafo Car,Punto Car,TITULO Car,Imagen 01. Car"/>
    <w:link w:val="Prrafodelista"/>
    <w:uiPriority w:val="34"/>
    <w:rsid w:val="002744BC"/>
    <w:rPr>
      <w:rFonts w:ascii="Times New Roman" w:eastAsia="Times New Roman" w:hAnsi="Times New Roman"/>
      <w:sz w:val="24"/>
      <w:szCs w:val="24"/>
      <w:lang w:val="es-MX" w:eastAsia="es-MX"/>
    </w:rPr>
  </w:style>
  <w:style w:type="character" w:customStyle="1" w:styleId="Ttulo2Car">
    <w:name w:val="Título 2 Car"/>
    <w:link w:val="Ttulo2"/>
    <w:uiPriority w:val="9"/>
    <w:rsid w:val="000D0C09"/>
    <w:rPr>
      <w:rFonts w:ascii="Franklin Gothic Book" w:eastAsia="Batang" w:hAnsi="Franklin Gothic Book"/>
      <w:b/>
      <w:color w:val="9D3511"/>
      <w:spacing w:val="20"/>
      <w:sz w:val="24"/>
      <w:szCs w:val="24"/>
    </w:rPr>
  </w:style>
  <w:style w:type="paragraph" w:styleId="Encabezado">
    <w:name w:val="header"/>
    <w:aliases w:val="h"/>
    <w:basedOn w:val="Normal"/>
    <w:link w:val="EncabezadoCar"/>
    <w:uiPriority w:val="99"/>
    <w:unhideWhenUsed/>
    <w:rsid w:val="000D0C09"/>
    <w:pPr>
      <w:tabs>
        <w:tab w:val="center" w:pos="4320"/>
        <w:tab w:val="right" w:pos="8640"/>
      </w:tabs>
      <w:spacing w:after="160" w:line="276" w:lineRule="auto"/>
    </w:pPr>
    <w:rPr>
      <w:rFonts w:ascii="Perpetua" w:eastAsia="Batang" w:hAnsi="Perpetua"/>
      <w:color w:val="000000"/>
      <w:sz w:val="22"/>
      <w:szCs w:val="20"/>
    </w:rPr>
  </w:style>
  <w:style w:type="character" w:customStyle="1" w:styleId="EncabezadoCar">
    <w:name w:val="Encabezado Car"/>
    <w:aliases w:val="h Car"/>
    <w:link w:val="Encabezado"/>
    <w:uiPriority w:val="99"/>
    <w:rsid w:val="000D0C09"/>
    <w:rPr>
      <w:rFonts w:ascii="Perpetua" w:eastAsia="Batang" w:hAnsi="Perpetua"/>
      <w:color w:val="000000"/>
      <w:sz w:val="22"/>
    </w:rPr>
  </w:style>
  <w:style w:type="paragraph" w:customStyle="1" w:styleId="Predeterminado">
    <w:name w:val="Predeterminado"/>
    <w:rsid w:val="000D0C09"/>
    <w:rPr>
      <w:rFonts w:ascii="Times New Roman" w:eastAsia="Times New Roman" w:hAnsi="Times New Roman"/>
      <w:sz w:val="24"/>
      <w:szCs w:val="24"/>
      <w:lang w:val="es-ES" w:eastAsia="es-ES"/>
    </w:rPr>
  </w:style>
  <w:style w:type="paragraph" w:styleId="Piedepgina">
    <w:name w:val="footer"/>
    <w:basedOn w:val="Normal"/>
    <w:link w:val="PiedepginaCar"/>
    <w:uiPriority w:val="99"/>
    <w:unhideWhenUsed/>
    <w:rsid w:val="00EC4A1F"/>
    <w:pPr>
      <w:tabs>
        <w:tab w:val="center" w:pos="4419"/>
        <w:tab w:val="right" w:pos="8838"/>
      </w:tabs>
    </w:pPr>
  </w:style>
  <w:style w:type="character" w:customStyle="1" w:styleId="PiedepginaCar">
    <w:name w:val="Pie de página Car"/>
    <w:link w:val="Piedepgina"/>
    <w:uiPriority w:val="99"/>
    <w:rsid w:val="00EC4A1F"/>
    <w:rPr>
      <w:rFonts w:ascii="Times New Roman" w:eastAsia="Times New Roman" w:hAnsi="Times New Roman"/>
      <w:sz w:val="24"/>
      <w:szCs w:val="24"/>
      <w:lang w:val="es-MX" w:eastAsia="es-MX"/>
    </w:rPr>
  </w:style>
  <w:style w:type="paragraph" w:styleId="Textoindependienteprimerasangra2">
    <w:name w:val="Body Text First Indent 2"/>
    <w:basedOn w:val="Sangradetextonormal"/>
    <w:link w:val="Textoindependienteprimerasangra2Car"/>
    <w:uiPriority w:val="99"/>
    <w:unhideWhenUsed/>
    <w:rsid w:val="00D81322"/>
    <w:pPr>
      <w:ind w:firstLine="210"/>
    </w:pPr>
    <w:rPr>
      <w:rFonts w:eastAsia="MS Mincho"/>
      <w:lang w:val="es-ES"/>
    </w:rPr>
  </w:style>
  <w:style w:type="character" w:customStyle="1" w:styleId="Textoindependienteprimerasangra2Car">
    <w:name w:val="Texto independiente primera sangría 2 Car"/>
    <w:link w:val="Textoindependienteprimerasangra2"/>
    <w:uiPriority w:val="99"/>
    <w:rsid w:val="00D81322"/>
    <w:rPr>
      <w:rFonts w:ascii="Times New Roman" w:eastAsia="MS Mincho" w:hAnsi="Times New Roman"/>
      <w:sz w:val="24"/>
      <w:szCs w:val="24"/>
      <w:lang w:val="es-ES" w:eastAsia="es-MX"/>
    </w:rPr>
  </w:style>
  <w:style w:type="character" w:styleId="Hipervnculo">
    <w:name w:val="Hyperlink"/>
    <w:basedOn w:val="Fuentedeprrafopredeter"/>
    <w:uiPriority w:val="99"/>
    <w:unhideWhenUsed/>
    <w:rsid w:val="00BE5572"/>
    <w:rPr>
      <w:color w:val="CC9900"/>
      <w:u w:val="single"/>
    </w:rPr>
  </w:style>
  <w:style w:type="paragraph" w:customStyle="1" w:styleId="Pa7">
    <w:name w:val="Pa7"/>
    <w:basedOn w:val="Normal"/>
    <w:next w:val="Normal"/>
    <w:rsid w:val="002A27E4"/>
    <w:pPr>
      <w:autoSpaceDE w:val="0"/>
      <w:autoSpaceDN w:val="0"/>
      <w:adjustRightInd w:val="0"/>
      <w:spacing w:line="181" w:lineRule="atLeast"/>
    </w:pPr>
    <w:rPr>
      <w:rFonts w:ascii="Humnst777 BT" w:eastAsia="Calibri" w:hAnsi="Humnst777 BT"/>
      <w:lang w:val="es-ES" w:eastAsia="es-ES"/>
    </w:rPr>
  </w:style>
  <w:style w:type="character" w:customStyle="1" w:styleId="Ttulo8Car">
    <w:name w:val="Título 8 Car"/>
    <w:basedOn w:val="Fuentedeprrafopredeter"/>
    <w:link w:val="Ttulo8"/>
    <w:uiPriority w:val="9"/>
    <w:rsid w:val="003A3E61"/>
    <w:rPr>
      <w:rFonts w:ascii="Calibri" w:eastAsia="Times New Roman" w:hAnsi="Calibri" w:cs="Times New Roman"/>
      <w:i/>
      <w:iCs/>
      <w:sz w:val="24"/>
      <w:szCs w:val="24"/>
      <w:lang w:val="es-MX" w:eastAsia="es-MX"/>
    </w:rPr>
  </w:style>
  <w:style w:type="paragraph" w:styleId="Sinespaciado">
    <w:name w:val="No Spacing"/>
    <w:link w:val="SinespaciadoCar"/>
    <w:uiPriority w:val="1"/>
    <w:qFormat/>
    <w:rsid w:val="002F1E00"/>
    <w:rPr>
      <w:rFonts w:ascii="Times New Roman" w:eastAsia="Times New Roman" w:hAnsi="Times New Roman"/>
      <w:sz w:val="24"/>
      <w:szCs w:val="24"/>
      <w:lang w:val="es-MX" w:eastAsia="es-MX"/>
    </w:rPr>
  </w:style>
  <w:style w:type="paragraph" w:styleId="Textodeglobo">
    <w:name w:val="Balloon Text"/>
    <w:basedOn w:val="Normal"/>
    <w:link w:val="TextodegloboCar"/>
    <w:uiPriority w:val="99"/>
    <w:semiHidden/>
    <w:unhideWhenUsed/>
    <w:rsid w:val="006506C2"/>
    <w:rPr>
      <w:rFonts w:ascii="Tahoma" w:hAnsi="Tahoma" w:cs="Tahoma"/>
      <w:sz w:val="16"/>
      <w:szCs w:val="16"/>
    </w:rPr>
  </w:style>
  <w:style w:type="character" w:customStyle="1" w:styleId="TextodegloboCar">
    <w:name w:val="Texto de globo Car"/>
    <w:basedOn w:val="Fuentedeprrafopredeter"/>
    <w:link w:val="Textodeglobo"/>
    <w:uiPriority w:val="99"/>
    <w:semiHidden/>
    <w:rsid w:val="006506C2"/>
    <w:rPr>
      <w:rFonts w:ascii="Tahoma" w:eastAsia="Times New Roman" w:hAnsi="Tahoma" w:cs="Tahoma"/>
      <w:sz w:val="16"/>
      <w:szCs w:val="16"/>
      <w:lang w:val="es-MX" w:eastAsia="es-MX"/>
    </w:rPr>
  </w:style>
  <w:style w:type="character" w:customStyle="1" w:styleId="SinespaciadoCar">
    <w:name w:val="Sin espaciado Car"/>
    <w:link w:val="Sinespaciado"/>
    <w:uiPriority w:val="1"/>
    <w:rsid w:val="003F7D47"/>
    <w:rPr>
      <w:rFonts w:ascii="Times New Roman" w:eastAsia="Times New Roman" w:hAnsi="Times New Roman"/>
      <w:sz w:val="24"/>
      <w:szCs w:val="24"/>
      <w:lang w:val="es-MX" w:eastAsia="es-MX"/>
    </w:rPr>
  </w:style>
</w:styles>
</file>

<file path=word/webSettings.xml><?xml version="1.0" encoding="utf-8"?>
<w:webSettings xmlns:r="http://schemas.openxmlformats.org/officeDocument/2006/relationships" xmlns:w="http://schemas.openxmlformats.org/wordprocessingml/2006/main">
  <w:divs>
    <w:div w:id="13576480">
      <w:bodyDiv w:val="1"/>
      <w:marLeft w:val="0"/>
      <w:marRight w:val="0"/>
      <w:marTop w:val="0"/>
      <w:marBottom w:val="0"/>
      <w:divBdr>
        <w:top w:val="none" w:sz="0" w:space="0" w:color="auto"/>
        <w:left w:val="none" w:sz="0" w:space="0" w:color="auto"/>
        <w:bottom w:val="none" w:sz="0" w:space="0" w:color="auto"/>
        <w:right w:val="none" w:sz="0" w:space="0" w:color="auto"/>
      </w:divBdr>
    </w:div>
    <w:div w:id="72823122">
      <w:bodyDiv w:val="1"/>
      <w:marLeft w:val="0"/>
      <w:marRight w:val="0"/>
      <w:marTop w:val="0"/>
      <w:marBottom w:val="0"/>
      <w:divBdr>
        <w:top w:val="none" w:sz="0" w:space="0" w:color="auto"/>
        <w:left w:val="none" w:sz="0" w:space="0" w:color="auto"/>
        <w:bottom w:val="none" w:sz="0" w:space="0" w:color="auto"/>
        <w:right w:val="none" w:sz="0" w:space="0" w:color="auto"/>
      </w:divBdr>
    </w:div>
    <w:div w:id="403769903">
      <w:bodyDiv w:val="1"/>
      <w:marLeft w:val="0"/>
      <w:marRight w:val="0"/>
      <w:marTop w:val="0"/>
      <w:marBottom w:val="0"/>
      <w:divBdr>
        <w:top w:val="none" w:sz="0" w:space="0" w:color="auto"/>
        <w:left w:val="none" w:sz="0" w:space="0" w:color="auto"/>
        <w:bottom w:val="none" w:sz="0" w:space="0" w:color="auto"/>
        <w:right w:val="none" w:sz="0" w:space="0" w:color="auto"/>
      </w:divBdr>
    </w:div>
    <w:div w:id="585576229">
      <w:bodyDiv w:val="1"/>
      <w:marLeft w:val="0"/>
      <w:marRight w:val="0"/>
      <w:marTop w:val="0"/>
      <w:marBottom w:val="0"/>
      <w:divBdr>
        <w:top w:val="none" w:sz="0" w:space="0" w:color="auto"/>
        <w:left w:val="none" w:sz="0" w:space="0" w:color="auto"/>
        <w:bottom w:val="none" w:sz="0" w:space="0" w:color="auto"/>
        <w:right w:val="none" w:sz="0" w:space="0" w:color="auto"/>
      </w:divBdr>
    </w:div>
    <w:div w:id="710034834">
      <w:bodyDiv w:val="1"/>
      <w:marLeft w:val="0"/>
      <w:marRight w:val="0"/>
      <w:marTop w:val="0"/>
      <w:marBottom w:val="0"/>
      <w:divBdr>
        <w:top w:val="none" w:sz="0" w:space="0" w:color="auto"/>
        <w:left w:val="none" w:sz="0" w:space="0" w:color="auto"/>
        <w:bottom w:val="none" w:sz="0" w:space="0" w:color="auto"/>
        <w:right w:val="none" w:sz="0" w:space="0" w:color="auto"/>
      </w:divBdr>
    </w:div>
    <w:div w:id="1000500128">
      <w:bodyDiv w:val="1"/>
      <w:marLeft w:val="0"/>
      <w:marRight w:val="0"/>
      <w:marTop w:val="0"/>
      <w:marBottom w:val="0"/>
      <w:divBdr>
        <w:top w:val="none" w:sz="0" w:space="0" w:color="auto"/>
        <w:left w:val="none" w:sz="0" w:space="0" w:color="auto"/>
        <w:bottom w:val="none" w:sz="0" w:space="0" w:color="auto"/>
        <w:right w:val="none" w:sz="0" w:space="0" w:color="auto"/>
      </w:divBdr>
    </w:div>
    <w:div w:id="1046684469">
      <w:bodyDiv w:val="1"/>
      <w:marLeft w:val="0"/>
      <w:marRight w:val="0"/>
      <w:marTop w:val="0"/>
      <w:marBottom w:val="0"/>
      <w:divBdr>
        <w:top w:val="none" w:sz="0" w:space="0" w:color="auto"/>
        <w:left w:val="none" w:sz="0" w:space="0" w:color="auto"/>
        <w:bottom w:val="none" w:sz="0" w:space="0" w:color="auto"/>
        <w:right w:val="none" w:sz="0" w:space="0" w:color="auto"/>
      </w:divBdr>
    </w:div>
    <w:div w:id="1251160177">
      <w:bodyDiv w:val="1"/>
      <w:marLeft w:val="0"/>
      <w:marRight w:val="0"/>
      <w:marTop w:val="0"/>
      <w:marBottom w:val="0"/>
      <w:divBdr>
        <w:top w:val="none" w:sz="0" w:space="0" w:color="auto"/>
        <w:left w:val="none" w:sz="0" w:space="0" w:color="auto"/>
        <w:bottom w:val="none" w:sz="0" w:space="0" w:color="auto"/>
        <w:right w:val="none" w:sz="0" w:space="0" w:color="auto"/>
      </w:divBdr>
    </w:div>
    <w:div w:id="1312251410">
      <w:bodyDiv w:val="1"/>
      <w:marLeft w:val="0"/>
      <w:marRight w:val="0"/>
      <w:marTop w:val="0"/>
      <w:marBottom w:val="0"/>
      <w:divBdr>
        <w:top w:val="none" w:sz="0" w:space="0" w:color="auto"/>
        <w:left w:val="none" w:sz="0" w:space="0" w:color="auto"/>
        <w:bottom w:val="none" w:sz="0" w:space="0" w:color="auto"/>
        <w:right w:val="none" w:sz="0" w:space="0" w:color="auto"/>
      </w:divBdr>
    </w:div>
    <w:div w:id="1543978402">
      <w:bodyDiv w:val="1"/>
      <w:marLeft w:val="0"/>
      <w:marRight w:val="0"/>
      <w:marTop w:val="0"/>
      <w:marBottom w:val="0"/>
      <w:divBdr>
        <w:top w:val="none" w:sz="0" w:space="0" w:color="auto"/>
        <w:left w:val="none" w:sz="0" w:space="0" w:color="auto"/>
        <w:bottom w:val="none" w:sz="0" w:space="0" w:color="auto"/>
        <w:right w:val="none" w:sz="0" w:space="0" w:color="auto"/>
      </w:divBdr>
    </w:div>
    <w:div w:id="1716659765">
      <w:bodyDiv w:val="1"/>
      <w:marLeft w:val="0"/>
      <w:marRight w:val="0"/>
      <w:marTop w:val="0"/>
      <w:marBottom w:val="0"/>
      <w:divBdr>
        <w:top w:val="none" w:sz="0" w:space="0" w:color="auto"/>
        <w:left w:val="none" w:sz="0" w:space="0" w:color="auto"/>
        <w:bottom w:val="none" w:sz="0" w:space="0" w:color="auto"/>
        <w:right w:val="none" w:sz="0" w:space="0" w:color="auto"/>
      </w:divBdr>
    </w:div>
    <w:div w:id="178272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4C511-7B62-466B-9FAF-FF02FDC7C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9</Pages>
  <Words>3482</Words>
  <Characters>19156</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Mvalenzuela</dc:creator>
  <cp:lastModifiedBy>fgaray</cp:lastModifiedBy>
  <cp:revision>15</cp:revision>
  <cp:lastPrinted>2015-10-27T22:59:00Z</cp:lastPrinted>
  <dcterms:created xsi:type="dcterms:W3CDTF">2015-10-26T20:29:00Z</dcterms:created>
  <dcterms:modified xsi:type="dcterms:W3CDTF">2015-10-28T00:54:00Z</dcterms:modified>
</cp:coreProperties>
</file>