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629" w:rsidRPr="00825EF7" w:rsidRDefault="00E63123" w:rsidP="00D553B2">
      <w:pPr>
        <w:widowControl w:val="0"/>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PRONUNCIAMIENTO Nº </w:t>
      </w:r>
      <w:r w:rsidR="00CC4745">
        <w:rPr>
          <w:rFonts w:ascii="Times New Roman" w:hAnsi="Times New Roman" w:cs="Times New Roman"/>
          <w:b/>
          <w:sz w:val="24"/>
          <w:szCs w:val="24"/>
          <w:u w:val="single"/>
        </w:rPr>
        <w:t>1354</w:t>
      </w:r>
      <w:r w:rsidR="00132629" w:rsidRPr="00825EF7">
        <w:rPr>
          <w:rFonts w:ascii="Times New Roman" w:hAnsi="Times New Roman" w:cs="Times New Roman"/>
          <w:b/>
          <w:sz w:val="24"/>
          <w:szCs w:val="24"/>
          <w:u w:val="single"/>
        </w:rPr>
        <w:t>-2015/DSU</w:t>
      </w:r>
    </w:p>
    <w:p w:rsidR="00132629" w:rsidRPr="00825EF7" w:rsidRDefault="00132629" w:rsidP="00D553B2">
      <w:pPr>
        <w:widowControl w:val="0"/>
        <w:tabs>
          <w:tab w:val="left" w:pos="1980"/>
        </w:tabs>
        <w:spacing w:after="0" w:line="240" w:lineRule="auto"/>
        <w:jc w:val="both"/>
        <w:rPr>
          <w:rFonts w:ascii="Times New Roman" w:hAnsi="Times New Roman" w:cs="Times New Roman"/>
          <w:sz w:val="24"/>
          <w:szCs w:val="24"/>
        </w:rPr>
      </w:pPr>
    </w:p>
    <w:p w:rsidR="00132629" w:rsidRPr="00825EF7" w:rsidRDefault="00132629" w:rsidP="00D553B2">
      <w:pPr>
        <w:widowControl w:val="0"/>
        <w:tabs>
          <w:tab w:val="left" w:pos="1980"/>
        </w:tabs>
        <w:spacing w:after="0" w:line="240" w:lineRule="auto"/>
        <w:ind w:left="2552" w:hanging="2552"/>
        <w:jc w:val="both"/>
        <w:rPr>
          <w:rFonts w:ascii="Times New Roman" w:hAnsi="Times New Roman" w:cs="Times New Roman"/>
          <w:sz w:val="24"/>
          <w:szCs w:val="24"/>
        </w:rPr>
      </w:pPr>
      <w:r w:rsidRPr="00825EF7">
        <w:rPr>
          <w:rFonts w:ascii="Times New Roman" w:hAnsi="Times New Roman" w:cs="Times New Roman"/>
          <w:sz w:val="24"/>
          <w:szCs w:val="24"/>
        </w:rPr>
        <w:t>Entidad:</w:t>
      </w:r>
      <w:r w:rsidRPr="00825EF7">
        <w:rPr>
          <w:rFonts w:ascii="Times New Roman" w:hAnsi="Times New Roman" w:cs="Times New Roman"/>
          <w:sz w:val="24"/>
          <w:szCs w:val="24"/>
        </w:rPr>
        <w:tab/>
      </w:r>
      <w:r w:rsidRPr="00825EF7">
        <w:rPr>
          <w:rFonts w:ascii="Times New Roman" w:hAnsi="Times New Roman" w:cs="Times New Roman"/>
          <w:sz w:val="24"/>
          <w:szCs w:val="24"/>
        </w:rPr>
        <w:tab/>
      </w:r>
      <w:r w:rsidR="00303FD2">
        <w:rPr>
          <w:rFonts w:ascii="Times New Roman" w:hAnsi="Times New Roman" w:cs="Times New Roman"/>
          <w:sz w:val="24"/>
          <w:szCs w:val="24"/>
        </w:rPr>
        <w:t>Superintendencia Nacional de Aduanas y de Administración Tributaria</w:t>
      </w:r>
      <w:r w:rsidRPr="00825EF7">
        <w:rPr>
          <w:rFonts w:ascii="Times New Roman" w:hAnsi="Times New Roman" w:cs="Times New Roman"/>
          <w:sz w:val="24"/>
          <w:szCs w:val="24"/>
        </w:rPr>
        <w:t xml:space="preserve"> </w:t>
      </w:r>
    </w:p>
    <w:p w:rsidR="00132629" w:rsidRPr="00825EF7" w:rsidRDefault="00132629" w:rsidP="00D553B2">
      <w:pPr>
        <w:widowControl w:val="0"/>
        <w:tabs>
          <w:tab w:val="left" w:pos="1980"/>
        </w:tabs>
        <w:spacing w:after="0" w:line="240" w:lineRule="auto"/>
        <w:ind w:left="2880" w:hanging="2880"/>
        <w:jc w:val="both"/>
        <w:rPr>
          <w:rFonts w:ascii="Times New Roman" w:hAnsi="Times New Roman" w:cs="Times New Roman"/>
          <w:sz w:val="24"/>
          <w:szCs w:val="24"/>
        </w:rPr>
      </w:pPr>
    </w:p>
    <w:p w:rsidR="00132629" w:rsidRPr="00825EF7" w:rsidRDefault="00132629" w:rsidP="00303FD2">
      <w:pPr>
        <w:spacing w:after="0" w:line="240" w:lineRule="auto"/>
        <w:ind w:left="2552" w:hanging="2552"/>
        <w:jc w:val="both"/>
        <w:rPr>
          <w:rFonts w:ascii="Times New Roman" w:hAnsi="Times New Roman" w:cs="Times New Roman"/>
          <w:sz w:val="24"/>
          <w:szCs w:val="24"/>
        </w:rPr>
      </w:pPr>
      <w:r w:rsidRPr="00825EF7">
        <w:rPr>
          <w:rFonts w:ascii="Times New Roman" w:hAnsi="Times New Roman" w:cs="Times New Roman"/>
          <w:sz w:val="24"/>
          <w:szCs w:val="24"/>
        </w:rPr>
        <w:t>Referencia:</w:t>
      </w:r>
      <w:r w:rsidRPr="00825EF7">
        <w:rPr>
          <w:rFonts w:ascii="Times New Roman" w:hAnsi="Times New Roman" w:cs="Times New Roman"/>
          <w:sz w:val="24"/>
          <w:szCs w:val="24"/>
        </w:rPr>
        <w:tab/>
        <w:t>Adjud</w:t>
      </w:r>
      <w:r w:rsidR="005C56DA" w:rsidRPr="00825EF7">
        <w:rPr>
          <w:rFonts w:ascii="Times New Roman" w:hAnsi="Times New Roman" w:cs="Times New Roman"/>
          <w:sz w:val="24"/>
          <w:szCs w:val="24"/>
        </w:rPr>
        <w:t xml:space="preserve">icación Directa </w:t>
      </w:r>
      <w:r w:rsidR="00303FD2">
        <w:rPr>
          <w:rFonts w:ascii="Times New Roman" w:hAnsi="Times New Roman" w:cs="Times New Roman"/>
          <w:sz w:val="24"/>
          <w:szCs w:val="24"/>
        </w:rPr>
        <w:t>Pública N° 049</w:t>
      </w:r>
      <w:r w:rsidR="005C56DA" w:rsidRPr="00825EF7">
        <w:rPr>
          <w:rFonts w:ascii="Times New Roman" w:hAnsi="Times New Roman" w:cs="Times New Roman"/>
          <w:sz w:val="24"/>
          <w:szCs w:val="24"/>
        </w:rPr>
        <w:t>-2015-</w:t>
      </w:r>
      <w:r w:rsidR="00303FD2">
        <w:rPr>
          <w:rFonts w:ascii="Times New Roman" w:hAnsi="Times New Roman" w:cs="Times New Roman"/>
          <w:sz w:val="24"/>
          <w:szCs w:val="24"/>
        </w:rPr>
        <w:t>SUNAT/8B1200</w:t>
      </w:r>
      <w:r w:rsidR="005C56DA" w:rsidRPr="00825EF7">
        <w:rPr>
          <w:rFonts w:ascii="Times New Roman" w:hAnsi="Times New Roman" w:cs="Times New Roman"/>
          <w:sz w:val="24"/>
          <w:szCs w:val="24"/>
        </w:rPr>
        <w:t xml:space="preserve">, </w:t>
      </w:r>
      <w:r w:rsidRPr="00825EF7">
        <w:rPr>
          <w:rFonts w:ascii="Times New Roman" w:hAnsi="Times New Roman" w:cs="Times New Roman"/>
          <w:sz w:val="24"/>
          <w:szCs w:val="24"/>
        </w:rPr>
        <w:t xml:space="preserve">convocada para la </w:t>
      </w:r>
      <w:r w:rsidR="00303FD2" w:rsidRPr="00303FD2">
        <w:rPr>
          <w:rFonts w:ascii="Times New Roman" w:hAnsi="Times New Roman" w:cs="Times New Roman"/>
          <w:sz w:val="24"/>
          <w:szCs w:val="24"/>
        </w:rPr>
        <w:t>contratación de bienes</w:t>
      </w:r>
      <w:r w:rsidR="00303FD2">
        <w:rPr>
          <w:rFonts w:ascii="Times New Roman" w:hAnsi="Times New Roman" w:cs="Times New Roman"/>
          <w:sz w:val="24"/>
          <w:szCs w:val="24"/>
        </w:rPr>
        <w:t xml:space="preserve"> </w:t>
      </w:r>
      <w:r w:rsidR="00303FD2" w:rsidRPr="00303FD2">
        <w:rPr>
          <w:rFonts w:ascii="Times New Roman" w:hAnsi="Times New Roman" w:cs="Times New Roman"/>
          <w:sz w:val="24"/>
          <w:szCs w:val="24"/>
        </w:rPr>
        <w:t>provisión de llantas para los vehículos de la SUNAT ubicados en las dependencias de Lima, Tumbes, Lambayeque, Arequipa, Mollendo y Pucallpa</w:t>
      </w:r>
      <w:r w:rsidR="002D49C6">
        <w:rPr>
          <w:rFonts w:ascii="Times New Roman" w:hAnsi="Times New Roman" w:cs="Times New Roman"/>
          <w:sz w:val="24"/>
          <w:szCs w:val="24"/>
        </w:rPr>
        <w:t>.</w:t>
      </w:r>
    </w:p>
    <w:p w:rsidR="00132629" w:rsidRPr="00825EF7" w:rsidRDefault="00132629" w:rsidP="00D553B2">
      <w:pPr>
        <w:widowControl w:val="0"/>
        <w:pBdr>
          <w:bottom w:val="single" w:sz="6" w:space="1" w:color="auto"/>
        </w:pBdr>
        <w:spacing w:after="0" w:line="240" w:lineRule="auto"/>
        <w:jc w:val="both"/>
        <w:rPr>
          <w:rFonts w:ascii="Times New Roman" w:hAnsi="Times New Roman" w:cs="Times New Roman"/>
          <w:sz w:val="24"/>
          <w:szCs w:val="24"/>
        </w:rPr>
      </w:pPr>
    </w:p>
    <w:p w:rsidR="00132629" w:rsidRPr="00825EF7" w:rsidRDefault="00132629" w:rsidP="00D553B2">
      <w:pPr>
        <w:widowControl w:val="0"/>
        <w:spacing w:after="0" w:line="240" w:lineRule="auto"/>
        <w:jc w:val="both"/>
        <w:rPr>
          <w:rFonts w:ascii="Times New Roman" w:hAnsi="Times New Roman" w:cs="Times New Roman"/>
          <w:sz w:val="24"/>
          <w:szCs w:val="24"/>
        </w:rPr>
      </w:pPr>
    </w:p>
    <w:p w:rsidR="00132629" w:rsidRPr="00825EF7" w:rsidRDefault="00132629" w:rsidP="00D553B2">
      <w:pPr>
        <w:widowControl w:val="0"/>
        <w:numPr>
          <w:ilvl w:val="0"/>
          <w:numId w:val="1"/>
        </w:numPr>
        <w:spacing w:after="0" w:line="240" w:lineRule="auto"/>
        <w:ind w:left="567" w:hanging="567"/>
        <w:jc w:val="both"/>
        <w:rPr>
          <w:rFonts w:ascii="Times New Roman" w:hAnsi="Times New Roman" w:cs="Times New Roman"/>
          <w:b/>
          <w:sz w:val="24"/>
          <w:szCs w:val="24"/>
        </w:rPr>
      </w:pPr>
      <w:r w:rsidRPr="00825EF7">
        <w:rPr>
          <w:rFonts w:ascii="Times New Roman" w:hAnsi="Times New Roman" w:cs="Times New Roman"/>
          <w:b/>
          <w:sz w:val="24"/>
          <w:szCs w:val="24"/>
        </w:rPr>
        <w:t xml:space="preserve">ANTECEDENTES </w:t>
      </w:r>
    </w:p>
    <w:p w:rsidR="00132629" w:rsidRPr="00825EF7" w:rsidRDefault="00132629" w:rsidP="00D553B2">
      <w:pPr>
        <w:widowControl w:val="0"/>
        <w:spacing w:after="0" w:line="240" w:lineRule="auto"/>
        <w:ind w:left="567"/>
        <w:jc w:val="both"/>
        <w:rPr>
          <w:rFonts w:ascii="Times New Roman" w:hAnsi="Times New Roman" w:cs="Times New Roman"/>
          <w:b/>
          <w:sz w:val="24"/>
          <w:szCs w:val="24"/>
        </w:rPr>
      </w:pPr>
    </w:p>
    <w:p w:rsidR="00132629" w:rsidRPr="006551CB" w:rsidRDefault="00132629" w:rsidP="00D553B2">
      <w:pPr>
        <w:pStyle w:val="WW-Textoindependiente2"/>
        <w:widowControl w:val="0"/>
        <w:tabs>
          <w:tab w:val="left" w:pos="426"/>
        </w:tabs>
        <w:rPr>
          <w:rFonts w:ascii="Times New Roman" w:hAnsi="Times New Roman"/>
          <w:b/>
          <w:lang w:val="es-PE" w:eastAsia="es-ES"/>
        </w:rPr>
      </w:pPr>
      <w:r w:rsidRPr="00825EF7">
        <w:rPr>
          <w:rFonts w:ascii="Times New Roman" w:hAnsi="Times New Roman"/>
          <w:lang w:val="es-PE" w:eastAsia="es-ES"/>
        </w:rPr>
        <w:t>Me</w:t>
      </w:r>
      <w:r w:rsidR="00A234A4" w:rsidRPr="00825EF7">
        <w:rPr>
          <w:rFonts w:ascii="Times New Roman" w:hAnsi="Times New Roman"/>
          <w:lang w:val="es-PE" w:eastAsia="es-ES"/>
        </w:rPr>
        <w:t xml:space="preserve">diante el Oficio N° </w:t>
      </w:r>
      <w:r w:rsidR="006551CB">
        <w:rPr>
          <w:rFonts w:ascii="Times New Roman" w:hAnsi="Times New Roman"/>
          <w:lang w:val="es-PE" w:eastAsia="es-ES"/>
        </w:rPr>
        <w:t>18</w:t>
      </w:r>
      <w:r w:rsidR="00A234A4" w:rsidRPr="00825EF7">
        <w:rPr>
          <w:rFonts w:ascii="Times New Roman" w:hAnsi="Times New Roman"/>
          <w:lang w:val="es-PE" w:eastAsia="es-ES"/>
        </w:rPr>
        <w:t>-2015-</w:t>
      </w:r>
      <w:r w:rsidR="006551CB">
        <w:rPr>
          <w:rFonts w:ascii="Times New Roman" w:hAnsi="Times New Roman"/>
          <w:lang w:val="es-PE" w:eastAsia="es-ES"/>
        </w:rPr>
        <w:t>SUNAT/4A0000</w:t>
      </w:r>
      <w:r w:rsidR="00A234A4" w:rsidRPr="00825EF7">
        <w:rPr>
          <w:rFonts w:ascii="Times New Roman" w:hAnsi="Times New Roman"/>
          <w:lang w:val="es-PE" w:eastAsia="es-ES"/>
        </w:rPr>
        <w:t xml:space="preserve">, recibido el </w:t>
      </w:r>
      <w:r w:rsidR="006551CB">
        <w:rPr>
          <w:rFonts w:ascii="Times New Roman" w:hAnsi="Times New Roman"/>
          <w:lang w:val="es-PE" w:eastAsia="es-ES"/>
        </w:rPr>
        <w:t>06</w:t>
      </w:r>
      <w:r w:rsidR="00A234A4" w:rsidRPr="00825EF7">
        <w:rPr>
          <w:rFonts w:ascii="Times New Roman" w:hAnsi="Times New Roman"/>
          <w:lang w:val="es-PE" w:eastAsia="es-ES"/>
        </w:rPr>
        <w:t>.</w:t>
      </w:r>
      <w:r w:rsidR="006551CB">
        <w:rPr>
          <w:rFonts w:ascii="Times New Roman" w:hAnsi="Times New Roman"/>
          <w:lang w:val="es-PE" w:eastAsia="es-ES"/>
        </w:rPr>
        <w:t>10</w:t>
      </w:r>
      <w:r w:rsidRPr="00825EF7">
        <w:rPr>
          <w:rFonts w:ascii="Times New Roman" w:hAnsi="Times New Roman"/>
          <w:lang w:val="es-PE" w:eastAsia="es-ES"/>
        </w:rPr>
        <w:t xml:space="preserve">.2015, </w:t>
      </w:r>
      <w:r w:rsidR="00984028">
        <w:rPr>
          <w:rFonts w:ascii="Times New Roman" w:hAnsi="Times New Roman"/>
          <w:lang w:val="es-PE" w:eastAsia="es-ES"/>
        </w:rPr>
        <w:t>subsanado a</w:t>
      </w:r>
      <w:r w:rsidR="006551CB">
        <w:rPr>
          <w:rFonts w:ascii="Times New Roman" w:hAnsi="Times New Roman"/>
          <w:lang w:val="es-PE" w:eastAsia="es-ES"/>
        </w:rPr>
        <w:t xml:space="preserve"> través del Oficio Nº 20</w:t>
      </w:r>
      <w:r w:rsidR="006551CB" w:rsidRPr="00825EF7">
        <w:rPr>
          <w:rFonts w:ascii="Times New Roman" w:hAnsi="Times New Roman"/>
          <w:lang w:val="es-PE" w:eastAsia="es-ES"/>
        </w:rPr>
        <w:t>-2015-</w:t>
      </w:r>
      <w:r w:rsidR="006551CB">
        <w:rPr>
          <w:rFonts w:ascii="Times New Roman" w:hAnsi="Times New Roman"/>
          <w:lang w:val="es-PE" w:eastAsia="es-ES"/>
        </w:rPr>
        <w:t xml:space="preserve">SUNAT/4A0000, recibido el 12.10.2015 </w:t>
      </w:r>
      <w:r w:rsidRPr="00825EF7">
        <w:rPr>
          <w:rFonts w:ascii="Times New Roman" w:hAnsi="Times New Roman"/>
          <w:lang w:val="es-PE" w:eastAsia="es-ES"/>
        </w:rPr>
        <w:t xml:space="preserve">el Presidente </w:t>
      </w:r>
      <w:r w:rsidRPr="00825EF7">
        <w:rPr>
          <w:rFonts w:ascii="Times New Roman" w:hAnsi="Times New Roman"/>
          <w:lang w:eastAsia="es-ES"/>
        </w:rPr>
        <w:t xml:space="preserve">del Comité Especial </w:t>
      </w:r>
      <w:r w:rsidRPr="00825EF7">
        <w:rPr>
          <w:rFonts w:ascii="Times New Roman" w:hAnsi="Times New Roman"/>
          <w:lang w:val="es-PE" w:eastAsia="es-ES"/>
        </w:rPr>
        <w:t xml:space="preserve">remitió al Organismo Supervisor de las Contrataciones del Estado (OSCE) </w:t>
      </w:r>
      <w:r w:rsidR="001C1B29">
        <w:rPr>
          <w:rFonts w:ascii="Times New Roman" w:hAnsi="Times New Roman"/>
          <w:lang w:val="es-PE" w:eastAsia="es-ES"/>
        </w:rPr>
        <w:t>la única</w:t>
      </w:r>
      <w:r w:rsidRPr="00825EF7">
        <w:rPr>
          <w:rFonts w:ascii="Times New Roman" w:hAnsi="Times New Roman"/>
          <w:lang w:val="es-PE" w:eastAsia="es-ES"/>
        </w:rPr>
        <w:t xml:space="preserve"> observaci</w:t>
      </w:r>
      <w:r w:rsidR="006551CB">
        <w:rPr>
          <w:rFonts w:ascii="Times New Roman" w:hAnsi="Times New Roman"/>
          <w:lang w:val="es-PE" w:eastAsia="es-ES"/>
        </w:rPr>
        <w:t>ón</w:t>
      </w:r>
      <w:r w:rsidRPr="00825EF7">
        <w:rPr>
          <w:rFonts w:ascii="Times New Roman" w:hAnsi="Times New Roman"/>
          <w:lang w:val="es-PE" w:eastAsia="es-ES"/>
        </w:rPr>
        <w:t xml:space="preserve"> formulada por el participante </w:t>
      </w:r>
      <w:r w:rsidR="006551CB">
        <w:rPr>
          <w:rFonts w:ascii="Times New Roman" w:hAnsi="Times New Roman"/>
          <w:b/>
          <w:lang w:val="es-PE" w:eastAsia="es-ES"/>
        </w:rPr>
        <w:t>CASOLI S.A.C.</w:t>
      </w:r>
      <w:r w:rsidR="006551CB">
        <w:rPr>
          <w:rFonts w:ascii="Times New Roman" w:hAnsi="Times New Roman"/>
        </w:rPr>
        <w:t xml:space="preserve">, </w:t>
      </w:r>
      <w:r w:rsidRPr="00825EF7">
        <w:rPr>
          <w:rFonts w:ascii="Times New Roman" w:hAnsi="Times New Roman"/>
          <w:lang w:val="es-PE" w:eastAsia="es-ES"/>
        </w:rPr>
        <w:t xml:space="preserve">así como el respectivo informe técnico, </w:t>
      </w:r>
      <w:r w:rsidRPr="00825EF7">
        <w:rPr>
          <w:rFonts w:ascii="Times New Roman" w:hAnsi="Times New Roman"/>
          <w:lang w:eastAsia="es-ES"/>
        </w:rPr>
        <w:t>en cumplimiento de lo dispuesto por el artículo 28 del Decreto Legislativo</w:t>
      </w:r>
      <w:r w:rsidR="008D5C0F" w:rsidRPr="00825EF7">
        <w:rPr>
          <w:rFonts w:ascii="Times New Roman" w:hAnsi="Times New Roman"/>
          <w:lang w:eastAsia="es-ES"/>
        </w:rPr>
        <w:t xml:space="preserve"> </w:t>
      </w:r>
      <w:r w:rsidRPr="00825EF7">
        <w:rPr>
          <w:rFonts w:ascii="Times New Roman" w:hAnsi="Times New Roman"/>
          <w:lang w:eastAsia="es-ES"/>
        </w:rPr>
        <w:t>1017, que aprueba la Ley de Contrataciones del Estado, en adelante la Ley, y el artículo 58 de su Reglamento, aprobado por Decreto Supremo 184-2008-EF, en adelante el Reglamento.</w:t>
      </w:r>
    </w:p>
    <w:p w:rsidR="006426D6" w:rsidRPr="00825EF7" w:rsidRDefault="006426D6" w:rsidP="002D20CE">
      <w:pPr>
        <w:pStyle w:val="WW-Sangra3detindependiente"/>
        <w:widowControl/>
        <w:suppressAutoHyphens w:val="0"/>
        <w:ind w:left="0" w:firstLine="0"/>
        <w:rPr>
          <w:szCs w:val="24"/>
        </w:rPr>
      </w:pPr>
    </w:p>
    <w:p w:rsidR="00132629" w:rsidRPr="00825EF7" w:rsidRDefault="00132629" w:rsidP="00044504">
      <w:pPr>
        <w:pStyle w:val="Textoindependiente2"/>
        <w:widowControl w:val="0"/>
        <w:numPr>
          <w:ilvl w:val="0"/>
          <w:numId w:val="1"/>
        </w:numPr>
        <w:tabs>
          <w:tab w:val="clear" w:pos="360"/>
          <w:tab w:val="left" w:pos="142"/>
          <w:tab w:val="num" w:pos="567"/>
        </w:tabs>
        <w:spacing w:after="0" w:line="240" w:lineRule="auto"/>
        <w:ind w:left="284" w:hanging="284"/>
        <w:jc w:val="both"/>
        <w:rPr>
          <w:b/>
        </w:rPr>
      </w:pPr>
      <w:r w:rsidRPr="00825EF7">
        <w:rPr>
          <w:b/>
        </w:rPr>
        <w:t>OBSERVACIONES</w:t>
      </w:r>
    </w:p>
    <w:p w:rsidR="00132629" w:rsidRPr="00825EF7" w:rsidRDefault="00132629" w:rsidP="00D553B2">
      <w:pPr>
        <w:pStyle w:val="Textoindependiente2"/>
        <w:widowControl w:val="0"/>
        <w:spacing w:after="0" w:line="240" w:lineRule="auto"/>
        <w:jc w:val="both"/>
        <w:rPr>
          <w:b/>
        </w:rPr>
      </w:pPr>
    </w:p>
    <w:p w:rsidR="00132629" w:rsidRPr="00825EF7" w:rsidRDefault="00132629" w:rsidP="00D553B2">
      <w:pPr>
        <w:widowControl w:val="0"/>
        <w:tabs>
          <w:tab w:val="left" w:pos="567"/>
          <w:tab w:val="left" w:pos="4253"/>
        </w:tabs>
        <w:spacing w:after="0" w:line="240" w:lineRule="auto"/>
        <w:ind w:left="4248" w:hanging="4248"/>
        <w:jc w:val="both"/>
        <w:rPr>
          <w:rFonts w:ascii="Times New Roman" w:hAnsi="Times New Roman" w:cs="Times New Roman"/>
          <w:b/>
          <w:caps/>
          <w:sz w:val="24"/>
          <w:szCs w:val="24"/>
          <w:lang w:val="es-ES_tradnl"/>
        </w:rPr>
      </w:pPr>
      <w:r w:rsidRPr="00825EF7">
        <w:rPr>
          <w:rFonts w:ascii="Times New Roman" w:hAnsi="Times New Roman" w:cs="Times New Roman"/>
          <w:b/>
          <w:sz w:val="24"/>
          <w:szCs w:val="24"/>
        </w:rPr>
        <w:t>Observante:</w:t>
      </w:r>
      <w:r w:rsidRPr="00825EF7">
        <w:rPr>
          <w:rFonts w:ascii="Times New Roman" w:hAnsi="Times New Roman" w:cs="Times New Roman"/>
          <w:b/>
          <w:sz w:val="24"/>
          <w:szCs w:val="24"/>
        </w:rPr>
        <w:tab/>
      </w:r>
      <w:r w:rsidR="006B4178">
        <w:rPr>
          <w:rFonts w:ascii="Times New Roman" w:hAnsi="Times New Roman"/>
          <w:b/>
          <w:lang w:eastAsia="es-ES"/>
        </w:rPr>
        <w:t>CASOLI S.A.C.</w:t>
      </w:r>
    </w:p>
    <w:p w:rsidR="00132629" w:rsidRPr="00825EF7" w:rsidRDefault="00132629" w:rsidP="00D553B2">
      <w:pPr>
        <w:widowControl w:val="0"/>
        <w:tabs>
          <w:tab w:val="left" w:pos="567"/>
          <w:tab w:val="left" w:pos="4253"/>
        </w:tabs>
        <w:spacing w:after="0" w:line="240" w:lineRule="auto"/>
        <w:ind w:left="4248" w:hanging="4248"/>
        <w:jc w:val="both"/>
        <w:rPr>
          <w:rFonts w:ascii="Times New Roman" w:hAnsi="Times New Roman" w:cs="Times New Roman"/>
          <w:sz w:val="24"/>
          <w:szCs w:val="24"/>
          <w:lang w:val="es-ES_tradnl"/>
        </w:rPr>
      </w:pPr>
    </w:p>
    <w:p w:rsidR="0052413A" w:rsidRPr="00825EF7" w:rsidRDefault="006426D6" w:rsidP="00D553B2">
      <w:pPr>
        <w:widowControl w:val="0"/>
        <w:tabs>
          <w:tab w:val="left" w:pos="4253"/>
        </w:tabs>
        <w:spacing w:after="0" w:line="240" w:lineRule="auto"/>
        <w:ind w:left="4253" w:hanging="4253"/>
        <w:jc w:val="both"/>
        <w:rPr>
          <w:rFonts w:ascii="Times New Roman" w:hAnsi="Times New Roman" w:cs="Times New Roman"/>
          <w:b/>
          <w:sz w:val="24"/>
          <w:szCs w:val="24"/>
        </w:rPr>
      </w:pPr>
      <w:r w:rsidRPr="00825EF7">
        <w:rPr>
          <w:rFonts w:ascii="Times New Roman" w:hAnsi="Times New Roman" w:cs="Times New Roman"/>
          <w:b/>
          <w:sz w:val="24"/>
          <w:szCs w:val="24"/>
        </w:rPr>
        <w:t>Observación</w:t>
      </w:r>
      <w:r w:rsidR="00675417">
        <w:rPr>
          <w:rFonts w:ascii="Times New Roman" w:hAnsi="Times New Roman" w:cs="Times New Roman"/>
          <w:b/>
          <w:sz w:val="24"/>
          <w:szCs w:val="24"/>
        </w:rPr>
        <w:t xml:space="preserve"> Única</w:t>
      </w:r>
      <w:r w:rsidR="0052413A" w:rsidRPr="00825EF7">
        <w:rPr>
          <w:rFonts w:ascii="Times New Roman" w:hAnsi="Times New Roman" w:cs="Times New Roman"/>
          <w:b/>
          <w:sz w:val="24"/>
          <w:szCs w:val="24"/>
        </w:rPr>
        <w:tab/>
        <w:t xml:space="preserve">Contra el </w:t>
      </w:r>
      <w:r w:rsidR="006B4178">
        <w:rPr>
          <w:rFonts w:ascii="Times New Roman" w:hAnsi="Times New Roman" w:cs="Times New Roman"/>
          <w:b/>
          <w:sz w:val="24"/>
          <w:szCs w:val="24"/>
        </w:rPr>
        <w:t>estudio de mercado</w:t>
      </w:r>
      <w:r w:rsidR="0052413A" w:rsidRPr="00825EF7">
        <w:rPr>
          <w:rFonts w:ascii="Times New Roman" w:hAnsi="Times New Roman" w:cs="Times New Roman"/>
          <w:b/>
          <w:sz w:val="24"/>
          <w:szCs w:val="24"/>
        </w:rPr>
        <w:t xml:space="preserve"> </w:t>
      </w:r>
    </w:p>
    <w:p w:rsidR="00132629" w:rsidRPr="00825EF7" w:rsidRDefault="00132629" w:rsidP="00D553B2">
      <w:pPr>
        <w:spacing w:after="0" w:line="240" w:lineRule="auto"/>
        <w:jc w:val="both"/>
        <w:rPr>
          <w:rFonts w:ascii="Times New Roman" w:hAnsi="Times New Roman" w:cs="Times New Roman"/>
          <w:sz w:val="24"/>
          <w:szCs w:val="24"/>
        </w:rPr>
      </w:pPr>
    </w:p>
    <w:p w:rsidR="0052413A" w:rsidRDefault="006B4178" w:rsidP="00D553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Mediante la</w:t>
      </w:r>
      <w:r w:rsidR="001C1B29">
        <w:rPr>
          <w:rFonts w:ascii="Times New Roman" w:hAnsi="Times New Roman" w:cs="Times New Roman"/>
          <w:sz w:val="24"/>
          <w:szCs w:val="24"/>
        </w:rPr>
        <w:t xml:space="preserve"> presente</w:t>
      </w:r>
      <w:r>
        <w:rPr>
          <w:rFonts w:ascii="Times New Roman" w:hAnsi="Times New Roman" w:cs="Times New Roman"/>
          <w:sz w:val="24"/>
          <w:szCs w:val="24"/>
        </w:rPr>
        <w:t xml:space="preserve"> Observación, el recurrente cuestiona </w:t>
      </w:r>
      <w:r w:rsidR="00686A91" w:rsidRPr="00686A91">
        <w:rPr>
          <w:rFonts w:ascii="Times New Roman" w:hAnsi="Times New Roman" w:cs="Times New Roman"/>
          <w:sz w:val="24"/>
          <w:szCs w:val="24"/>
        </w:rPr>
        <w:t>el estudio de mercado realizado por la Entidad</w:t>
      </w:r>
      <w:r w:rsidR="00984028">
        <w:rPr>
          <w:rFonts w:ascii="Times New Roman" w:hAnsi="Times New Roman" w:cs="Times New Roman"/>
          <w:sz w:val="24"/>
          <w:szCs w:val="24"/>
        </w:rPr>
        <w:t xml:space="preserve"> </w:t>
      </w:r>
      <w:r w:rsidR="00686A91">
        <w:rPr>
          <w:rFonts w:ascii="Times New Roman" w:hAnsi="Times New Roman" w:cs="Times New Roman"/>
          <w:sz w:val="24"/>
          <w:szCs w:val="24"/>
        </w:rPr>
        <w:t>señalando:</w:t>
      </w:r>
    </w:p>
    <w:p w:rsidR="00686A91" w:rsidRDefault="00686A91" w:rsidP="00D553B2">
      <w:pPr>
        <w:spacing w:after="0" w:line="240" w:lineRule="auto"/>
        <w:jc w:val="both"/>
        <w:rPr>
          <w:rFonts w:ascii="Times New Roman" w:hAnsi="Times New Roman" w:cs="Times New Roman"/>
          <w:sz w:val="24"/>
          <w:szCs w:val="24"/>
        </w:rPr>
      </w:pPr>
    </w:p>
    <w:p w:rsidR="00F71B29" w:rsidRDefault="00686A91" w:rsidP="00686A91">
      <w:pPr>
        <w:pStyle w:val="Prrafodelista"/>
        <w:numPr>
          <w:ilvl w:val="0"/>
          <w:numId w:val="11"/>
        </w:numPr>
        <w:jc w:val="both"/>
        <w:rPr>
          <w:sz w:val="24"/>
          <w:szCs w:val="24"/>
        </w:rPr>
      </w:pPr>
      <w:r>
        <w:rPr>
          <w:sz w:val="24"/>
          <w:szCs w:val="24"/>
        </w:rPr>
        <w:t xml:space="preserve">Para el subítem Nº 3, bajo la presunción </w:t>
      </w:r>
      <w:r w:rsidR="000B1210">
        <w:rPr>
          <w:sz w:val="24"/>
          <w:szCs w:val="24"/>
        </w:rPr>
        <w:t xml:space="preserve">de </w:t>
      </w:r>
      <w:r>
        <w:rPr>
          <w:sz w:val="24"/>
          <w:szCs w:val="24"/>
        </w:rPr>
        <w:t xml:space="preserve">que </w:t>
      </w:r>
      <w:r w:rsidR="00877895">
        <w:rPr>
          <w:sz w:val="24"/>
          <w:szCs w:val="24"/>
        </w:rPr>
        <w:t>cotizaron</w:t>
      </w:r>
      <w:r>
        <w:rPr>
          <w:sz w:val="24"/>
          <w:szCs w:val="24"/>
        </w:rPr>
        <w:t xml:space="preserve"> </w:t>
      </w:r>
      <w:r w:rsidR="0039644E">
        <w:rPr>
          <w:sz w:val="24"/>
          <w:szCs w:val="24"/>
        </w:rPr>
        <w:t xml:space="preserve">la marca </w:t>
      </w:r>
      <w:r w:rsidR="00D77F71">
        <w:rPr>
          <w:sz w:val="24"/>
          <w:szCs w:val="24"/>
        </w:rPr>
        <w:t>“</w:t>
      </w:r>
      <w:r w:rsidR="0039644E">
        <w:rPr>
          <w:sz w:val="24"/>
          <w:szCs w:val="24"/>
        </w:rPr>
        <w:t>Good Year</w:t>
      </w:r>
      <w:r w:rsidR="00D77F71">
        <w:rPr>
          <w:sz w:val="24"/>
          <w:szCs w:val="24"/>
        </w:rPr>
        <w:t>”</w:t>
      </w:r>
      <w:r w:rsidR="0039644E">
        <w:rPr>
          <w:sz w:val="24"/>
          <w:szCs w:val="24"/>
        </w:rPr>
        <w:t xml:space="preserve"> y que el modelo fuese </w:t>
      </w:r>
      <w:r w:rsidR="000A5200">
        <w:rPr>
          <w:sz w:val="24"/>
          <w:szCs w:val="24"/>
        </w:rPr>
        <w:t>“</w:t>
      </w:r>
      <w:r w:rsidR="0039644E">
        <w:rPr>
          <w:sz w:val="24"/>
          <w:szCs w:val="24"/>
        </w:rPr>
        <w:t>Fortera Comfortred</w:t>
      </w:r>
      <w:r w:rsidR="000A5200">
        <w:rPr>
          <w:sz w:val="24"/>
          <w:szCs w:val="24"/>
        </w:rPr>
        <w:t>”</w:t>
      </w:r>
      <w:r w:rsidR="0039644E">
        <w:rPr>
          <w:sz w:val="24"/>
          <w:szCs w:val="24"/>
        </w:rPr>
        <w:t xml:space="preserve">, este no cumple con el índice de velocidad. </w:t>
      </w:r>
    </w:p>
    <w:p w:rsidR="00F71B29" w:rsidRDefault="00F71B29" w:rsidP="00F71B29">
      <w:pPr>
        <w:pStyle w:val="Prrafodelista"/>
        <w:ind w:left="720"/>
        <w:jc w:val="both"/>
        <w:rPr>
          <w:sz w:val="24"/>
          <w:szCs w:val="24"/>
        </w:rPr>
      </w:pPr>
    </w:p>
    <w:p w:rsidR="00686A91" w:rsidRDefault="0039644E" w:rsidP="00F71B29">
      <w:pPr>
        <w:pStyle w:val="Prrafodelista"/>
        <w:ind w:left="720"/>
        <w:jc w:val="both"/>
        <w:rPr>
          <w:sz w:val="24"/>
          <w:szCs w:val="24"/>
        </w:rPr>
      </w:pPr>
      <w:r>
        <w:rPr>
          <w:sz w:val="24"/>
          <w:szCs w:val="24"/>
        </w:rPr>
        <w:t>Asimismo,</w:t>
      </w:r>
      <w:r w:rsidR="00877895">
        <w:rPr>
          <w:sz w:val="24"/>
          <w:szCs w:val="24"/>
        </w:rPr>
        <w:t xml:space="preserve"> se consignó la marca “pirelli”; por lo que</w:t>
      </w:r>
      <w:r>
        <w:rPr>
          <w:sz w:val="24"/>
          <w:szCs w:val="24"/>
        </w:rPr>
        <w:t xml:space="preserve"> bajo la presunción de que cotizaron </w:t>
      </w:r>
      <w:r w:rsidR="00877895">
        <w:rPr>
          <w:sz w:val="24"/>
          <w:szCs w:val="24"/>
        </w:rPr>
        <w:t xml:space="preserve">el modelo </w:t>
      </w:r>
      <w:r w:rsidR="000A5200">
        <w:rPr>
          <w:sz w:val="24"/>
          <w:szCs w:val="24"/>
        </w:rPr>
        <w:t>“</w:t>
      </w:r>
      <w:r w:rsidR="00877895">
        <w:rPr>
          <w:sz w:val="24"/>
          <w:szCs w:val="24"/>
        </w:rPr>
        <w:t>Scorpion STR</w:t>
      </w:r>
      <w:r w:rsidR="000A5200">
        <w:rPr>
          <w:sz w:val="24"/>
          <w:szCs w:val="24"/>
        </w:rPr>
        <w:t>”</w:t>
      </w:r>
      <w:r w:rsidR="00877895">
        <w:rPr>
          <w:sz w:val="24"/>
          <w:szCs w:val="24"/>
        </w:rPr>
        <w:t>, é</w:t>
      </w:r>
      <w:r>
        <w:rPr>
          <w:sz w:val="24"/>
          <w:szCs w:val="24"/>
        </w:rPr>
        <w:t>ste tampoco cumpliría las características del neumático donde señalan “Radial – pistera”, al no ser el neumático 100% pista sino 75% pista y 25 % fuera de carretera.</w:t>
      </w:r>
    </w:p>
    <w:p w:rsidR="00A95721" w:rsidRDefault="00A95721" w:rsidP="00A95721">
      <w:pPr>
        <w:pStyle w:val="Prrafodelista"/>
        <w:ind w:left="720"/>
        <w:jc w:val="both"/>
        <w:rPr>
          <w:sz w:val="24"/>
          <w:szCs w:val="24"/>
        </w:rPr>
      </w:pPr>
    </w:p>
    <w:p w:rsidR="0039644E" w:rsidRDefault="0039644E" w:rsidP="00686A91">
      <w:pPr>
        <w:pStyle w:val="Prrafodelista"/>
        <w:numPr>
          <w:ilvl w:val="0"/>
          <w:numId w:val="11"/>
        </w:numPr>
        <w:jc w:val="both"/>
        <w:rPr>
          <w:sz w:val="24"/>
          <w:szCs w:val="24"/>
        </w:rPr>
      </w:pPr>
      <w:r>
        <w:rPr>
          <w:sz w:val="24"/>
          <w:szCs w:val="24"/>
        </w:rPr>
        <w:t>Para el subítem Nº 4, bajo la presunción de que cotizaron la marca Dunlop y que el modelo fuese Grandrek AT3, este no cumple con el índice de carga y ancho.</w:t>
      </w:r>
    </w:p>
    <w:p w:rsidR="00984028" w:rsidRDefault="00984028" w:rsidP="00984028">
      <w:pPr>
        <w:pStyle w:val="Prrafodelista"/>
        <w:ind w:left="720"/>
        <w:jc w:val="both"/>
        <w:rPr>
          <w:sz w:val="24"/>
          <w:szCs w:val="24"/>
        </w:rPr>
      </w:pPr>
    </w:p>
    <w:p w:rsidR="0039644E" w:rsidRDefault="0039644E" w:rsidP="0039644E">
      <w:pPr>
        <w:pStyle w:val="Prrafodelista"/>
        <w:ind w:left="720"/>
        <w:jc w:val="both"/>
        <w:rPr>
          <w:sz w:val="24"/>
          <w:szCs w:val="24"/>
        </w:rPr>
      </w:pPr>
      <w:r>
        <w:rPr>
          <w:sz w:val="24"/>
          <w:szCs w:val="24"/>
        </w:rPr>
        <w:t xml:space="preserve">Además, </w:t>
      </w:r>
      <w:r w:rsidR="00877895">
        <w:rPr>
          <w:sz w:val="24"/>
          <w:szCs w:val="24"/>
        </w:rPr>
        <w:t>cuestiona</w:t>
      </w:r>
      <w:r w:rsidR="00984028">
        <w:rPr>
          <w:sz w:val="24"/>
          <w:szCs w:val="24"/>
        </w:rPr>
        <w:t xml:space="preserve"> el</w:t>
      </w:r>
      <w:r>
        <w:rPr>
          <w:sz w:val="24"/>
          <w:szCs w:val="24"/>
        </w:rPr>
        <w:t xml:space="preserve"> plazo de</w:t>
      </w:r>
      <w:r w:rsidR="00877895">
        <w:rPr>
          <w:sz w:val="24"/>
          <w:szCs w:val="24"/>
        </w:rPr>
        <w:t xml:space="preserve"> la primera</w:t>
      </w:r>
      <w:r>
        <w:rPr>
          <w:sz w:val="24"/>
          <w:szCs w:val="24"/>
        </w:rPr>
        <w:t xml:space="preserve"> entrega de</w:t>
      </w:r>
      <w:r w:rsidR="00877895">
        <w:rPr>
          <w:sz w:val="24"/>
          <w:szCs w:val="24"/>
        </w:rPr>
        <w:t xml:space="preserve">l </w:t>
      </w:r>
      <w:r>
        <w:rPr>
          <w:sz w:val="24"/>
          <w:szCs w:val="24"/>
        </w:rPr>
        <w:t xml:space="preserve">subítem Nº 3 </w:t>
      </w:r>
      <w:r w:rsidR="00984028">
        <w:rPr>
          <w:sz w:val="24"/>
          <w:szCs w:val="24"/>
        </w:rPr>
        <w:t>y el subítem Nº 4</w:t>
      </w:r>
      <w:r w:rsidR="00877895">
        <w:rPr>
          <w:sz w:val="24"/>
          <w:szCs w:val="24"/>
        </w:rPr>
        <w:t>,</w:t>
      </w:r>
      <w:r>
        <w:rPr>
          <w:sz w:val="24"/>
          <w:szCs w:val="24"/>
        </w:rPr>
        <w:t xml:space="preserve"> </w:t>
      </w:r>
      <w:r w:rsidR="00877895">
        <w:rPr>
          <w:sz w:val="24"/>
          <w:szCs w:val="24"/>
        </w:rPr>
        <w:t xml:space="preserve">señalando que </w:t>
      </w:r>
      <w:r>
        <w:rPr>
          <w:sz w:val="24"/>
          <w:szCs w:val="24"/>
        </w:rPr>
        <w:t xml:space="preserve">la única marca que se fabrica en el Perú es </w:t>
      </w:r>
      <w:r w:rsidR="00D77F71">
        <w:rPr>
          <w:sz w:val="24"/>
          <w:szCs w:val="24"/>
        </w:rPr>
        <w:t>“</w:t>
      </w:r>
      <w:r>
        <w:rPr>
          <w:sz w:val="24"/>
          <w:szCs w:val="24"/>
        </w:rPr>
        <w:t>Good Year</w:t>
      </w:r>
      <w:r w:rsidR="00D77F71">
        <w:rPr>
          <w:sz w:val="24"/>
          <w:szCs w:val="24"/>
        </w:rPr>
        <w:t>”</w:t>
      </w:r>
      <w:r>
        <w:rPr>
          <w:sz w:val="24"/>
          <w:szCs w:val="24"/>
        </w:rPr>
        <w:t xml:space="preserve">, las demás marcas son de procedencia importada y considerando que las </w:t>
      </w:r>
      <w:r>
        <w:rPr>
          <w:sz w:val="24"/>
          <w:szCs w:val="24"/>
        </w:rPr>
        <w:lastRenderedPageBreak/>
        <w:t>cantidades requeridas no se mantienen en stock en dichos volúmenes</w:t>
      </w:r>
      <w:r w:rsidR="002D20CE">
        <w:rPr>
          <w:sz w:val="24"/>
          <w:szCs w:val="24"/>
        </w:rPr>
        <w:t>, el proceso de importación serí</w:t>
      </w:r>
      <w:r>
        <w:rPr>
          <w:sz w:val="24"/>
          <w:szCs w:val="24"/>
        </w:rPr>
        <w:t>a de un estimado de 60 días.</w:t>
      </w:r>
    </w:p>
    <w:p w:rsidR="0039644E" w:rsidRDefault="0039644E" w:rsidP="0039644E">
      <w:pPr>
        <w:pStyle w:val="Prrafodelista"/>
        <w:ind w:left="720"/>
        <w:jc w:val="both"/>
        <w:rPr>
          <w:sz w:val="24"/>
          <w:szCs w:val="24"/>
        </w:rPr>
      </w:pPr>
    </w:p>
    <w:p w:rsidR="0039644E" w:rsidRDefault="00984028" w:rsidP="0039644E">
      <w:pPr>
        <w:pStyle w:val="Prrafodelista"/>
        <w:ind w:left="720"/>
        <w:jc w:val="both"/>
        <w:rPr>
          <w:sz w:val="24"/>
          <w:szCs w:val="24"/>
        </w:rPr>
      </w:pPr>
      <w:r>
        <w:rPr>
          <w:sz w:val="24"/>
          <w:szCs w:val="24"/>
        </w:rPr>
        <w:t>En ese sentido,</w:t>
      </w:r>
      <w:r w:rsidR="00A95721">
        <w:rPr>
          <w:sz w:val="24"/>
          <w:szCs w:val="24"/>
        </w:rPr>
        <w:t xml:space="preserve"> el participante </w:t>
      </w:r>
      <w:r>
        <w:rPr>
          <w:sz w:val="24"/>
          <w:szCs w:val="24"/>
        </w:rPr>
        <w:t xml:space="preserve">señala </w:t>
      </w:r>
      <w:r w:rsidR="00A95721">
        <w:rPr>
          <w:sz w:val="24"/>
          <w:szCs w:val="24"/>
        </w:rPr>
        <w:t xml:space="preserve">que </w:t>
      </w:r>
      <w:r>
        <w:rPr>
          <w:sz w:val="24"/>
          <w:szCs w:val="24"/>
        </w:rPr>
        <w:t xml:space="preserve">se </w:t>
      </w:r>
      <w:r w:rsidR="00A95721">
        <w:rPr>
          <w:sz w:val="24"/>
          <w:szCs w:val="24"/>
        </w:rPr>
        <w:t>estaría demostra</w:t>
      </w:r>
      <w:r>
        <w:rPr>
          <w:sz w:val="24"/>
          <w:szCs w:val="24"/>
        </w:rPr>
        <w:t>n</w:t>
      </w:r>
      <w:r w:rsidR="00A95721">
        <w:rPr>
          <w:sz w:val="24"/>
          <w:szCs w:val="24"/>
        </w:rPr>
        <w:t>do:</w:t>
      </w:r>
    </w:p>
    <w:p w:rsidR="000B1210" w:rsidRDefault="000B1210" w:rsidP="0039644E">
      <w:pPr>
        <w:pStyle w:val="Prrafodelista"/>
        <w:ind w:left="720"/>
        <w:jc w:val="both"/>
        <w:rPr>
          <w:sz w:val="24"/>
          <w:szCs w:val="24"/>
        </w:rPr>
      </w:pPr>
    </w:p>
    <w:p w:rsidR="00A95721" w:rsidRDefault="00984028" w:rsidP="00675417">
      <w:pPr>
        <w:pStyle w:val="Prrafodelista"/>
        <w:numPr>
          <w:ilvl w:val="0"/>
          <w:numId w:val="13"/>
        </w:numPr>
        <w:jc w:val="both"/>
        <w:rPr>
          <w:sz w:val="24"/>
          <w:szCs w:val="24"/>
        </w:rPr>
      </w:pPr>
      <w:r>
        <w:rPr>
          <w:sz w:val="24"/>
          <w:szCs w:val="24"/>
        </w:rPr>
        <w:t>Que n</w:t>
      </w:r>
      <w:r w:rsidR="00A95721">
        <w:rPr>
          <w:sz w:val="24"/>
          <w:szCs w:val="24"/>
        </w:rPr>
        <w:t>o todos los bienes cotizados actualizados cumplen con las especificaciones técnicas del presente proceso de selección.</w:t>
      </w:r>
    </w:p>
    <w:p w:rsidR="00675417" w:rsidRDefault="00675417" w:rsidP="00675417">
      <w:pPr>
        <w:pStyle w:val="Prrafodelista"/>
        <w:ind w:left="1080"/>
        <w:jc w:val="both"/>
        <w:rPr>
          <w:sz w:val="24"/>
          <w:szCs w:val="24"/>
        </w:rPr>
      </w:pPr>
    </w:p>
    <w:p w:rsidR="00A95721" w:rsidRDefault="00A95721" w:rsidP="00675417">
      <w:pPr>
        <w:pStyle w:val="Prrafodelista"/>
        <w:numPr>
          <w:ilvl w:val="0"/>
          <w:numId w:val="13"/>
        </w:numPr>
        <w:jc w:val="both"/>
        <w:rPr>
          <w:sz w:val="24"/>
          <w:szCs w:val="24"/>
        </w:rPr>
      </w:pPr>
      <w:r>
        <w:rPr>
          <w:sz w:val="24"/>
          <w:szCs w:val="24"/>
        </w:rPr>
        <w:t>Que aparentemente solo existe una marca en el mercado que cumpliría con el requerimiento de plazo de entrega de los subítems Nº 3 y Nº 4 para las cantidades consignadas en la primera entrega.</w:t>
      </w:r>
    </w:p>
    <w:p w:rsidR="00A95721" w:rsidRDefault="00A95721" w:rsidP="00A95721">
      <w:pPr>
        <w:pStyle w:val="Prrafodelista"/>
        <w:ind w:left="1080"/>
        <w:jc w:val="both"/>
        <w:rPr>
          <w:sz w:val="24"/>
          <w:szCs w:val="24"/>
        </w:rPr>
      </w:pPr>
    </w:p>
    <w:p w:rsidR="00A95721" w:rsidRPr="00A95721" w:rsidRDefault="00A95721" w:rsidP="00A95721">
      <w:pPr>
        <w:ind w:left="720"/>
        <w:jc w:val="both"/>
        <w:rPr>
          <w:rFonts w:ascii="Times New Roman" w:hAnsi="Times New Roman" w:cs="Times New Roman"/>
          <w:sz w:val="24"/>
          <w:szCs w:val="24"/>
        </w:rPr>
      </w:pPr>
      <w:r w:rsidRPr="00A95721">
        <w:rPr>
          <w:rFonts w:ascii="Times New Roman" w:hAnsi="Times New Roman" w:cs="Times New Roman"/>
          <w:sz w:val="24"/>
          <w:szCs w:val="24"/>
        </w:rPr>
        <w:t>Por tanto solicita retrotraer el presente proceso de selección a la etapa de estudio de mercado.</w:t>
      </w:r>
    </w:p>
    <w:p w:rsidR="0052413A" w:rsidRPr="00825EF7" w:rsidRDefault="0052413A" w:rsidP="00D553B2">
      <w:pPr>
        <w:spacing w:after="0" w:line="240" w:lineRule="auto"/>
        <w:jc w:val="both"/>
        <w:rPr>
          <w:rFonts w:ascii="Times New Roman" w:hAnsi="Times New Roman" w:cs="Times New Roman"/>
          <w:b/>
          <w:sz w:val="24"/>
          <w:szCs w:val="24"/>
        </w:rPr>
      </w:pPr>
      <w:r w:rsidRPr="00825EF7">
        <w:rPr>
          <w:rFonts w:ascii="Times New Roman" w:hAnsi="Times New Roman" w:cs="Times New Roman"/>
          <w:b/>
          <w:sz w:val="24"/>
          <w:szCs w:val="24"/>
        </w:rPr>
        <w:t xml:space="preserve">Pronunciamiento  </w:t>
      </w:r>
    </w:p>
    <w:p w:rsidR="0052413A" w:rsidRPr="00825EF7" w:rsidRDefault="0052413A" w:rsidP="00D553B2">
      <w:pPr>
        <w:spacing w:after="0" w:line="240" w:lineRule="auto"/>
        <w:jc w:val="both"/>
        <w:rPr>
          <w:rFonts w:ascii="Times New Roman" w:hAnsi="Times New Roman" w:cs="Times New Roman"/>
          <w:sz w:val="24"/>
          <w:szCs w:val="24"/>
        </w:rPr>
      </w:pPr>
    </w:p>
    <w:p w:rsidR="002D20CE" w:rsidRDefault="009C56EB" w:rsidP="00877895">
      <w:pPr>
        <w:widowControl w:val="0"/>
        <w:tabs>
          <w:tab w:val="left" w:pos="3969"/>
        </w:tabs>
        <w:spacing w:line="240" w:lineRule="auto"/>
        <w:contextualSpacing/>
        <w:jc w:val="both"/>
        <w:rPr>
          <w:rFonts w:ascii="Times New Roman" w:hAnsi="Times New Roman"/>
          <w:sz w:val="24"/>
          <w:szCs w:val="24"/>
        </w:rPr>
      </w:pPr>
      <w:r>
        <w:rPr>
          <w:rFonts w:ascii="Times New Roman" w:hAnsi="Times New Roman"/>
          <w:sz w:val="24"/>
          <w:szCs w:val="24"/>
        </w:rPr>
        <w:t>E</w:t>
      </w:r>
      <w:r w:rsidR="00877895">
        <w:rPr>
          <w:rFonts w:ascii="Times New Roman" w:hAnsi="Times New Roman"/>
          <w:sz w:val="24"/>
          <w:szCs w:val="24"/>
        </w:rPr>
        <w:t>n el Formato del Resumen Ejecutivo se señala que la única fuente utilizada en el estudio de posibilidades que ofrece el mercado fueron las cotizaciones recibidas</w:t>
      </w:r>
      <w:r>
        <w:rPr>
          <w:rFonts w:ascii="Times New Roman" w:hAnsi="Times New Roman"/>
          <w:sz w:val="24"/>
          <w:szCs w:val="24"/>
        </w:rPr>
        <w:t xml:space="preserve">, dado </w:t>
      </w:r>
      <w:r w:rsidR="00B2378C">
        <w:rPr>
          <w:rFonts w:ascii="Times New Roman" w:hAnsi="Times New Roman"/>
          <w:sz w:val="24"/>
          <w:szCs w:val="24"/>
        </w:rPr>
        <w:t xml:space="preserve">que </w:t>
      </w:r>
      <w:r w:rsidR="00BC78F4">
        <w:rPr>
          <w:rFonts w:ascii="Times New Roman" w:hAnsi="Times New Roman"/>
          <w:sz w:val="24"/>
          <w:szCs w:val="24"/>
        </w:rPr>
        <w:t>no</w:t>
      </w:r>
      <w:r>
        <w:rPr>
          <w:rFonts w:ascii="Times New Roman" w:hAnsi="Times New Roman"/>
          <w:sz w:val="24"/>
          <w:szCs w:val="24"/>
        </w:rPr>
        <w:t xml:space="preserve"> se han identificado procesos iguales o similares convocados por otras entidades públicas ya que las características particulares y condiciones del presente requerimiento están orientadas exclusivamente a una necesidad en particular.</w:t>
      </w:r>
    </w:p>
    <w:p w:rsidR="00466D13" w:rsidRDefault="00466D13" w:rsidP="00877895">
      <w:pPr>
        <w:widowControl w:val="0"/>
        <w:tabs>
          <w:tab w:val="left" w:pos="3969"/>
        </w:tabs>
        <w:spacing w:line="240" w:lineRule="auto"/>
        <w:contextualSpacing/>
        <w:jc w:val="both"/>
        <w:rPr>
          <w:rFonts w:ascii="Times New Roman" w:hAnsi="Times New Roman"/>
          <w:sz w:val="24"/>
          <w:szCs w:val="24"/>
        </w:rPr>
      </w:pPr>
    </w:p>
    <w:p w:rsidR="00466D13" w:rsidRPr="00877895" w:rsidRDefault="00466D13" w:rsidP="00877895">
      <w:pPr>
        <w:widowControl w:val="0"/>
        <w:tabs>
          <w:tab w:val="left" w:pos="3969"/>
        </w:tabs>
        <w:spacing w:line="240" w:lineRule="auto"/>
        <w:contextualSpacing/>
        <w:jc w:val="both"/>
        <w:rPr>
          <w:rFonts w:ascii="Times New Roman" w:hAnsi="Times New Roman"/>
          <w:sz w:val="24"/>
          <w:szCs w:val="24"/>
        </w:rPr>
      </w:pPr>
      <w:r>
        <w:rPr>
          <w:rFonts w:ascii="Times New Roman" w:hAnsi="Times New Roman"/>
          <w:sz w:val="24"/>
          <w:szCs w:val="24"/>
        </w:rPr>
        <w:t xml:space="preserve">Por su parte, de la revisión del “Formato de Cuadro Comparativo” se advierte que las cotizaciones </w:t>
      </w:r>
      <w:r w:rsidR="00B2378C">
        <w:rPr>
          <w:rFonts w:ascii="Times New Roman" w:hAnsi="Times New Roman"/>
          <w:sz w:val="24"/>
          <w:szCs w:val="24"/>
        </w:rPr>
        <w:t>recibidas fueron</w:t>
      </w:r>
      <w:r>
        <w:rPr>
          <w:rFonts w:ascii="Times New Roman" w:hAnsi="Times New Roman"/>
          <w:sz w:val="24"/>
          <w:szCs w:val="24"/>
        </w:rPr>
        <w:t xml:space="preserve"> las siguientes:</w:t>
      </w:r>
    </w:p>
    <w:p w:rsidR="002D20CE" w:rsidRPr="00877895" w:rsidRDefault="00B2378C" w:rsidP="00D553B2">
      <w:pPr>
        <w:tabs>
          <w:tab w:val="left" w:pos="8504"/>
        </w:tabs>
        <w:spacing w:after="0" w:line="240" w:lineRule="auto"/>
        <w:ind w:right="-1"/>
        <w:jc w:val="both"/>
        <w:rPr>
          <w:rFonts w:ascii="Times New Roman" w:hAnsi="Times New Roman" w:cs="Times New Roman"/>
          <w:i/>
          <w:sz w:val="24"/>
          <w:szCs w:val="24"/>
          <w:lang w:val="es-ES"/>
        </w:rPr>
      </w:pPr>
      <w:r>
        <w:rPr>
          <w:rFonts w:ascii="Times New Roman" w:hAnsi="Times New Roman" w:cs="Times New Roman"/>
          <w:i/>
          <w:noProof/>
          <w:sz w:val="24"/>
          <w:szCs w:val="24"/>
          <w:lang w:val="es-ES" w:eastAsia="es-ES"/>
        </w:rPr>
        <w:drawing>
          <wp:anchor distT="0" distB="0" distL="114300" distR="114300" simplePos="0" relativeHeight="251659264" behindDoc="0" locked="0" layoutInCell="1" allowOverlap="1">
            <wp:simplePos x="0" y="0"/>
            <wp:positionH relativeFrom="column">
              <wp:posOffset>87630</wp:posOffset>
            </wp:positionH>
            <wp:positionV relativeFrom="paragraph">
              <wp:posOffset>284480</wp:posOffset>
            </wp:positionV>
            <wp:extent cx="5013325" cy="3232785"/>
            <wp:effectExtent l="19050" t="0" r="0" b="0"/>
            <wp:wrapTopAndBottom/>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l="16797" t="7590" r="13994" b="4428"/>
                    <a:stretch>
                      <a:fillRect/>
                    </a:stretch>
                  </pic:blipFill>
                  <pic:spPr bwMode="auto">
                    <a:xfrm>
                      <a:off x="0" y="0"/>
                      <a:ext cx="5013325" cy="3232785"/>
                    </a:xfrm>
                    <a:prstGeom prst="rect">
                      <a:avLst/>
                    </a:prstGeom>
                    <a:noFill/>
                    <a:ln w="9525">
                      <a:noFill/>
                      <a:miter lim="800000"/>
                      <a:headEnd/>
                      <a:tailEnd/>
                    </a:ln>
                  </pic:spPr>
                </pic:pic>
              </a:graphicData>
            </a:graphic>
          </wp:anchor>
        </w:drawing>
      </w:r>
    </w:p>
    <w:p w:rsidR="000E2679" w:rsidRDefault="000E2679" w:rsidP="00D553B2">
      <w:pPr>
        <w:tabs>
          <w:tab w:val="left" w:pos="8504"/>
        </w:tabs>
        <w:spacing w:after="0" w:line="240" w:lineRule="auto"/>
        <w:ind w:right="-1"/>
        <w:jc w:val="both"/>
        <w:rPr>
          <w:rFonts w:ascii="Times New Roman" w:hAnsi="Times New Roman" w:cs="Times New Roman"/>
          <w:sz w:val="24"/>
          <w:szCs w:val="24"/>
        </w:rPr>
      </w:pPr>
    </w:p>
    <w:p w:rsidR="002D20CE" w:rsidRPr="000E2679" w:rsidRDefault="005F785A" w:rsidP="00D553B2">
      <w:pPr>
        <w:tabs>
          <w:tab w:val="left" w:pos="8504"/>
        </w:tabs>
        <w:spacing w:after="0" w:line="240" w:lineRule="auto"/>
        <w:ind w:right="-1"/>
        <w:jc w:val="both"/>
        <w:rPr>
          <w:rFonts w:ascii="Times New Roman" w:hAnsi="Times New Roman" w:cs="Times New Roman"/>
          <w:sz w:val="24"/>
          <w:szCs w:val="24"/>
        </w:rPr>
      </w:pPr>
      <w:r w:rsidRPr="005F785A">
        <w:rPr>
          <w:rFonts w:ascii="Times New Roman" w:hAnsi="Times New Roman" w:cs="Times New Roman"/>
          <w:sz w:val="24"/>
          <w:szCs w:val="24"/>
        </w:rPr>
        <w:t>Es el caso que en el pliego absolutorio de consultas y observaciones, el Comité Especial ha señalado lo siguiente:</w:t>
      </w:r>
    </w:p>
    <w:p w:rsidR="002D20CE" w:rsidRDefault="005F785A" w:rsidP="00D612B1">
      <w:pPr>
        <w:tabs>
          <w:tab w:val="left" w:pos="8504"/>
        </w:tabs>
        <w:spacing w:after="0" w:line="240" w:lineRule="auto"/>
        <w:ind w:left="708" w:right="-1"/>
        <w:jc w:val="both"/>
        <w:rPr>
          <w:rFonts w:ascii="Times New Roman" w:hAnsi="Times New Roman" w:cs="Times New Roman"/>
          <w:i/>
          <w:sz w:val="24"/>
          <w:szCs w:val="24"/>
        </w:rPr>
      </w:pPr>
      <w:r>
        <w:rPr>
          <w:rFonts w:ascii="Times New Roman" w:hAnsi="Times New Roman" w:cs="Times New Roman"/>
          <w:i/>
          <w:sz w:val="24"/>
          <w:szCs w:val="24"/>
        </w:rPr>
        <w:lastRenderedPageBreak/>
        <w:t>El postor efectúa cuestionamientos para el subítem Nº 3 y el subítem Nº 4 sobre el cumplimiento de las características técnicas de los bienes objeto de la contratación con las cuales se efectuó el estudio de mercado frente a las características de una presumible marca y modelo y un aparente incumplimiento de las especificaciones técnicas.</w:t>
      </w:r>
    </w:p>
    <w:p w:rsidR="005F785A" w:rsidRDefault="005F785A" w:rsidP="00D612B1">
      <w:pPr>
        <w:tabs>
          <w:tab w:val="left" w:pos="8504"/>
        </w:tabs>
        <w:spacing w:after="0" w:line="240" w:lineRule="auto"/>
        <w:ind w:left="708" w:right="-1"/>
        <w:jc w:val="both"/>
        <w:rPr>
          <w:rFonts w:ascii="Times New Roman" w:hAnsi="Times New Roman" w:cs="Times New Roman"/>
          <w:i/>
          <w:sz w:val="24"/>
          <w:szCs w:val="24"/>
        </w:rPr>
      </w:pPr>
    </w:p>
    <w:p w:rsidR="005F785A" w:rsidRPr="00577B6C" w:rsidRDefault="005F785A" w:rsidP="00D612B1">
      <w:pPr>
        <w:tabs>
          <w:tab w:val="left" w:pos="8504"/>
        </w:tabs>
        <w:spacing w:after="0" w:line="240" w:lineRule="auto"/>
        <w:ind w:left="708" w:right="-1"/>
        <w:jc w:val="both"/>
        <w:rPr>
          <w:rFonts w:ascii="Times New Roman" w:hAnsi="Times New Roman" w:cs="Times New Roman"/>
          <w:i/>
          <w:sz w:val="24"/>
          <w:szCs w:val="24"/>
        </w:rPr>
      </w:pPr>
      <w:r>
        <w:rPr>
          <w:rFonts w:ascii="Times New Roman" w:hAnsi="Times New Roman" w:cs="Times New Roman"/>
          <w:i/>
          <w:sz w:val="24"/>
          <w:szCs w:val="24"/>
        </w:rPr>
        <w:t xml:space="preserve">Al respecto, se indica que </w:t>
      </w:r>
      <w:r w:rsidRPr="00577B6C">
        <w:rPr>
          <w:rFonts w:ascii="Times New Roman" w:hAnsi="Times New Roman" w:cs="Times New Roman"/>
          <w:b/>
          <w:i/>
          <w:sz w:val="24"/>
          <w:szCs w:val="24"/>
          <w:u w:val="single"/>
        </w:rPr>
        <w:t xml:space="preserve">el estudio de mercado considera pluralidad de marcas, dentro de las cuales </w:t>
      </w:r>
      <w:r w:rsidR="00D612B1" w:rsidRPr="00577B6C">
        <w:rPr>
          <w:rFonts w:ascii="Times New Roman" w:hAnsi="Times New Roman" w:cs="Times New Roman"/>
          <w:b/>
          <w:i/>
          <w:sz w:val="24"/>
          <w:szCs w:val="24"/>
          <w:u w:val="single"/>
        </w:rPr>
        <w:t>existen</w:t>
      </w:r>
      <w:r w:rsidRPr="00577B6C">
        <w:rPr>
          <w:rFonts w:ascii="Times New Roman" w:hAnsi="Times New Roman" w:cs="Times New Roman"/>
          <w:b/>
          <w:i/>
          <w:sz w:val="24"/>
          <w:szCs w:val="24"/>
          <w:u w:val="single"/>
        </w:rPr>
        <w:t xml:space="preserve"> modelos que cumplen con las características técnicas de los bienes objeto de la contratación </w:t>
      </w:r>
      <w:r w:rsidR="00AE11E3" w:rsidRPr="00577B6C">
        <w:rPr>
          <w:rFonts w:ascii="Times New Roman" w:hAnsi="Times New Roman" w:cs="Times New Roman"/>
          <w:b/>
          <w:i/>
          <w:sz w:val="24"/>
          <w:szCs w:val="24"/>
          <w:u w:val="single"/>
        </w:rPr>
        <w:t>contenidas en las Bases</w:t>
      </w:r>
      <w:r w:rsidR="00AE11E3" w:rsidRPr="00577B6C">
        <w:rPr>
          <w:rFonts w:ascii="Times New Roman" w:hAnsi="Times New Roman" w:cs="Times New Roman"/>
          <w:b/>
          <w:i/>
          <w:sz w:val="24"/>
          <w:szCs w:val="24"/>
        </w:rPr>
        <w:t>.</w:t>
      </w:r>
    </w:p>
    <w:p w:rsidR="00AE11E3" w:rsidRDefault="00AE11E3" w:rsidP="00D612B1">
      <w:pPr>
        <w:tabs>
          <w:tab w:val="left" w:pos="8504"/>
        </w:tabs>
        <w:spacing w:after="0" w:line="240" w:lineRule="auto"/>
        <w:ind w:left="708" w:right="-1"/>
        <w:jc w:val="both"/>
        <w:rPr>
          <w:rFonts w:ascii="Times New Roman" w:hAnsi="Times New Roman" w:cs="Times New Roman"/>
          <w:i/>
          <w:sz w:val="24"/>
          <w:szCs w:val="24"/>
        </w:rPr>
      </w:pPr>
    </w:p>
    <w:p w:rsidR="00AE11E3" w:rsidRDefault="00AE11E3" w:rsidP="00D612B1">
      <w:pPr>
        <w:tabs>
          <w:tab w:val="left" w:pos="8504"/>
        </w:tabs>
        <w:spacing w:after="0" w:line="240" w:lineRule="auto"/>
        <w:ind w:left="708" w:right="-1"/>
        <w:jc w:val="both"/>
        <w:rPr>
          <w:rFonts w:ascii="Times New Roman" w:hAnsi="Times New Roman" w:cs="Times New Roman"/>
          <w:i/>
          <w:sz w:val="24"/>
          <w:szCs w:val="24"/>
        </w:rPr>
      </w:pPr>
      <w:r>
        <w:rPr>
          <w:rFonts w:ascii="Times New Roman" w:hAnsi="Times New Roman" w:cs="Times New Roman"/>
          <w:i/>
          <w:sz w:val="24"/>
          <w:szCs w:val="24"/>
        </w:rPr>
        <w:t xml:space="preserve">Asimismo, se indica que </w:t>
      </w:r>
      <w:r w:rsidRPr="00577B6C">
        <w:rPr>
          <w:rFonts w:ascii="Times New Roman" w:hAnsi="Times New Roman" w:cs="Times New Roman"/>
          <w:b/>
          <w:i/>
          <w:sz w:val="24"/>
          <w:szCs w:val="24"/>
          <w:u w:val="single"/>
        </w:rPr>
        <w:t>la División de Servicios de Transporte de la SUNAT, área usuaria generalizadora de los bienes objeto de contratación del presente proceso de selección ha confirmado el cumplimiento de las características técnicas de las cotizaciones para la determinación del valor referencial</w:t>
      </w:r>
      <w:r>
        <w:rPr>
          <w:rFonts w:ascii="Times New Roman" w:hAnsi="Times New Roman" w:cs="Times New Roman"/>
          <w:i/>
          <w:sz w:val="24"/>
          <w:szCs w:val="24"/>
        </w:rPr>
        <w:t>.</w:t>
      </w:r>
    </w:p>
    <w:p w:rsidR="00AE11E3" w:rsidRDefault="00AE11E3" w:rsidP="00EF6052">
      <w:pPr>
        <w:tabs>
          <w:tab w:val="left" w:pos="8504"/>
        </w:tabs>
        <w:spacing w:after="0" w:line="240" w:lineRule="auto"/>
        <w:ind w:left="708" w:right="-1"/>
        <w:jc w:val="both"/>
        <w:rPr>
          <w:rFonts w:ascii="Times New Roman" w:hAnsi="Times New Roman" w:cs="Times New Roman"/>
          <w:i/>
          <w:sz w:val="24"/>
          <w:szCs w:val="24"/>
        </w:rPr>
      </w:pPr>
      <w:r>
        <w:rPr>
          <w:rFonts w:ascii="Times New Roman" w:hAnsi="Times New Roman" w:cs="Times New Roman"/>
          <w:i/>
          <w:sz w:val="24"/>
          <w:szCs w:val="24"/>
        </w:rPr>
        <w:t>Finalmente es responsabilidad de los postores que los bienes a ofertar cumplan con las características técnicas solicitadas en las especificaciones técnicas, condición que se evaluará en la etapa correspondiente dentro del proceso de selección.</w:t>
      </w:r>
    </w:p>
    <w:p w:rsidR="002D20CE" w:rsidRDefault="00AE11E3" w:rsidP="00BB39C1">
      <w:pPr>
        <w:tabs>
          <w:tab w:val="left" w:pos="8504"/>
        </w:tabs>
        <w:spacing w:after="0" w:line="240" w:lineRule="auto"/>
        <w:ind w:left="708" w:right="-1"/>
        <w:jc w:val="both"/>
        <w:rPr>
          <w:rFonts w:ascii="Times New Roman" w:hAnsi="Times New Roman" w:cs="Times New Roman"/>
          <w:i/>
          <w:sz w:val="24"/>
          <w:szCs w:val="24"/>
        </w:rPr>
      </w:pPr>
      <w:r>
        <w:rPr>
          <w:rFonts w:ascii="Times New Roman" w:hAnsi="Times New Roman" w:cs="Times New Roman"/>
          <w:i/>
          <w:sz w:val="24"/>
          <w:szCs w:val="24"/>
        </w:rPr>
        <w:t>En ese sentido, no se acoge la observación efectuada por el participante.</w:t>
      </w:r>
    </w:p>
    <w:p w:rsidR="002D20CE" w:rsidRDefault="00052299" w:rsidP="00D553B2">
      <w:pPr>
        <w:tabs>
          <w:tab w:val="left" w:pos="8504"/>
        </w:tabs>
        <w:spacing w:after="0" w:line="240" w:lineRule="auto"/>
        <w:ind w:right="-1"/>
        <w:jc w:val="both"/>
        <w:rPr>
          <w:rFonts w:ascii="Times New Roman" w:hAnsi="Times New Roman" w:cs="Times New Roman"/>
          <w:sz w:val="24"/>
          <w:szCs w:val="24"/>
        </w:rPr>
      </w:pPr>
      <w:r>
        <w:rPr>
          <w:rFonts w:ascii="Times New Roman" w:hAnsi="Times New Roman" w:cs="Times New Roman"/>
          <w:i/>
          <w:sz w:val="24"/>
          <w:szCs w:val="24"/>
        </w:rPr>
        <w:t xml:space="preserve">            </w:t>
      </w:r>
      <w:r w:rsidRPr="00052299">
        <w:rPr>
          <w:rFonts w:ascii="Times New Roman" w:hAnsi="Times New Roman" w:cs="Times New Roman"/>
          <w:sz w:val="24"/>
          <w:szCs w:val="24"/>
        </w:rPr>
        <w:t xml:space="preserve">(El resaltado y subrayado es agregado). </w:t>
      </w:r>
    </w:p>
    <w:p w:rsidR="00052299" w:rsidRPr="00052299" w:rsidRDefault="00052299" w:rsidP="00D553B2">
      <w:pPr>
        <w:tabs>
          <w:tab w:val="left" w:pos="8504"/>
        </w:tabs>
        <w:spacing w:after="0" w:line="240" w:lineRule="auto"/>
        <w:ind w:right="-1"/>
        <w:jc w:val="both"/>
        <w:rPr>
          <w:rFonts w:ascii="Times New Roman" w:hAnsi="Times New Roman" w:cs="Times New Roman"/>
          <w:sz w:val="24"/>
          <w:szCs w:val="24"/>
        </w:rPr>
      </w:pPr>
    </w:p>
    <w:p w:rsidR="00BE0BB9" w:rsidRPr="00825EF7" w:rsidRDefault="006409CD" w:rsidP="00D553B2">
      <w:pPr>
        <w:spacing w:after="0" w:line="240" w:lineRule="auto"/>
        <w:jc w:val="both"/>
        <w:rPr>
          <w:rFonts w:ascii="Times New Roman" w:hAnsi="Times New Roman" w:cs="Times New Roman"/>
          <w:sz w:val="24"/>
          <w:szCs w:val="24"/>
        </w:rPr>
      </w:pPr>
      <w:r w:rsidRPr="00825EF7">
        <w:rPr>
          <w:rFonts w:ascii="Times New Roman" w:hAnsi="Times New Roman" w:cs="Times New Roman"/>
          <w:sz w:val="24"/>
          <w:szCs w:val="24"/>
        </w:rPr>
        <w:t xml:space="preserve">Asimismo, en el </w:t>
      </w:r>
      <w:r w:rsidR="00C37132" w:rsidRPr="00825EF7">
        <w:rPr>
          <w:rFonts w:ascii="Times New Roman" w:hAnsi="Times New Roman" w:cs="Times New Roman"/>
          <w:sz w:val="24"/>
          <w:szCs w:val="24"/>
        </w:rPr>
        <w:t>Inform</w:t>
      </w:r>
      <w:r w:rsidRPr="00825EF7">
        <w:rPr>
          <w:rFonts w:ascii="Times New Roman" w:hAnsi="Times New Roman" w:cs="Times New Roman"/>
          <w:sz w:val="24"/>
          <w:szCs w:val="24"/>
        </w:rPr>
        <w:t xml:space="preserve">e </w:t>
      </w:r>
      <w:r w:rsidR="00C37132">
        <w:rPr>
          <w:rFonts w:ascii="Times New Roman" w:hAnsi="Times New Roman" w:cs="Times New Roman"/>
          <w:sz w:val="24"/>
          <w:szCs w:val="24"/>
        </w:rPr>
        <w:t>del Comité Especial</w:t>
      </w:r>
      <w:r w:rsidRPr="00825EF7">
        <w:rPr>
          <w:rFonts w:ascii="Times New Roman" w:hAnsi="Times New Roman" w:cs="Times New Roman"/>
          <w:sz w:val="24"/>
          <w:szCs w:val="24"/>
        </w:rPr>
        <w:t xml:space="preserve">, remitido con ocasión de la elevación de observaciones, agregó: </w:t>
      </w:r>
    </w:p>
    <w:p w:rsidR="00BE0BB9" w:rsidRPr="00825EF7" w:rsidRDefault="00BE0BB9" w:rsidP="00D553B2">
      <w:pPr>
        <w:spacing w:after="0" w:line="240" w:lineRule="auto"/>
        <w:jc w:val="both"/>
        <w:rPr>
          <w:rFonts w:ascii="Times New Roman" w:hAnsi="Times New Roman" w:cs="Times New Roman"/>
          <w:sz w:val="24"/>
          <w:szCs w:val="24"/>
        </w:rPr>
      </w:pPr>
    </w:p>
    <w:p w:rsidR="0052413A" w:rsidRDefault="00577B6C" w:rsidP="00D553B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B39C1" w:rsidRPr="00BB39C1">
        <w:rPr>
          <w:rFonts w:ascii="Times New Roman" w:hAnsi="Times New Roman" w:cs="Times New Roman"/>
          <w:sz w:val="24"/>
          <w:szCs w:val="24"/>
        </w:rPr>
        <w:t>[…]</w:t>
      </w:r>
    </w:p>
    <w:p w:rsidR="00BB39C1" w:rsidRDefault="00BB39C1" w:rsidP="00BC1F33">
      <w:pPr>
        <w:spacing w:after="0" w:line="240" w:lineRule="auto"/>
        <w:ind w:left="708"/>
        <w:jc w:val="both"/>
        <w:rPr>
          <w:rFonts w:ascii="Times New Roman" w:hAnsi="Times New Roman" w:cs="Times New Roman"/>
          <w:i/>
          <w:sz w:val="24"/>
          <w:szCs w:val="24"/>
        </w:rPr>
      </w:pPr>
      <w:r w:rsidRPr="00BC1F33">
        <w:rPr>
          <w:rFonts w:ascii="Times New Roman" w:hAnsi="Times New Roman" w:cs="Times New Roman"/>
          <w:i/>
          <w:sz w:val="24"/>
          <w:szCs w:val="24"/>
        </w:rPr>
        <w:t>Subítem Nº 3</w:t>
      </w:r>
    </w:p>
    <w:p w:rsidR="00C37132" w:rsidRPr="00BC1F33" w:rsidRDefault="00C37132" w:rsidP="00BC1F33">
      <w:pPr>
        <w:spacing w:after="0" w:line="240" w:lineRule="auto"/>
        <w:ind w:left="708"/>
        <w:jc w:val="both"/>
        <w:rPr>
          <w:rFonts w:ascii="Times New Roman" w:hAnsi="Times New Roman" w:cs="Times New Roman"/>
          <w:i/>
          <w:sz w:val="24"/>
          <w:szCs w:val="24"/>
        </w:rPr>
      </w:pPr>
    </w:p>
    <w:p w:rsidR="00BB39C1" w:rsidRDefault="00BB39C1" w:rsidP="00BC1F33">
      <w:pPr>
        <w:pStyle w:val="Prrafodelista"/>
        <w:numPr>
          <w:ilvl w:val="0"/>
          <w:numId w:val="14"/>
        </w:numPr>
        <w:jc w:val="both"/>
        <w:rPr>
          <w:i/>
          <w:sz w:val="24"/>
          <w:szCs w:val="24"/>
        </w:rPr>
      </w:pPr>
      <w:r w:rsidRPr="00BC1F33">
        <w:rPr>
          <w:i/>
          <w:sz w:val="24"/>
          <w:szCs w:val="24"/>
        </w:rPr>
        <w:t>Respecto a la observación de llantas con características 75 % pista y 25 % fuera de carretera, como área técnica se señala que de darse el caso esa característica, sí cumple con nuestro requerimiento, porque cuenta con el mayor porcentaje para recorrido de pista – pistera.</w:t>
      </w:r>
    </w:p>
    <w:p w:rsidR="00C37132" w:rsidRPr="00BC1F33" w:rsidRDefault="00C37132" w:rsidP="00C37132">
      <w:pPr>
        <w:pStyle w:val="Prrafodelista"/>
        <w:ind w:left="1068"/>
        <w:jc w:val="both"/>
        <w:rPr>
          <w:i/>
          <w:sz w:val="24"/>
          <w:szCs w:val="24"/>
        </w:rPr>
      </w:pPr>
    </w:p>
    <w:p w:rsidR="00BB39C1" w:rsidRDefault="00BB39C1" w:rsidP="00BC1F33">
      <w:pPr>
        <w:pStyle w:val="Prrafodelista"/>
        <w:numPr>
          <w:ilvl w:val="0"/>
          <w:numId w:val="14"/>
        </w:numPr>
        <w:jc w:val="both"/>
        <w:rPr>
          <w:i/>
          <w:sz w:val="24"/>
          <w:szCs w:val="24"/>
        </w:rPr>
      </w:pPr>
      <w:r w:rsidRPr="00BC1F33">
        <w:rPr>
          <w:i/>
          <w:sz w:val="24"/>
          <w:szCs w:val="24"/>
        </w:rPr>
        <w:t xml:space="preserve">Nuestro requerimiento del subítem </w:t>
      </w:r>
      <w:r w:rsidR="00BC1F33" w:rsidRPr="00BC1F33">
        <w:rPr>
          <w:i/>
          <w:sz w:val="24"/>
          <w:szCs w:val="24"/>
        </w:rPr>
        <w:t>1.3 en las EETT contempla esa situación, porque no existe ninguna denominación que se requiera 100% pistera, con la finalidad de contar con mayor pluralidad de postores y marcas.</w:t>
      </w:r>
    </w:p>
    <w:p w:rsidR="00C37132" w:rsidRPr="00BC1F33" w:rsidRDefault="00C37132" w:rsidP="00C37132">
      <w:pPr>
        <w:pStyle w:val="Prrafodelista"/>
        <w:ind w:left="1068"/>
        <w:jc w:val="both"/>
        <w:rPr>
          <w:i/>
          <w:sz w:val="24"/>
          <w:szCs w:val="24"/>
        </w:rPr>
      </w:pPr>
    </w:p>
    <w:p w:rsidR="00BC1F33" w:rsidRDefault="00BC1F33" w:rsidP="00BC1F33">
      <w:pPr>
        <w:pStyle w:val="Prrafodelista"/>
        <w:numPr>
          <w:ilvl w:val="0"/>
          <w:numId w:val="14"/>
        </w:numPr>
        <w:jc w:val="both"/>
        <w:rPr>
          <w:i/>
          <w:sz w:val="24"/>
          <w:szCs w:val="24"/>
        </w:rPr>
      </w:pPr>
      <w:r w:rsidRPr="00BC1F33">
        <w:rPr>
          <w:i/>
          <w:sz w:val="24"/>
          <w:szCs w:val="24"/>
        </w:rPr>
        <w:t>Asimismo, se señala que las presentaciones 75% pista y 25% fuera de carretera, son presentaciones de algunas marcas; y por el tipo de cocada que tienen estos neumáticos asientan correctamente como pistera.</w:t>
      </w:r>
    </w:p>
    <w:p w:rsidR="00C37132" w:rsidRPr="00BC1F33" w:rsidRDefault="00C37132" w:rsidP="00C37132">
      <w:pPr>
        <w:pStyle w:val="Prrafodelista"/>
        <w:ind w:left="1068"/>
        <w:jc w:val="both"/>
        <w:rPr>
          <w:i/>
          <w:sz w:val="24"/>
          <w:szCs w:val="24"/>
        </w:rPr>
      </w:pPr>
    </w:p>
    <w:p w:rsidR="00C37132" w:rsidRPr="00BC1F33" w:rsidRDefault="00C37132" w:rsidP="00C37132">
      <w:pPr>
        <w:pStyle w:val="Prrafodelista"/>
        <w:ind w:left="1068"/>
        <w:jc w:val="both"/>
        <w:rPr>
          <w:i/>
          <w:sz w:val="24"/>
          <w:szCs w:val="24"/>
        </w:rPr>
      </w:pPr>
    </w:p>
    <w:p w:rsidR="00BC1F33" w:rsidRDefault="00BC1F33" w:rsidP="00BC1F33">
      <w:pPr>
        <w:pStyle w:val="Prrafodelista"/>
        <w:numPr>
          <w:ilvl w:val="0"/>
          <w:numId w:val="14"/>
        </w:numPr>
        <w:jc w:val="both"/>
        <w:rPr>
          <w:i/>
          <w:sz w:val="24"/>
          <w:szCs w:val="24"/>
        </w:rPr>
      </w:pPr>
      <w:r w:rsidRPr="00BC1F33">
        <w:rPr>
          <w:i/>
          <w:sz w:val="24"/>
          <w:szCs w:val="24"/>
        </w:rPr>
        <w:t>Respecto a los índices de velocidad que se observa para este ítem se señala que índice de velocidad S = 180 km/h y T= 190 km/h. cumplen técnicamente con nuestro requerimiento que se calificó de esa manera con la finalidad de que exista mayor pluralidad de postores y marcas.</w:t>
      </w:r>
    </w:p>
    <w:p w:rsidR="00F71B29" w:rsidRDefault="00F71B29" w:rsidP="00F71B29">
      <w:pPr>
        <w:pStyle w:val="Prrafodelista"/>
        <w:ind w:left="1068"/>
        <w:jc w:val="both"/>
        <w:rPr>
          <w:i/>
          <w:sz w:val="24"/>
          <w:szCs w:val="24"/>
        </w:rPr>
      </w:pPr>
    </w:p>
    <w:p w:rsidR="00F71B29" w:rsidRPr="00F71B29" w:rsidRDefault="00F71B29" w:rsidP="00F71B29">
      <w:pPr>
        <w:ind w:left="708"/>
        <w:jc w:val="both"/>
        <w:rPr>
          <w:rFonts w:ascii="Times New Roman" w:hAnsi="Times New Roman" w:cs="Times New Roman"/>
          <w:i/>
          <w:sz w:val="24"/>
          <w:szCs w:val="24"/>
        </w:rPr>
      </w:pPr>
      <w:r w:rsidRPr="00F71B29">
        <w:rPr>
          <w:rFonts w:ascii="Times New Roman" w:hAnsi="Times New Roman" w:cs="Times New Roman"/>
          <w:i/>
          <w:sz w:val="24"/>
          <w:szCs w:val="24"/>
        </w:rPr>
        <w:lastRenderedPageBreak/>
        <w:t>Subítem Nº 4</w:t>
      </w:r>
    </w:p>
    <w:p w:rsidR="00F71B29" w:rsidRDefault="00F71B29" w:rsidP="00C37132">
      <w:pPr>
        <w:pStyle w:val="Prrafodelista"/>
        <w:numPr>
          <w:ilvl w:val="0"/>
          <w:numId w:val="19"/>
        </w:numPr>
        <w:tabs>
          <w:tab w:val="left" w:pos="284"/>
        </w:tabs>
        <w:jc w:val="both"/>
        <w:rPr>
          <w:i/>
          <w:sz w:val="24"/>
          <w:szCs w:val="24"/>
        </w:rPr>
      </w:pPr>
      <w:r w:rsidRPr="00C37132">
        <w:rPr>
          <w:i/>
          <w:sz w:val="24"/>
          <w:szCs w:val="24"/>
        </w:rPr>
        <w:t>Respecto a la observación de que la cotización de la empresa JCH habría presentado el tipo de llanta marca Dunlop modelo Grandtre AT3 con un índice de carga de 111 y que en este ítem, lo presentado por la empresa JCH cumple técnicamente con nuestro requerimiento que oferta el modelo TAKO, que corroborado en la página de la web, tiene un índice de carga 115 y cumple con las otras características señaladas en las EETT. En ese sentido, también consideramos que existe pluralidad de postores y marcas.</w:t>
      </w:r>
    </w:p>
    <w:p w:rsidR="00C37132" w:rsidRPr="00C37132" w:rsidRDefault="00C37132" w:rsidP="00C37132">
      <w:pPr>
        <w:pStyle w:val="Prrafodelista"/>
        <w:tabs>
          <w:tab w:val="left" w:pos="284"/>
        </w:tabs>
        <w:ind w:left="1068"/>
        <w:jc w:val="both"/>
        <w:rPr>
          <w:i/>
          <w:sz w:val="24"/>
          <w:szCs w:val="24"/>
        </w:rPr>
      </w:pPr>
    </w:p>
    <w:p w:rsidR="00C37132" w:rsidRDefault="00F71B29" w:rsidP="00C37132">
      <w:pPr>
        <w:pStyle w:val="Prrafodelista"/>
        <w:numPr>
          <w:ilvl w:val="0"/>
          <w:numId w:val="19"/>
        </w:numPr>
        <w:tabs>
          <w:tab w:val="left" w:pos="284"/>
        </w:tabs>
        <w:jc w:val="both"/>
        <w:rPr>
          <w:i/>
          <w:sz w:val="24"/>
          <w:szCs w:val="24"/>
        </w:rPr>
      </w:pPr>
      <w:r w:rsidRPr="00F71B29">
        <w:rPr>
          <w:i/>
          <w:sz w:val="24"/>
          <w:szCs w:val="24"/>
        </w:rPr>
        <w:t xml:space="preserve">De la misma </w:t>
      </w:r>
      <w:r w:rsidR="00577B6C">
        <w:rPr>
          <w:i/>
          <w:sz w:val="24"/>
          <w:szCs w:val="24"/>
        </w:rPr>
        <w:t>forma se evaluó la cotización de la empresa CASOLI en el subítem 1.4 y cumplía con todas las características de la llanta solicitada pero que fue descalificado en el plazo de entrega de llantas después de suscrito el contrato a 120 calendarios (4 meses).</w:t>
      </w:r>
    </w:p>
    <w:p w:rsidR="00C37132" w:rsidRPr="00C37132" w:rsidRDefault="00C37132" w:rsidP="00C37132">
      <w:pPr>
        <w:pStyle w:val="Prrafodelista"/>
        <w:ind w:left="1068"/>
        <w:jc w:val="both"/>
        <w:rPr>
          <w:i/>
          <w:sz w:val="24"/>
          <w:szCs w:val="24"/>
        </w:rPr>
      </w:pPr>
    </w:p>
    <w:p w:rsidR="00C37132" w:rsidRDefault="00577B6C" w:rsidP="00C37132">
      <w:pPr>
        <w:pStyle w:val="Prrafodelista"/>
        <w:numPr>
          <w:ilvl w:val="0"/>
          <w:numId w:val="19"/>
        </w:numPr>
        <w:tabs>
          <w:tab w:val="left" w:pos="284"/>
        </w:tabs>
        <w:jc w:val="both"/>
        <w:rPr>
          <w:i/>
          <w:sz w:val="24"/>
          <w:szCs w:val="24"/>
        </w:rPr>
      </w:pPr>
      <w:r>
        <w:rPr>
          <w:i/>
          <w:sz w:val="24"/>
          <w:szCs w:val="24"/>
        </w:rPr>
        <w:t>También es importante señalar que las cotizaciones que forman parte del resumen ejecutivo, las empresas consultadas mediante el formato modelo presentado por la Entidad declararon que cumplen técnicamente con las características solicitadas, lo que también se tomó en cuenta para nuestra evaluación.</w:t>
      </w:r>
    </w:p>
    <w:p w:rsidR="00C37132" w:rsidRPr="00C37132" w:rsidRDefault="00C37132" w:rsidP="00C37132">
      <w:pPr>
        <w:pStyle w:val="Prrafodelista"/>
        <w:ind w:left="1068"/>
        <w:jc w:val="both"/>
        <w:rPr>
          <w:i/>
          <w:sz w:val="24"/>
          <w:szCs w:val="24"/>
        </w:rPr>
      </w:pPr>
    </w:p>
    <w:p w:rsidR="00E71F49" w:rsidRPr="00E71F49" w:rsidRDefault="00E71F49" w:rsidP="00615A5E">
      <w:pPr>
        <w:pStyle w:val="WW-Sangra3detindependiente"/>
        <w:suppressAutoHyphens w:val="0"/>
        <w:ind w:left="1"/>
        <w:rPr>
          <w:szCs w:val="24"/>
        </w:rPr>
      </w:pPr>
      <w:r w:rsidRPr="00E71F49">
        <w:rPr>
          <w:szCs w:val="24"/>
        </w:rPr>
        <w:t xml:space="preserve">Al respecto, de acuerdo con el artículo 27 de la Ley, concordado con el artículo 13 del Reglamento, </w:t>
      </w:r>
      <w:r w:rsidRPr="00E71F49">
        <w:rPr>
          <w:szCs w:val="24"/>
          <w:u w:val="single"/>
        </w:rPr>
        <w:t>la definición del valor referencial es facultad de la Entidad, el cual será determinado sobre la base de un estudio de las posibilidades y condiciones que ofrece el mercado</w:t>
      </w:r>
      <w:r w:rsidRPr="00E71F49">
        <w:rPr>
          <w:szCs w:val="24"/>
        </w:rPr>
        <w:t>.</w:t>
      </w:r>
    </w:p>
    <w:p w:rsidR="00615A5E" w:rsidRDefault="00615A5E" w:rsidP="00615A5E">
      <w:pPr>
        <w:widowControl w:val="0"/>
        <w:spacing w:after="0" w:line="240" w:lineRule="auto"/>
        <w:jc w:val="both"/>
        <w:rPr>
          <w:sz w:val="24"/>
          <w:szCs w:val="24"/>
          <w:lang w:val="es-ES_tradnl"/>
        </w:rPr>
      </w:pPr>
    </w:p>
    <w:p w:rsidR="00E71F49" w:rsidRPr="00E71F49" w:rsidRDefault="00E71F49" w:rsidP="00615A5E">
      <w:pPr>
        <w:widowControl w:val="0"/>
        <w:spacing w:after="0" w:line="240" w:lineRule="auto"/>
        <w:jc w:val="both"/>
        <w:rPr>
          <w:rFonts w:ascii="Times New Roman" w:hAnsi="Times New Roman" w:cs="Times New Roman"/>
          <w:sz w:val="24"/>
          <w:szCs w:val="24"/>
        </w:rPr>
      </w:pPr>
      <w:r w:rsidRPr="00E71F49">
        <w:rPr>
          <w:rFonts w:ascii="Times New Roman" w:hAnsi="Times New Roman" w:cs="Times New Roman"/>
          <w:sz w:val="24"/>
          <w:szCs w:val="24"/>
        </w:rPr>
        <w:t xml:space="preserve">Adicionalmente a ello, cabe señalar que de acuerdo a lo indicado en el artículo 12 del Reglamento, a efectos de establecer el valor referencial, el estudio de posibilidades que ofrece el mercado tomará en cuenta los presupuestos o cotizaciones actualizados, </w:t>
      </w:r>
      <w:r w:rsidRPr="00E71F49">
        <w:rPr>
          <w:rFonts w:ascii="Times New Roman" w:hAnsi="Times New Roman" w:cs="Times New Roman"/>
          <w:sz w:val="24"/>
          <w:szCs w:val="24"/>
          <w:u w:val="single"/>
        </w:rPr>
        <w:t>los que deberán provenir de personas naturales o jurídicas que se dediquen a actividades materia de la convocatoria, a través de portales y/o páginas web, catálogos, entre otros, debiendo emplearse como mínimo dos (2) fuentes</w:t>
      </w:r>
      <w:r w:rsidRPr="00E71F49">
        <w:rPr>
          <w:rFonts w:ascii="Times New Roman" w:hAnsi="Times New Roman" w:cs="Times New Roman"/>
          <w:sz w:val="24"/>
          <w:szCs w:val="24"/>
        </w:rPr>
        <w:t>.</w:t>
      </w:r>
    </w:p>
    <w:p w:rsidR="00E71F49" w:rsidRPr="00E71F49" w:rsidRDefault="00E71F49" w:rsidP="00615A5E">
      <w:pPr>
        <w:widowControl w:val="0"/>
        <w:spacing w:after="0" w:line="240" w:lineRule="auto"/>
        <w:jc w:val="both"/>
        <w:rPr>
          <w:rFonts w:ascii="Times New Roman" w:hAnsi="Times New Roman" w:cs="Times New Roman"/>
          <w:sz w:val="24"/>
          <w:szCs w:val="24"/>
        </w:rPr>
      </w:pPr>
    </w:p>
    <w:p w:rsidR="00E71F49" w:rsidRDefault="00E71F49" w:rsidP="00615A5E">
      <w:pPr>
        <w:widowControl w:val="0"/>
        <w:spacing w:after="0" w:line="240" w:lineRule="auto"/>
        <w:jc w:val="both"/>
        <w:rPr>
          <w:rFonts w:ascii="Times New Roman" w:hAnsi="Times New Roman" w:cs="Times New Roman"/>
          <w:sz w:val="24"/>
          <w:szCs w:val="24"/>
        </w:rPr>
      </w:pPr>
      <w:r w:rsidRPr="00E71F49">
        <w:rPr>
          <w:rFonts w:ascii="Times New Roman" w:hAnsi="Times New Roman" w:cs="Times New Roman"/>
          <w:sz w:val="24"/>
          <w:szCs w:val="24"/>
        </w:rPr>
        <w:t xml:space="preserve">De acuerdo a lo señalado por la Entidad en el Resumen Ejecutivo, a efectos de determinar el valor referencial del presente proceso se recurrió a más de una (1) fuente; sin embargo, al no encontrar bienes comparables en las fuentes precios históricos y SEACE, optó por determinar el valor referencial en función de la fuente cotizaciones. </w:t>
      </w:r>
    </w:p>
    <w:p w:rsidR="00A7019C" w:rsidRPr="00E71F49" w:rsidRDefault="00A7019C" w:rsidP="00615A5E">
      <w:pPr>
        <w:widowControl w:val="0"/>
        <w:spacing w:after="0" w:line="240" w:lineRule="auto"/>
        <w:jc w:val="both"/>
        <w:rPr>
          <w:rFonts w:ascii="Times New Roman" w:hAnsi="Times New Roman" w:cs="Times New Roman"/>
          <w:sz w:val="24"/>
          <w:szCs w:val="24"/>
        </w:rPr>
      </w:pPr>
    </w:p>
    <w:p w:rsidR="00A83A8E" w:rsidRDefault="00877895" w:rsidP="00A83A8E">
      <w:pPr>
        <w:pStyle w:val="Sinespaciado"/>
        <w:jc w:val="both"/>
        <w:rPr>
          <w:rFonts w:ascii="Times New Roman" w:hAnsi="Times New Roman"/>
          <w:sz w:val="24"/>
          <w:szCs w:val="24"/>
        </w:rPr>
      </w:pPr>
      <w:r>
        <w:rPr>
          <w:rFonts w:ascii="Times New Roman" w:hAnsi="Times New Roman"/>
          <w:sz w:val="24"/>
          <w:szCs w:val="24"/>
        </w:rPr>
        <w:t>Adicionalmente</w:t>
      </w:r>
      <w:r w:rsidR="00A83A8E" w:rsidRPr="00A83A8E">
        <w:rPr>
          <w:rFonts w:ascii="Times New Roman" w:hAnsi="Times New Roman"/>
          <w:sz w:val="24"/>
          <w:szCs w:val="24"/>
        </w:rPr>
        <w:t>, se aprecia que el Comité Especial ratificó los requerimientos técnicos mínimos establecidos, ya que, según afirma, resultarían necesarios para la satisfacción de la necesidad de la Entid</w:t>
      </w:r>
      <w:r>
        <w:rPr>
          <w:rFonts w:ascii="Times New Roman" w:hAnsi="Times New Roman"/>
          <w:sz w:val="24"/>
          <w:szCs w:val="24"/>
        </w:rPr>
        <w:t>ad; señalando además que existe pluralidad de proveedores y marcas en la capacidad de cumplir con ellos.</w:t>
      </w:r>
    </w:p>
    <w:p w:rsidR="00877895" w:rsidRDefault="00877895" w:rsidP="00A83A8E">
      <w:pPr>
        <w:pStyle w:val="Sinespaciado"/>
        <w:jc w:val="both"/>
        <w:rPr>
          <w:rFonts w:ascii="Times New Roman" w:hAnsi="Times New Roman"/>
          <w:sz w:val="24"/>
          <w:szCs w:val="24"/>
        </w:rPr>
      </w:pPr>
    </w:p>
    <w:p w:rsidR="00877895" w:rsidRDefault="00877895" w:rsidP="00A83A8E">
      <w:pPr>
        <w:pStyle w:val="Sinespaciado"/>
        <w:jc w:val="both"/>
        <w:rPr>
          <w:rFonts w:ascii="Times New Roman" w:hAnsi="Times New Roman"/>
          <w:sz w:val="24"/>
          <w:szCs w:val="24"/>
        </w:rPr>
      </w:pPr>
      <w:r>
        <w:rPr>
          <w:rFonts w:ascii="Times New Roman" w:hAnsi="Times New Roman"/>
          <w:sz w:val="24"/>
          <w:szCs w:val="24"/>
        </w:rPr>
        <w:t>No obstante ello, aun cuando la Entidad ha declarado que existe pluralidad de proveedores en la capacidad de cumplir con su requerimiento, el cuadro comparativo registrado no refleja con claridad dicha información, asimismo, se advierte que la “información adicional de la fuente” no ha sido completada en su integridad</w:t>
      </w:r>
      <w:r w:rsidR="004823F5">
        <w:rPr>
          <w:rFonts w:ascii="Times New Roman" w:hAnsi="Times New Roman"/>
          <w:sz w:val="24"/>
          <w:szCs w:val="24"/>
        </w:rPr>
        <w:t>.</w:t>
      </w:r>
    </w:p>
    <w:p w:rsidR="004823F5" w:rsidRPr="004823F5" w:rsidRDefault="004823F5" w:rsidP="00A83A8E">
      <w:pPr>
        <w:pStyle w:val="Sinespaciado"/>
        <w:jc w:val="both"/>
        <w:rPr>
          <w:rFonts w:ascii="Times New Roman" w:hAnsi="Times New Roman"/>
          <w:sz w:val="24"/>
          <w:szCs w:val="24"/>
        </w:rPr>
      </w:pPr>
    </w:p>
    <w:p w:rsidR="00E71F49" w:rsidRPr="00C10888" w:rsidRDefault="004823F5" w:rsidP="004823F5">
      <w:pPr>
        <w:pStyle w:val="Sinespaciado"/>
        <w:jc w:val="both"/>
        <w:rPr>
          <w:rFonts w:ascii="Times New Roman" w:hAnsi="Times New Roman"/>
          <w:sz w:val="24"/>
          <w:szCs w:val="24"/>
        </w:rPr>
      </w:pPr>
      <w:r w:rsidRPr="004823F5">
        <w:rPr>
          <w:rFonts w:ascii="Times New Roman" w:hAnsi="Times New Roman"/>
          <w:sz w:val="24"/>
          <w:szCs w:val="24"/>
        </w:rPr>
        <w:t>Ahora bien, aun cuando se advierten ciertas inconsistencias en la información consignada en el cuadro comparativo, de lo señalado por el participante no es posible advertir una deficiencia sustancial que amerite la nulidad del proceso, conforme lo solicita.</w:t>
      </w:r>
      <w:r w:rsidR="00B2378C">
        <w:rPr>
          <w:rFonts w:ascii="Times New Roman" w:hAnsi="Times New Roman"/>
          <w:sz w:val="24"/>
          <w:szCs w:val="24"/>
        </w:rPr>
        <w:t xml:space="preserve"> </w:t>
      </w:r>
      <w:r w:rsidRPr="00C10888">
        <w:rPr>
          <w:rFonts w:ascii="Times New Roman" w:hAnsi="Times New Roman"/>
          <w:sz w:val="24"/>
          <w:szCs w:val="24"/>
        </w:rPr>
        <w:t xml:space="preserve">Por lo tanto, este Organismo Supervisor </w:t>
      </w:r>
      <w:r w:rsidR="00E71F49" w:rsidRPr="00C10888">
        <w:rPr>
          <w:rFonts w:ascii="Times New Roman" w:hAnsi="Times New Roman"/>
          <w:sz w:val="24"/>
          <w:szCs w:val="24"/>
        </w:rPr>
        <w:t>ha decidido</w:t>
      </w:r>
      <w:r w:rsidR="00E71F49" w:rsidRPr="00C10888">
        <w:rPr>
          <w:rFonts w:ascii="Times New Roman" w:hAnsi="Times New Roman"/>
          <w:b/>
          <w:sz w:val="24"/>
          <w:szCs w:val="24"/>
        </w:rPr>
        <w:t xml:space="preserve"> NO ACOGER</w:t>
      </w:r>
      <w:r w:rsidR="00E71F49" w:rsidRPr="00C10888">
        <w:rPr>
          <w:rFonts w:ascii="Times New Roman" w:hAnsi="Times New Roman"/>
          <w:sz w:val="24"/>
          <w:szCs w:val="24"/>
        </w:rPr>
        <w:t xml:space="preserve"> la presente observación. </w:t>
      </w:r>
    </w:p>
    <w:p w:rsidR="00786F9F" w:rsidRPr="00C10888" w:rsidRDefault="00786F9F" w:rsidP="00D553B2">
      <w:pPr>
        <w:spacing w:after="0" w:line="240" w:lineRule="auto"/>
        <w:jc w:val="both"/>
        <w:rPr>
          <w:rFonts w:ascii="Times New Roman" w:hAnsi="Times New Roman" w:cs="Times New Roman"/>
          <w:sz w:val="24"/>
          <w:szCs w:val="24"/>
          <w:lang w:val="es-ES_tradnl"/>
        </w:rPr>
      </w:pPr>
    </w:p>
    <w:p w:rsidR="00A348E4" w:rsidRPr="00C10888" w:rsidRDefault="00A348E4" w:rsidP="00C10888">
      <w:pPr>
        <w:pStyle w:val="Sinespaciado"/>
        <w:jc w:val="both"/>
        <w:rPr>
          <w:rFonts w:ascii="Times New Roman" w:hAnsi="Times New Roman"/>
          <w:sz w:val="24"/>
          <w:szCs w:val="24"/>
          <w:u w:val="single"/>
        </w:rPr>
      </w:pPr>
      <w:r w:rsidRPr="00C10888">
        <w:rPr>
          <w:rFonts w:ascii="Times New Roman" w:hAnsi="Times New Roman"/>
          <w:sz w:val="24"/>
          <w:szCs w:val="24"/>
        </w:rPr>
        <w:t xml:space="preserve">Sin perjuicio de lo anterior, con motivo de la integración de las Bases, </w:t>
      </w:r>
      <w:r w:rsidRPr="00C10888">
        <w:rPr>
          <w:rFonts w:ascii="Times New Roman" w:hAnsi="Times New Roman"/>
          <w:sz w:val="24"/>
          <w:szCs w:val="24"/>
          <w:u w:val="single"/>
        </w:rPr>
        <w:t>deberá</w:t>
      </w:r>
      <w:r w:rsidR="00C10888" w:rsidRPr="00C10888">
        <w:rPr>
          <w:rFonts w:ascii="Times New Roman" w:hAnsi="Times New Roman"/>
          <w:sz w:val="24"/>
          <w:szCs w:val="24"/>
        </w:rPr>
        <w:t xml:space="preserve"> </w:t>
      </w:r>
      <w:r w:rsidR="00C10888" w:rsidRPr="00C10888">
        <w:rPr>
          <w:rFonts w:ascii="Times New Roman" w:hAnsi="Times New Roman"/>
          <w:sz w:val="24"/>
          <w:szCs w:val="24"/>
          <w:u w:val="single"/>
        </w:rPr>
        <w:t>p</w:t>
      </w:r>
      <w:r w:rsidRPr="00C10888">
        <w:rPr>
          <w:rFonts w:ascii="Times New Roman" w:hAnsi="Times New Roman"/>
          <w:sz w:val="24"/>
          <w:szCs w:val="24"/>
          <w:u w:val="single"/>
        </w:rPr>
        <w:t>ublicarse</w:t>
      </w:r>
      <w:r w:rsidRPr="00C10888">
        <w:rPr>
          <w:rFonts w:ascii="Times New Roman" w:hAnsi="Times New Roman"/>
          <w:sz w:val="24"/>
          <w:szCs w:val="24"/>
        </w:rPr>
        <w:t xml:space="preserve"> </w:t>
      </w:r>
      <w:r w:rsidRPr="00C10888">
        <w:rPr>
          <w:rFonts w:ascii="Times New Roman" w:hAnsi="Times New Roman"/>
          <w:bCs/>
          <w:sz w:val="24"/>
          <w:szCs w:val="24"/>
          <w:lang w:val="es-ES"/>
        </w:rPr>
        <w:t>en el Sistema Electrónico de Contrataciones del Estado (SEACE),</w:t>
      </w:r>
      <w:r w:rsidRPr="00C10888">
        <w:rPr>
          <w:rFonts w:ascii="Times New Roman" w:hAnsi="Times New Roman"/>
          <w:sz w:val="24"/>
          <w:szCs w:val="24"/>
        </w:rPr>
        <w:t xml:space="preserve"> el “Formato del Cuadro Comparativo” debidamente completo</w:t>
      </w:r>
      <w:r w:rsidR="001C1B29" w:rsidRPr="00C10888">
        <w:rPr>
          <w:rFonts w:ascii="Times New Roman" w:hAnsi="Times New Roman"/>
          <w:sz w:val="24"/>
          <w:szCs w:val="24"/>
        </w:rPr>
        <w:t xml:space="preserve"> (modelo, garantía comercial, plazo de entrega y forma de pago)</w:t>
      </w:r>
      <w:r w:rsidR="004823F5" w:rsidRPr="00C10888">
        <w:rPr>
          <w:rFonts w:ascii="Times New Roman" w:hAnsi="Times New Roman"/>
          <w:sz w:val="24"/>
          <w:szCs w:val="24"/>
        </w:rPr>
        <w:t xml:space="preserve"> por cada bien incluido en el paquete,</w:t>
      </w:r>
      <w:r w:rsidRPr="00C10888">
        <w:rPr>
          <w:rFonts w:ascii="Times New Roman" w:hAnsi="Times New Roman"/>
          <w:sz w:val="24"/>
          <w:szCs w:val="24"/>
        </w:rPr>
        <w:t xml:space="preserve"> </w:t>
      </w:r>
      <w:r w:rsidRPr="00C10888">
        <w:rPr>
          <w:rFonts w:ascii="Times New Roman" w:hAnsi="Times New Roman"/>
          <w:snapToGrid w:val="0"/>
          <w:sz w:val="24"/>
          <w:szCs w:val="24"/>
        </w:rPr>
        <w:t>el cual deberá contar con toda la información requerida en la Directiva N°</w:t>
      </w:r>
      <w:r w:rsidR="0025050B" w:rsidRPr="00C10888">
        <w:rPr>
          <w:rFonts w:ascii="Times New Roman" w:hAnsi="Times New Roman"/>
          <w:snapToGrid w:val="0"/>
          <w:sz w:val="24"/>
          <w:szCs w:val="24"/>
        </w:rPr>
        <w:t xml:space="preserve"> </w:t>
      </w:r>
      <w:r w:rsidRPr="00C10888">
        <w:rPr>
          <w:rFonts w:ascii="Times New Roman" w:hAnsi="Times New Roman"/>
          <w:snapToGrid w:val="0"/>
          <w:sz w:val="24"/>
          <w:szCs w:val="24"/>
        </w:rPr>
        <w:t>004-2013-OSCE/CD, así como lo indicado en la ficha “Instrucciones para el llenado del Formato”</w:t>
      </w:r>
      <w:r w:rsidR="001C1B29" w:rsidRPr="00C10888">
        <w:rPr>
          <w:rFonts w:ascii="Times New Roman" w:hAnsi="Times New Roman"/>
          <w:bCs/>
          <w:sz w:val="24"/>
          <w:szCs w:val="24"/>
          <w:lang w:val="es-ES"/>
        </w:rPr>
        <w:t>.</w:t>
      </w:r>
    </w:p>
    <w:p w:rsidR="001C1B29" w:rsidRPr="00C10888" w:rsidRDefault="001C1B29" w:rsidP="001C1B29">
      <w:pPr>
        <w:pStyle w:val="Prrafodelista"/>
        <w:rPr>
          <w:bCs/>
          <w:sz w:val="24"/>
          <w:szCs w:val="24"/>
        </w:rPr>
      </w:pPr>
    </w:p>
    <w:p w:rsidR="001C1B29" w:rsidRDefault="001C1B29" w:rsidP="001C1B29">
      <w:pPr>
        <w:pStyle w:val="Textoindependiente2"/>
        <w:widowControl w:val="0"/>
        <w:spacing w:after="0" w:line="240" w:lineRule="auto"/>
        <w:jc w:val="both"/>
        <w:rPr>
          <w:bCs/>
          <w:lang w:val="es-PE"/>
        </w:rPr>
      </w:pPr>
      <w:r w:rsidRPr="00C10888">
        <w:rPr>
          <w:bCs/>
          <w:lang w:val="es-PE"/>
        </w:rPr>
        <w:t>Cabe acotar que la información registrada en el SEACE tiene carácter de declaración jurada y se encuentra sujeto a rendición de cuentas, en</w:t>
      </w:r>
      <w:r w:rsidRPr="001C1B29">
        <w:rPr>
          <w:bCs/>
          <w:lang w:val="es-PE"/>
        </w:rPr>
        <w:t xml:space="preserve"> caso de corresponder, ante el Titular de la Entidad, la Contraloría General de la República, Ministerio Público, Poder Judicial y/o ante otros organismos competentes.</w:t>
      </w:r>
    </w:p>
    <w:p w:rsidR="001C1B29" w:rsidRPr="001C1B29" w:rsidRDefault="001C1B29" w:rsidP="001C1B29">
      <w:pPr>
        <w:pStyle w:val="Textoindependiente2"/>
        <w:widowControl w:val="0"/>
        <w:spacing w:after="0" w:line="240" w:lineRule="auto"/>
        <w:jc w:val="both"/>
        <w:rPr>
          <w:bCs/>
          <w:lang w:val="es-PE"/>
        </w:rPr>
      </w:pPr>
    </w:p>
    <w:p w:rsidR="001C1B29" w:rsidRPr="001C1B29" w:rsidRDefault="001C1B29" w:rsidP="001C1B29">
      <w:pPr>
        <w:widowControl w:val="0"/>
        <w:spacing w:line="240" w:lineRule="auto"/>
        <w:ind w:right="284"/>
        <w:contextualSpacing/>
        <w:jc w:val="both"/>
        <w:rPr>
          <w:rFonts w:ascii="Times New Roman" w:hAnsi="Times New Roman" w:cs="Times New Roman"/>
          <w:sz w:val="24"/>
          <w:szCs w:val="24"/>
          <w:lang w:val="es-ES_tradnl"/>
        </w:rPr>
      </w:pPr>
      <w:r w:rsidRPr="001C1B29">
        <w:rPr>
          <w:rFonts w:ascii="Times New Roman" w:hAnsi="Times New Roman" w:cs="Times New Roman"/>
          <w:sz w:val="24"/>
          <w:szCs w:val="24"/>
          <w:lang w:val="es-ES_tradnl"/>
        </w:rPr>
        <w:t>Finalmente, se le recuerda a la Entidad que es su responsabilidad hacer uso eficiente de los recursos públicos y aplicar de forma idónea las disposiciones normativas conforme a criterios de razonabilidad y congruencia a efectos de no ver perjudicada la ejecución del contrato.</w:t>
      </w:r>
    </w:p>
    <w:p w:rsidR="00A348E4" w:rsidRPr="001C1B29" w:rsidRDefault="00A348E4" w:rsidP="00D553B2">
      <w:pPr>
        <w:spacing w:after="0" w:line="240" w:lineRule="auto"/>
        <w:jc w:val="both"/>
        <w:rPr>
          <w:rFonts w:ascii="Times New Roman" w:hAnsi="Times New Roman" w:cs="Times New Roman"/>
          <w:sz w:val="24"/>
          <w:szCs w:val="24"/>
          <w:lang w:val="es-ES_tradnl"/>
        </w:rPr>
      </w:pPr>
    </w:p>
    <w:p w:rsidR="00132629" w:rsidRPr="00A15ADB" w:rsidRDefault="00132629" w:rsidP="000F0246">
      <w:pPr>
        <w:pStyle w:val="Textoindependiente2"/>
        <w:widowControl w:val="0"/>
        <w:numPr>
          <w:ilvl w:val="0"/>
          <w:numId w:val="1"/>
        </w:numPr>
        <w:spacing w:after="0" w:line="240" w:lineRule="auto"/>
        <w:jc w:val="both"/>
      </w:pPr>
      <w:r w:rsidRPr="00825EF7">
        <w:rPr>
          <w:b/>
          <w:lang w:val="es-PE"/>
        </w:rPr>
        <w:t>CONTENIDO DE LAS BASES CONTRARIO A LA NORMATIVA SOBRE CONTRATACIONES DEL ESTADO</w:t>
      </w:r>
    </w:p>
    <w:p w:rsidR="00A15ADB" w:rsidRPr="000F0246" w:rsidRDefault="00A15ADB" w:rsidP="00A15ADB">
      <w:pPr>
        <w:pStyle w:val="Textoindependiente2"/>
        <w:widowControl w:val="0"/>
        <w:spacing w:after="0" w:line="240" w:lineRule="auto"/>
        <w:ind w:left="360"/>
        <w:jc w:val="both"/>
      </w:pPr>
    </w:p>
    <w:p w:rsidR="00132629" w:rsidRPr="00825EF7" w:rsidRDefault="00132629" w:rsidP="00D553B2">
      <w:pPr>
        <w:widowControl w:val="0"/>
        <w:tabs>
          <w:tab w:val="left" w:pos="540"/>
        </w:tabs>
        <w:spacing w:after="0" w:line="240" w:lineRule="auto"/>
        <w:jc w:val="both"/>
        <w:rPr>
          <w:rFonts w:ascii="Times New Roman" w:hAnsi="Times New Roman" w:cs="Times New Roman"/>
          <w:sz w:val="24"/>
          <w:szCs w:val="24"/>
        </w:rPr>
      </w:pPr>
      <w:r w:rsidRPr="00825EF7">
        <w:rPr>
          <w:rFonts w:ascii="Times New Roman" w:hAnsi="Times New Roman" w:cs="Times New Roman"/>
          <w:sz w:val="24"/>
          <w:szCs w:val="24"/>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0F0246" w:rsidRPr="000F0246" w:rsidRDefault="000F0246" w:rsidP="004823F5">
      <w:pPr>
        <w:pStyle w:val="Textoindependiente2"/>
        <w:keepLines/>
        <w:widowControl w:val="0"/>
        <w:tabs>
          <w:tab w:val="left" w:pos="567"/>
        </w:tabs>
        <w:spacing w:after="0" w:line="240" w:lineRule="auto"/>
        <w:jc w:val="both"/>
        <w:rPr>
          <w:lang w:val="es-PE"/>
        </w:rPr>
      </w:pPr>
    </w:p>
    <w:p w:rsidR="00132629" w:rsidRPr="00825EF7" w:rsidRDefault="00132629" w:rsidP="00D553B2">
      <w:pPr>
        <w:pStyle w:val="Prrafodelista"/>
        <w:widowControl w:val="0"/>
        <w:tabs>
          <w:tab w:val="left" w:pos="0"/>
        </w:tabs>
        <w:ind w:left="0"/>
        <w:contextualSpacing/>
        <w:jc w:val="both"/>
        <w:rPr>
          <w:b/>
          <w:sz w:val="24"/>
          <w:szCs w:val="24"/>
        </w:rPr>
      </w:pPr>
      <w:r w:rsidRPr="00825EF7">
        <w:rPr>
          <w:b/>
          <w:sz w:val="24"/>
          <w:szCs w:val="24"/>
          <w:lang w:val="es-PE"/>
        </w:rPr>
        <w:t>CONCLUSIONES</w:t>
      </w:r>
    </w:p>
    <w:p w:rsidR="00132629" w:rsidRPr="00825EF7" w:rsidRDefault="00132629" w:rsidP="00D553B2">
      <w:pPr>
        <w:widowControl w:val="0"/>
        <w:spacing w:after="0" w:line="240" w:lineRule="auto"/>
        <w:jc w:val="both"/>
        <w:rPr>
          <w:rFonts w:ascii="Times New Roman" w:hAnsi="Times New Roman" w:cs="Times New Roman"/>
          <w:snapToGrid w:val="0"/>
          <w:color w:val="FF0000"/>
          <w:sz w:val="24"/>
          <w:szCs w:val="24"/>
        </w:rPr>
      </w:pPr>
    </w:p>
    <w:p w:rsidR="004823F5" w:rsidRPr="00B2378C" w:rsidRDefault="00132629" w:rsidP="006A244F">
      <w:pPr>
        <w:widowControl w:val="0"/>
        <w:numPr>
          <w:ilvl w:val="1"/>
          <w:numId w:val="2"/>
        </w:numPr>
        <w:spacing w:after="0" w:line="240" w:lineRule="auto"/>
        <w:ind w:left="567" w:hanging="567"/>
        <w:jc w:val="both"/>
        <w:rPr>
          <w:rFonts w:ascii="Times New Roman" w:hAnsi="Times New Roman" w:cs="Times New Roman"/>
          <w:sz w:val="24"/>
          <w:szCs w:val="24"/>
        </w:rPr>
      </w:pPr>
      <w:r w:rsidRPr="00825EF7">
        <w:rPr>
          <w:rFonts w:ascii="Times New Roman" w:hAnsi="Times New Roman" w:cs="Times New Roman"/>
          <w:snapToGrid w:val="0"/>
          <w:sz w:val="24"/>
          <w:szCs w:val="24"/>
        </w:rPr>
        <w:t xml:space="preserve">El </w:t>
      </w:r>
      <w:r w:rsidRPr="00825EF7">
        <w:rPr>
          <w:rFonts w:ascii="Times New Roman" w:hAnsi="Times New Roman" w:cs="Times New Roman"/>
          <w:color w:val="000000"/>
          <w:sz w:val="24"/>
          <w:szCs w:val="24"/>
          <w:lang w:val="es-ES" w:eastAsia="es-ES"/>
        </w:rPr>
        <w:t>Comité Especial deberá cumplir con lo dispuesto por este Organismo Supervisor al absolver las observaciones indicadas en el numeral 2 del presente Pronunciamiento.</w:t>
      </w:r>
    </w:p>
    <w:p w:rsidR="00B2378C" w:rsidRPr="006A244F" w:rsidRDefault="00B2378C" w:rsidP="00B2378C">
      <w:pPr>
        <w:widowControl w:val="0"/>
        <w:spacing w:after="0" w:line="240" w:lineRule="auto"/>
        <w:ind w:left="567"/>
        <w:jc w:val="both"/>
        <w:rPr>
          <w:rFonts w:ascii="Times New Roman" w:hAnsi="Times New Roman" w:cs="Times New Roman"/>
          <w:sz w:val="24"/>
          <w:szCs w:val="24"/>
        </w:rPr>
      </w:pPr>
    </w:p>
    <w:p w:rsidR="00132629" w:rsidRPr="00825EF7" w:rsidRDefault="00132629" w:rsidP="00D553B2">
      <w:pPr>
        <w:widowControl w:val="0"/>
        <w:numPr>
          <w:ilvl w:val="1"/>
          <w:numId w:val="2"/>
        </w:numPr>
        <w:spacing w:after="0" w:line="240" w:lineRule="auto"/>
        <w:ind w:left="567" w:hanging="567"/>
        <w:jc w:val="both"/>
        <w:rPr>
          <w:rFonts w:ascii="Times New Roman" w:hAnsi="Times New Roman" w:cs="Times New Roman"/>
          <w:sz w:val="24"/>
          <w:szCs w:val="24"/>
        </w:rPr>
      </w:pPr>
      <w:r w:rsidRPr="00825EF7">
        <w:rPr>
          <w:rFonts w:ascii="Times New Roman" w:hAnsi="Times New Roman" w:cs="Times New Roman"/>
          <w:iCs/>
          <w:color w:val="000000"/>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132629" w:rsidRPr="00825EF7" w:rsidRDefault="00132629" w:rsidP="00D553B2">
      <w:pPr>
        <w:widowControl w:val="0"/>
        <w:spacing w:after="0" w:line="240" w:lineRule="auto"/>
        <w:jc w:val="both"/>
        <w:rPr>
          <w:rFonts w:ascii="Times New Roman" w:hAnsi="Times New Roman" w:cs="Times New Roman"/>
          <w:iCs/>
          <w:color w:val="000000"/>
          <w:sz w:val="24"/>
          <w:szCs w:val="24"/>
        </w:rPr>
      </w:pPr>
    </w:p>
    <w:p w:rsidR="00132629" w:rsidRPr="00825EF7" w:rsidRDefault="00132629" w:rsidP="00D553B2">
      <w:pPr>
        <w:widowControl w:val="0"/>
        <w:numPr>
          <w:ilvl w:val="1"/>
          <w:numId w:val="2"/>
        </w:numPr>
        <w:spacing w:after="0" w:line="240" w:lineRule="auto"/>
        <w:ind w:left="567" w:hanging="567"/>
        <w:jc w:val="both"/>
        <w:rPr>
          <w:rFonts w:ascii="Times New Roman" w:hAnsi="Times New Roman" w:cs="Times New Roman"/>
          <w:iCs/>
          <w:color w:val="000000"/>
          <w:sz w:val="24"/>
          <w:szCs w:val="24"/>
        </w:rPr>
      </w:pPr>
      <w:r w:rsidRPr="00825EF7">
        <w:rPr>
          <w:rFonts w:ascii="Times New Roman" w:hAnsi="Times New Roman" w:cs="Times New Roman"/>
          <w:sz w:val="24"/>
          <w:szCs w:val="24"/>
        </w:rPr>
        <w:t xml:space="preserve">Al momento de integrar las Bases el Comité Especial deberá modificar las </w:t>
      </w:r>
      <w:r w:rsidRPr="00825EF7">
        <w:rPr>
          <w:rFonts w:ascii="Times New Roman" w:hAnsi="Times New Roman" w:cs="Times New Roman"/>
          <w:sz w:val="24"/>
          <w:szCs w:val="24"/>
        </w:rPr>
        <w:lastRenderedPageBreak/>
        <w:t xml:space="preserve">fechas de registro de participantes, integración de Bases, presentación de propuestas y otorgamiento de la buena pro, para lo cual deberá considerar que, </w:t>
      </w:r>
      <w:r w:rsidRPr="00825EF7">
        <w:rPr>
          <w:rFonts w:ascii="Times New Roman" w:hAnsi="Times New Roman" w:cs="Times New Roman"/>
          <w:iCs/>
          <w:sz w:val="24"/>
          <w:szCs w:val="24"/>
        </w:rPr>
        <w:t>de conformidad con lo dispuesto por la Novena Disposición Complementaria Transitoria del Reglamento, en tanto se implemente en el SEACE la funcionalidad para que el registro de participantes sea electrónico</w:t>
      </w:r>
      <w:r w:rsidRPr="00825EF7">
        <w:rPr>
          <w:rFonts w:ascii="Times New Roman" w:hAnsi="Times New Roman" w:cs="Times New Roman"/>
          <w:sz w:val="24"/>
          <w:szCs w:val="24"/>
        </w:rPr>
        <w:t>,</w:t>
      </w:r>
      <w:r w:rsidRPr="00825EF7">
        <w:rPr>
          <w:rFonts w:ascii="Times New Roman" w:hAnsi="Times New Roman" w:cs="Times New Roman"/>
          <w:iCs/>
          <w:sz w:val="24"/>
          <w:szCs w:val="24"/>
        </w:rPr>
        <w:t xml:space="preserve"> las personas naturales y jurídicas que deseen participar en el presente proceso de selección podrán registrarse hasta un</w:t>
      </w:r>
      <w:r w:rsidRPr="00825EF7">
        <w:rPr>
          <w:rFonts w:ascii="Times New Roman" w:hAnsi="Times New Roman" w:cs="Times New Roman"/>
          <w:iCs/>
          <w:color w:val="000000"/>
          <w:sz w:val="24"/>
          <w:szCs w:val="24"/>
        </w:rPr>
        <w:t xml:space="preserve"> (1) día después de haber quedado integradas las Bases, y que, a tenor del artículo 24 del Reglamento, entre la integración de Bases y la presentación de propuestas no podrá mediar menos de tres (3) días hábiles, computados a partir del día siguiente de la publicación de las  Bases Integradas en el SEACE.                     </w:t>
      </w:r>
    </w:p>
    <w:p w:rsidR="00132629" w:rsidRPr="00825EF7" w:rsidRDefault="00132629" w:rsidP="00D553B2">
      <w:pPr>
        <w:pStyle w:val="Prrafodelista"/>
        <w:ind w:left="0"/>
        <w:jc w:val="both"/>
        <w:rPr>
          <w:sz w:val="24"/>
          <w:szCs w:val="24"/>
        </w:rPr>
      </w:pPr>
    </w:p>
    <w:p w:rsidR="00132629" w:rsidRPr="00825EF7" w:rsidRDefault="00132629" w:rsidP="00D553B2">
      <w:pPr>
        <w:widowControl w:val="0"/>
        <w:numPr>
          <w:ilvl w:val="1"/>
          <w:numId w:val="2"/>
        </w:numPr>
        <w:spacing w:after="0" w:line="240" w:lineRule="auto"/>
        <w:ind w:left="567" w:hanging="567"/>
        <w:jc w:val="both"/>
        <w:rPr>
          <w:rFonts w:ascii="Times New Roman" w:hAnsi="Times New Roman" w:cs="Times New Roman"/>
          <w:sz w:val="24"/>
          <w:szCs w:val="24"/>
        </w:rPr>
      </w:pPr>
      <w:r w:rsidRPr="00825EF7">
        <w:rPr>
          <w:rFonts w:ascii="Times New Roman" w:hAnsi="Times New Roman" w:cs="Times New Roman"/>
          <w:iCs/>
          <w:color w:val="000000"/>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132629" w:rsidRPr="00825EF7" w:rsidRDefault="00132629" w:rsidP="00D553B2">
      <w:pPr>
        <w:widowControl w:val="0"/>
        <w:spacing w:after="0" w:line="240" w:lineRule="auto"/>
        <w:ind w:left="567"/>
        <w:jc w:val="both"/>
        <w:rPr>
          <w:rFonts w:ascii="Times New Roman" w:hAnsi="Times New Roman" w:cs="Times New Roman"/>
          <w:sz w:val="24"/>
          <w:szCs w:val="24"/>
        </w:rPr>
      </w:pPr>
    </w:p>
    <w:p w:rsidR="00132629" w:rsidRPr="00825EF7" w:rsidRDefault="00132629" w:rsidP="00D553B2">
      <w:pPr>
        <w:widowControl w:val="0"/>
        <w:numPr>
          <w:ilvl w:val="1"/>
          <w:numId w:val="2"/>
        </w:numPr>
        <w:spacing w:after="0" w:line="240" w:lineRule="auto"/>
        <w:ind w:left="567" w:hanging="567"/>
        <w:jc w:val="both"/>
        <w:rPr>
          <w:rFonts w:ascii="Times New Roman" w:hAnsi="Times New Roman" w:cs="Times New Roman"/>
          <w:iCs/>
          <w:color w:val="000000"/>
          <w:sz w:val="24"/>
          <w:szCs w:val="24"/>
        </w:rPr>
      </w:pPr>
      <w:r w:rsidRPr="00825EF7">
        <w:rPr>
          <w:rFonts w:ascii="Times New Roman" w:hAnsi="Times New Roman" w:cs="Times New Roman"/>
          <w:iCs/>
          <w:color w:val="000000"/>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132629" w:rsidRPr="00825EF7" w:rsidRDefault="00132629" w:rsidP="00D553B2">
      <w:pPr>
        <w:pStyle w:val="Prrafodelista"/>
        <w:ind w:left="0"/>
        <w:jc w:val="both"/>
        <w:rPr>
          <w:iCs/>
          <w:sz w:val="24"/>
          <w:szCs w:val="24"/>
        </w:rPr>
      </w:pPr>
    </w:p>
    <w:p w:rsidR="00132629" w:rsidRPr="00825EF7" w:rsidRDefault="00132629" w:rsidP="00D553B2">
      <w:pPr>
        <w:widowControl w:val="0"/>
        <w:numPr>
          <w:ilvl w:val="1"/>
          <w:numId w:val="2"/>
        </w:numPr>
        <w:spacing w:after="0" w:line="240" w:lineRule="auto"/>
        <w:ind w:left="567" w:hanging="567"/>
        <w:jc w:val="both"/>
        <w:rPr>
          <w:rFonts w:ascii="Times New Roman" w:hAnsi="Times New Roman" w:cs="Times New Roman"/>
          <w:iCs/>
          <w:color w:val="000000"/>
          <w:sz w:val="24"/>
          <w:szCs w:val="24"/>
        </w:rPr>
      </w:pPr>
      <w:r w:rsidRPr="00825EF7">
        <w:rPr>
          <w:rFonts w:ascii="Times New Roman" w:hAnsi="Times New Roman" w:cs="Times New Roman"/>
          <w:iCs/>
          <w:color w:val="000000"/>
          <w:sz w:val="24"/>
          <w:szCs w:val="24"/>
        </w:rPr>
        <w:t xml:space="preserve">En caso la Entidad continúe con el proceso sin sujetarse a lo dispuesto en el presente Pronunciamiento, tal actuación constituirá un elemento a tomar en cuenta para la no emisión de </w:t>
      </w:r>
      <w:r w:rsidRPr="00825EF7">
        <w:rPr>
          <w:rFonts w:ascii="Times New Roman" w:hAnsi="Times New Roman" w:cs="Times New Roman"/>
          <w:iCs/>
          <w:sz w:val="24"/>
          <w:szCs w:val="24"/>
        </w:rPr>
        <w:t>las constancias necesarias para la suscripción del respectivo contrato;</w:t>
      </w:r>
      <w:r w:rsidRPr="00825EF7">
        <w:rPr>
          <w:rFonts w:ascii="Times New Roman" w:hAnsi="Times New Roman" w:cs="Times New Roman"/>
          <w:iCs/>
          <w:color w:val="000000"/>
          <w:sz w:val="24"/>
          <w:szCs w:val="24"/>
        </w:rPr>
        <w:t xml:space="preserve"> siendo que la dilación del proceso y los costos en los que podrían incurrir los postores y el ganador de la buena pro son de exclusiva responsabilidad de la Entidad.</w:t>
      </w:r>
    </w:p>
    <w:p w:rsidR="00C40F60" w:rsidRDefault="0052413A" w:rsidP="00D553B2">
      <w:pPr>
        <w:widowControl w:val="0"/>
        <w:spacing w:after="0" w:line="240" w:lineRule="auto"/>
        <w:ind w:left="3545" w:firstLine="709"/>
        <w:jc w:val="both"/>
        <w:rPr>
          <w:rFonts w:ascii="Times New Roman" w:hAnsi="Times New Roman" w:cs="Times New Roman"/>
          <w:sz w:val="24"/>
          <w:szCs w:val="24"/>
        </w:rPr>
      </w:pPr>
      <w:r w:rsidRPr="00825EF7">
        <w:rPr>
          <w:rFonts w:ascii="Times New Roman" w:hAnsi="Times New Roman" w:cs="Times New Roman"/>
          <w:sz w:val="24"/>
          <w:szCs w:val="24"/>
        </w:rPr>
        <w:t xml:space="preserve">    </w:t>
      </w:r>
    </w:p>
    <w:p w:rsidR="0052413A" w:rsidRPr="00825EF7" w:rsidRDefault="0052413A" w:rsidP="00D553B2">
      <w:pPr>
        <w:widowControl w:val="0"/>
        <w:spacing w:after="0" w:line="240" w:lineRule="auto"/>
        <w:ind w:left="3545" w:firstLine="709"/>
        <w:jc w:val="both"/>
        <w:rPr>
          <w:rFonts w:ascii="Times New Roman" w:hAnsi="Times New Roman" w:cs="Times New Roman"/>
          <w:sz w:val="24"/>
          <w:szCs w:val="24"/>
        </w:rPr>
      </w:pPr>
      <w:r w:rsidRPr="00825EF7">
        <w:rPr>
          <w:rFonts w:ascii="Times New Roman" w:hAnsi="Times New Roman" w:cs="Times New Roman"/>
          <w:sz w:val="24"/>
          <w:szCs w:val="24"/>
        </w:rPr>
        <w:t xml:space="preserve">Jesús María, </w:t>
      </w:r>
      <w:bookmarkStart w:id="0" w:name="_GoBack"/>
      <w:bookmarkEnd w:id="0"/>
      <w:r w:rsidR="00B40E25">
        <w:rPr>
          <w:rFonts w:ascii="Times New Roman" w:hAnsi="Times New Roman" w:cs="Times New Roman"/>
          <w:sz w:val="24"/>
          <w:szCs w:val="24"/>
        </w:rPr>
        <w:t>26</w:t>
      </w:r>
      <w:r w:rsidRPr="00825EF7">
        <w:rPr>
          <w:rFonts w:ascii="Times New Roman" w:hAnsi="Times New Roman" w:cs="Times New Roman"/>
          <w:sz w:val="24"/>
          <w:szCs w:val="24"/>
        </w:rPr>
        <w:t xml:space="preserve"> de </w:t>
      </w:r>
      <w:r w:rsidR="00B40E25">
        <w:rPr>
          <w:rFonts w:ascii="Times New Roman" w:hAnsi="Times New Roman" w:cs="Times New Roman"/>
          <w:sz w:val="24"/>
          <w:szCs w:val="24"/>
        </w:rPr>
        <w:t xml:space="preserve">octubre </w:t>
      </w:r>
      <w:r w:rsidRPr="00825EF7">
        <w:rPr>
          <w:rFonts w:ascii="Times New Roman" w:hAnsi="Times New Roman" w:cs="Times New Roman"/>
          <w:sz w:val="24"/>
          <w:szCs w:val="24"/>
        </w:rPr>
        <w:t>de 2015.</w:t>
      </w:r>
    </w:p>
    <w:p w:rsidR="0052413A" w:rsidRPr="00825EF7" w:rsidRDefault="0052413A" w:rsidP="00D553B2">
      <w:pPr>
        <w:widowControl w:val="0"/>
        <w:spacing w:after="0" w:line="240" w:lineRule="auto"/>
        <w:ind w:left="3545" w:firstLine="709"/>
        <w:jc w:val="both"/>
        <w:rPr>
          <w:rFonts w:ascii="Times New Roman" w:hAnsi="Times New Roman" w:cs="Times New Roman"/>
          <w:sz w:val="24"/>
          <w:szCs w:val="24"/>
        </w:rPr>
      </w:pPr>
    </w:p>
    <w:p w:rsidR="0052413A" w:rsidRPr="00825EF7" w:rsidRDefault="0052413A" w:rsidP="00D553B2">
      <w:pPr>
        <w:widowControl w:val="0"/>
        <w:spacing w:after="0" w:line="240" w:lineRule="auto"/>
        <w:ind w:left="3545" w:firstLine="709"/>
        <w:jc w:val="both"/>
        <w:rPr>
          <w:rFonts w:ascii="Times New Roman" w:hAnsi="Times New Roman" w:cs="Times New Roman"/>
          <w:sz w:val="24"/>
          <w:szCs w:val="24"/>
        </w:rPr>
      </w:pPr>
    </w:p>
    <w:p w:rsidR="0052413A" w:rsidRPr="00825EF7" w:rsidRDefault="0052413A" w:rsidP="001178FA">
      <w:pPr>
        <w:widowControl w:val="0"/>
        <w:spacing w:after="0" w:line="240" w:lineRule="auto"/>
        <w:ind w:left="1416"/>
        <w:rPr>
          <w:rFonts w:ascii="Times New Roman" w:hAnsi="Times New Roman" w:cs="Times New Roman"/>
          <w:sz w:val="24"/>
          <w:szCs w:val="24"/>
        </w:rPr>
      </w:pPr>
      <w:r w:rsidRPr="00825EF7">
        <w:rPr>
          <w:rFonts w:ascii="Times New Roman" w:hAnsi="Times New Roman" w:cs="Times New Roman"/>
          <w:sz w:val="24"/>
          <w:szCs w:val="24"/>
        </w:rPr>
        <w:t xml:space="preserve">Elaborado: </w:t>
      </w:r>
      <w:r w:rsidRPr="00825EF7">
        <w:rPr>
          <w:rFonts w:ascii="Times New Roman" w:hAnsi="Times New Roman" w:cs="Times New Roman"/>
          <w:sz w:val="24"/>
          <w:szCs w:val="24"/>
        </w:rPr>
        <w:tab/>
      </w:r>
      <w:r w:rsidRPr="00825EF7">
        <w:rPr>
          <w:rFonts w:ascii="Times New Roman" w:hAnsi="Times New Roman" w:cs="Times New Roman"/>
          <w:sz w:val="24"/>
          <w:szCs w:val="24"/>
        </w:rPr>
        <w:tab/>
        <w:t>Elissa Lacca Velasco</w:t>
      </w:r>
    </w:p>
    <w:p w:rsidR="0052413A" w:rsidRPr="00825EF7" w:rsidRDefault="0052413A" w:rsidP="001178FA">
      <w:pPr>
        <w:widowControl w:val="0"/>
        <w:spacing w:after="0" w:line="240" w:lineRule="auto"/>
        <w:ind w:left="1416"/>
        <w:rPr>
          <w:rFonts w:ascii="Times New Roman" w:hAnsi="Times New Roman" w:cs="Times New Roman"/>
          <w:sz w:val="24"/>
          <w:szCs w:val="24"/>
        </w:rPr>
      </w:pPr>
      <w:r w:rsidRPr="00825EF7">
        <w:rPr>
          <w:rFonts w:ascii="Times New Roman" w:hAnsi="Times New Roman" w:cs="Times New Roman"/>
          <w:sz w:val="24"/>
          <w:szCs w:val="24"/>
        </w:rPr>
        <w:t xml:space="preserve">Validado:  </w:t>
      </w:r>
      <w:r w:rsidRPr="00825EF7">
        <w:rPr>
          <w:rFonts w:ascii="Times New Roman" w:hAnsi="Times New Roman" w:cs="Times New Roman"/>
          <w:sz w:val="24"/>
          <w:szCs w:val="24"/>
        </w:rPr>
        <w:tab/>
      </w:r>
      <w:r w:rsidRPr="00825EF7">
        <w:rPr>
          <w:rFonts w:ascii="Times New Roman" w:hAnsi="Times New Roman" w:cs="Times New Roman"/>
          <w:sz w:val="24"/>
          <w:szCs w:val="24"/>
        </w:rPr>
        <w:tab/>
        <w:t>Laura Gutiérrez Gonzales</w:t>
      </w:r>
    </w:p>
    <w:p w:rsidR="0052413A" w:rsidRDefault="0052413A" w:rsidP="006B1ADE">
      <w:pPr>
        <w:widowControl w:val="0"/>
        <w:spacing w:after="0" w:line="240" w:lineRule="auto"/>
        <w:jc w:val="both"/>
        <w:rPr>
          <w:rFonts w:ascii="Times New Roman" w:hAnsi="Times New Roman" w:cs="Times New Roman"/>
          <w:sz w:val="24"/>
          <w:szCs w:val="24"/>
        </w:rPr>
      </w:pPr>
    </w:p>
    <w:p w:rsidR="00185090" w:rsidRDefault="00185090" w:rsidP="00D553B2">
      <w:pPr>
        <w:widowControl w:val="0"/>
        <w:spacing w:after="0" w:line="240" w:lineRule="auto"/>
        <w:ind w:left="3545" w:firstLine="709"/>
        <w:jc w:val="both"/>
        <w:rPr>
          <w:rFonts w:ascii="Times New Roman" w:hAnsi="Times New Roman" w:cs="Times New Roman"/>
          <w:sz w:val="24"/>
          <w:szCs w:val="24"/>
        </w:rPr>
      </w:pPr>
    </w:p>
    <w:p w:rsidR="008546BD" w:rsidRDefault="008546BD" w:rsidP="00D553B2">
      <w:pPr>
        <w:widowControl w:val="0"/>
        <w:spacing w:after="0" w:line="240" w:lineRule="auto"/>
        <w:ind w:left="3545" w:firstLine="709"/>
        <w:jc w:val="both"/>
        <w:rPr>
          <w:rFonts w:ascii="Times New Roman" w:hAnsi="Times New Roman" w:cs="Times New Roman"/>
          <w:sz w:val="24"/>
          <w:szCs w:val="24"/>
        </w:rPr>
      </w:pPr>
    </w:p>
    <w:p w:rsidR="008546BD" w:rsidRDefault="008546BD" w:rsidP="00D553B2">
      <w:pPr>
        <w:widowControl w:val="0"/>
        <w:spacing w:after="0" w:line="240" w:lineRule="auto"/>
        <w:ind w:left="3545" w:firstLine="709"/>
        <w:jc w:val="both"/>
        <w:rPr>
          <w:rFonts w:ascii="Times New Roman" w:hAnsi="Times New Roman" w:cs="Times New Roman"/>
          <w:sz w:val="24"/>
          <w:szCs w:val="24"/>
        </w:rPr>
      </w:pPr>
    </w:p>
    <w:p w:rsidR="008546BD" w:rsidRDefault="008546BD" w:rsidP="00D553B2">
      <w:pPr>
        <w:widowControl w:val="0"/>
        <w:spacing w:after="0" w:line="240" w:lineRule="auto"/>
        <w:ind w:left="3545" w:firstLine="709"/>
        <w:jc w:val="both"/>
        <w:rPr>
          <w:rFonts w:ascii="Times New Roman" w:hAnsi="Times New Roman" w:cs="Times New Roman"/>
          <w:sz w:val="24"/>
          <w:szCs w:val="24"/>
        </w:rPr>
      </w:pPr>
    </w:p>
    <w:p w:rsidR="008546BD" w:rsidRPr="00825EF7" w:rsidRDefault="008546BD" w:rsidP="00D553B2">
      <w:pPr>
        <w:widowControl w:val="0"/>
        <w:spacing w:after="0" w:line="240" w:lineRule="auto"/>
        <w:ind w:left="3545" w:firstLine="709"/>
        <w:jc w:val="both"/>
        <w:rPr>
          <w:rFonts w:ascii="Times New Roman" w:hAnsi="Times New Roman" w:cs="Times New Roman"/>
          <w:sz w:val="24"/>
          <w:szCs w:val="24"/>
        </w:rPr>
      </w:pPr>
    </w:p>
    <w:p w:rsidR="0052413A" w:rsidRPr="00825EF7" w:rsidRDefault="0052413A" w:rsidP="00D553B2">
      <w:pPr>
        <w:keepNext/>
        <w:keepLines/>
        <w:widowControl w:val="0"/>
        <w:tabs>
          <w:tab w:val="left" w:pos="2660"/>
        </w:tabs>
        <w:spacing w:after="0" w:line="240" w:lineRule="auto"/>
        <w:jc w:val="center"/>
        <w:rPr>
          <w:rFonts w:ascii="Times New Roman" w:hAnsi="Times New Roman" w:cs="Times New Roman"/>
          <w:b/>
          <w:sz w:val="24"/>
          <w:szCs w:val="24"/>
        </w:rPr>
      </w:pPr>
      <w:r w:rsidRPr="00825EF7">
        <w:rPr>
          <w:rFonts w:ascii="Times New Roman" w:hAnsi="Times New Roman" w:cs="Times New Roman"/>
          <w:b/>
          <w:sz w:val="24"/>
          <w:szCs w:val="24"/>
        </w:rPr>
        <w:t>PATRICIA ALARCÓN ALVIZURI</w:t>
      </w:r>
    </w:p>
    <w:p w:rsidR="0052413A" w:rsidRPr="00825EF7" w:rsidRDefault="0052413A" w:rsidP="000E2679">
      <w:pPr>
        <w:keepNext/>
        <w:keepLines/>
        <w:widowControl w:val="0"/>
        <w:tabs>
          <w:tab w:val="left" w:pos="2660"/>
        </w:tabs>
        <w:spacing w:after="0" w:line="240" w:lineRule="auto"/>
        <w:jc w:val="center"/>
        <w:rPr>
          <w:rFonts w:ascii="Times New Roman" w:hAnsi="Times New Roman" w:cs="Times New Roman"/>
          <w:sz w:val="24"/>
          <w:szCs w:val="24"/>
        </w:rPr>
      </w:pPr>
      <w:r w:rsidRPr="00825EF7">
        <w:rPr>
          <w:rFonts w:ascii="Times New Roman" w:hAnsi="Times New Roman" w:cs="Times New Roman"/>
          <w:b/>
          <w:sz w:val="24"/>
          <w:szCs w:val="24"/>
        </w:rPr>
        <w:t>Directora de Supervisió</w:t>
      </w:r>
      <w:r w:rsidR="000E2679">
        <w:rPr>
          <w:rFonts w:ascii="Times New Roman" w:hAnsi="Times New Roman" w:cs="Times New Roman"/>
          <w:b/>
          <w:sz w:val="24"/>
          <w:szCs w:val="24"/>
        </w:rPr>
        <w:t>n</w:t>
      </w:r>
    </w:p>
    <w:p w:rsidR="000E2679" w:rsidRDefault="000E2679" w:rsidP="00D553B2">
      <w:pPr>
        <w:spacing w:after="0" w:line="240" w:lineRule="auto"/>
        <w:rPr>
          <w:rFonts w:ascii="Times New Roman" w:hAnsi="Times New Roman" w:cs="Times New Roman"/>
          <w:sz w:val="24"/>
          <w:szCs w:val="24"/>
        </w:rPr>
      </w:pPr>
    </w:p>
    <w:p w:rsidR="000E2679" w:rsidRDefault="000E2679" w:rsidP="00D553B2">
      <w:pPr>
        <w:spacing w:after="0" w:line="240" w:lineRule="auto"/>
        <w:rPr>
          <w:rFonts w:ascii="Times New Roman" w:hAnsi="Times New Roman" w:cs="Times New Roman"/>
          <w:sz w:val="24"/>
          <w:szCs w:val="24"/>
        </w:rPr>
      </w:pPr>
    </w:p>
    <w:p w:rsidR="00216CD5" w:rsidRPr="00825EF7" w:rsidRDefault="000E2679" w:rsidP="00D553B2">
      <w:pPr>
        <w:spacing w:after="0" w:line="240" w:lineRule="auto"/>
        <w:rPr>
          <w:rFonts w:ascii="Times New Roman" w:hAnsi="Times New Roman" w:cs="Times New Roman"/>
          <w:sz w:val="24"/>
          <w:szCs w:val="24"/>
        </w:rPr>
      </w:pPr>
      <w:r>
        <w:rPr>
          <w:rFonts w:ascii="Times New Roman" w:hAnsi="Times New Roman" w:cs="Times New Roman"/>
          <w:sz w:val="24"/>
          <w:szCs w:val="24"/>
        </w:rPr>
        <w:t>ELV/.</w:t>
      </w:r>
    </w:p>
    <w:sectPr w:rsidR="00216CD5" w:rsidRPr="00825EF7" w:rsidSect="008546BD">
      <w:pgSz w:w="11906" w:h="16838"/>
      <w:pgMar w:top="1701" w:right="1416" w:bottom="1701" w:left="212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F72" w:rsidRDefault="00330F72" w:rsidP="00395B5C">
      <w:pPr>
        <w:spacing w:after="0" w:line="240" w:lineRule="auto"/>
      </w:pPr>
      <w:r>
        <w:separator/>
      </w:r>
    </w:p>
  </w:endnote>
  <w:endnote w:type="continuationSeparator" w:id="0">
    <w:p w:rsidR="00330F72" w:rsidRDefault="00330F72" w:rsidP="00395B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F72" w:rsidRDefault="00330F72" w:rsidP="00395B5C">
      <w:pPr>
        <w:spacing w:after="0" w:line="240" w:lineRule="auto"/>
      </w:pPr>
      <w:r>
        <w:separator/>
      </w:r>
    </w:p>
  </w:footnote>
  <w:footnote w:type="continuationSeparator" w:id="0">
    <w:p w:rsidR="00330F72" w:rsidRDefault="00330F72" w:rsidP="00395B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223A3"/>
    <w:multiLevelType w:val="hybridMultilevel"/>
    <w:tmpl w:val="B720C506"/>
    <w:lvl w:ilvl="0" w:tplc="CA6AFD1C">
      <w:start w:val="3"/>
      <w:numFmt w:val="bullet"/>
      <w:lvlText w:val="-"/>
      <w:lvlJc w:val="left"/>
      <w:pPr>
        <w:ind w:left="360" w:hanging="360"/>
      </w:pPr>
      <w:rPr>
        <w:rFonts w:ascii="Times New Roman" w:eastAsia="Times New Roman" w:hAnsi="Times New Roman" w:cs="Times New Roman" w:hint="default"/>
        <w:lang w:val="es-PE"/>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0507111B"/>
    <w:multiLevelType w:val="hybridMultilevel"/>
    <w:tmpl w:val="36F6E7D6"/>
    <w:lvl w:ilvl="0" w:tplc="A6769780">
      <w:start w:val="1"/>
      <w:numFmt w:val="lowerLetter"/>
      <w:lvlText w:val="%1)"/>
      <w:lvlJc w:val="left"/>
      <w:pPr>
        <w:ind w:left="1637" w:hanging="360"/>
      </w:pPr>
      <w:rPr>
        <w:rFonts w:cs="Times New Roman"/>
        <w:b w:val="0"/>
        <w:lang w:val="es-MX"/>
      </w:rPr>
    </w:lvl>
    <w:lvl w:ilvl="1" w:tplc="0C0A0019">
      <w:start w:val="1"/>
      <w:numFmt w:val="lowerLetter"/>
      <w:lvlText w:val="%2."/>
      <w:lvlJc w:val="left"/>
      <w:pPr>
        <w:ind w:left="2357" w:hanging="360"/>
      </w:pPr>
      <w:rPr>
        <w:rFonts w:cs="Times New Roman"/>
      </w:rPr>
    </w:lvl>
    <w:lvl w:ilvl="2" w:tplc="0C0A001B" w:tentative="1">
      <w:start w:val="1"/>
      <w:numFmt w:val="lowerRoman"/>
      <w:lvlText w:val="%3."/>
      <w:lvlJc w:val="right"/>
      <w:pPr>
        <w:ind w:left="3077" w:hanging="180"/>
      </w:pPr>
      <w:rPr>
        <w:rFonts w:cs="Times New Roman"/>
      </w:rPr>
    </w:lvl>
    <w:lvl w:ilvl="3" w:tplc="0C0A000F" w:tentative="1">
      <w:start w:val="1"/>
      <w:numFmt w:val="decimal"/>
      <w:lvlText w:val="%4."/>
      <w:lvlJc w:val="left"/>
      <w:pPr>
        <w:ind w:left="3797" w:hanging="360"/>
      </w:pPr>
      <w:rPr>
        <w:rFonts w:cs="Times New Roman"/>
      </w:rPr>
    </w:lvl>
    <w:lvl w:ilvl="4" w:tplc="0C0A0019" w:tentative="1">
      <w:start w:val="1"/>
      <w:numFmt w:val="lowerLetter"/>
      <w:lvlText w:val="%5."/>
      <w:lvlJc w:val="left"/>
      <w:pPr>
        <w:ind w:left="4517" w:hanging="360"/>
      </w:pPr>
      <w:rPr>
        <w:rFonts w:cs="Times New Roman"/>
      </w:rPr>
    </w:lvl>
    <w:lvl w:ilvl="5" w:tplc="0C0A001B" w:tentative="1">
      <w:start w:val="1"/>
      <w:numFmt w:val="lowerRoman"/>
      <w:lvlText w:val="%6."/>
      <w:lvlJc w:val="right"/>
      <w:pPr>
        <w:ind w:left="5237" w:hanging="180"/>
      </w:pPr>
      <w:rPr>
        <w:rFonts w:cs="Times New Roman"/>
      </w:rPr>
    </w:lvl>
    <w:lvl w:ilvl="6" w:tplc="0C0A000F" w:tentative="1">
      <w:start w:val="1"/>
      <w:numFmt w:val="decimal"/>
      <w:lvlText w:val="%7."/>
      <w:lvlJc w:val="left"/>
      <w:pPr>
        <w:ind w:left="5957" w:hanging="360"/>
      </w:pPr>
      <w:rPr>
        <w:rFonts w:cs="Times New Roman"/>
      </w:rPr>
    </w:lvl>
    <w:lvl w:ilvl="7" w:tplc="0C0A0019" w:tentative="1">
      <w:start w:val="1"/>
      <w:numFmt w:val="lowerLetter"/>
      <w:lvlText w:val="%8."/>
      <w:lvlJc w:val="left"/>
      <w:pPr>
        <w:ind w:left="6677" w:hanging="360"/>
      </w:pPr>
      <w:rPr>
        <w:rFonts w:cs="Times New Roman"/>
      </w:rPr>
    </w:lvl>
    <w:lvl w:ilvl="8" w:tplc="0C0A001B" w:tentative="1">
      <w:start w:val="1"/>
      <w:numFmt w:val="lowerRoman"/>
      <w:lvlText w:val="%9."/>
      <w:lvlJc w:val="right"/>
      <w:pPr>
        <w:ind w:left="7397" w:hanging="180"/>
      </w:pPr>
      <w:rPr>
        <w:rFonts w:cs="Times New Roman"/>
      </w:rPr>
    </w:lvl>
  </w:abstractNum>
  <w:abstractNum w:abstractNumId="2">
    <w:nsid w:val="065062DF"/>
    <w:multiLevelType w:val="hybridMultilevel"/>
    <w:tmpl w:val="3580D53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8821DC2"/>
    <w:multiLevelType w:val="hybridMultilevel"/>
    <w:tmpl w:val="4A96B99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2F0F076D"/>
    <w:multiLevelType w:val="hybridMultilevel"/>
    <w:tmpl w:val="33024094"/>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402A4993"/>
    <w:multiLevelType w:val="hybridMultilevel"/>
    <w:tmpl w:val="A7D89224"/>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46A322FA"/>
    <w:multiLevelType w:val="hybridMultilevel"/>
    <w:tmpl w:val="F2703708"/>
    <w:lvl w:ilvl="0" w:tplc="C64CE15E">
      <w:numFmt w:val="bullet"/>
      <w:lvlText w:val="-"/>
      <w:lvlJc w:val="left"/>
      <w:pPr>
        <w:ind w:left="360" w:hanging="360"/>
      </w:pPr>
      <w:rPr>
        <w:rFonts w:ascii="Times New Roman" w:eastAsia="MS Mincho" w:hAnsi="Times New Roman" w:cs="Times New Roman" w:hint="default"/>
        <w:b w:val="0"/>
        <w:u w:val="none"/>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489C53AF"/>
    <w:multiLevelType w:val="multilevel"/>
    <w:tmpl w:val="AB38EE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B77682B"/>
    <w:multiLevelType w:val="hybridMultilevel"/>
    <w:tmpl w:val="30523F08"/>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0">
    <w:nsid w:val="514F0944"/>
    <w:multiLevelType w:val="hybridMultilevel"/>
    <w:tmpl w:val="6652CDB2"/>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1">
    <w:nsid w:val="536A60BE"/>
    <w:multiLevelType w:val="hybridMultilevel"/>
    <w:tmpl w:val="B588B35A"/>
    <w:lvl w:ilvl="0" w:tplc="6BEEF74C">
      <w:start w:val="15"/>
      <w:numFmt w:val="bullet"/>
      <w:lvlText w:val="-"/>
      <w:lvlJc w:val="left"/>
      <w:pPr>
        <w:ind w:left="1080" w:hanging="360"/>
      </w:pPr>
      <w:rPr>
        <w:rFonts w:ascii="Times New Roman" w:eastAsia="MS Mincho"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nsid w:val="59B37560"/>
    <w:multiLevelType w:val="hybridMultilevel"/>
    <w:tmpl w:val="4FF02B20"/>
    <w:lvl w:ilvl="0" w:tplc="CA6AFD1C">
      <w:start w:val="3"/>
      <w:numFmt w:val="bullet"/>
      <w:lvlText w:val="-"/>
      <w:lvlJc w:val="left"/>
      <w:pPr>
        <w:ind w:left="720" w:hanging="360"/>
      </w:pPr>
      <w:rPr>
        <w:rFonts w:ascii="Times New Roman" w:eastAsia="Times New Roman" w:hAnsi="Times New Roman" w:cs="Times New Roman" w:hint="default"/>
        <w:lang w:val="es-P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5ADC7C04"/>
    <w:multiLevelType w:val="hybridMultilevel"/>
    <w:tmpl w:val="6DF8640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694D771A"/>
    <w:multiLevelType w:val="hybridMultilevel"/>
    <w:tmpl w:val="CAF6F132"/>
    <w:lvl w:ilvl="0" w:tplc="0C0A000B">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nsid w:val="70497CED"/>
    <w:multiLevelType w:val="hybridMultilevel"/>
    <w:tmpl w:val="ACD8603E"/>
    <w:lvl w:ilvl="0" w:tplc="211A4960">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76B6631D"/>
    <w:multiLevelType w:val="hybridMultilevel"/>
    <w:tmpl w:val="170465DA"/>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7CF176AB"/>
    <w:multiLevelType w:val="hybridMultilevel"/>
    <w:tmpl w:val="AC92D8B6"/>
    <w:lvl w:ilvl="0" w:tplc="47F6FAD4">
      <w:start w:val="1"/>
      <w:numFmt w:val="bullet"/>
      <w:lvlText w:val=""/>
      <w:lvlJc w:val="left"/>
      <w:pPr>
        <w:ind w:left="1004" w:hanging="360"/>
      </w:pPr>
      <w:rPr>
        <w:rFonts w:ascii="Symbol" w:hAnsi="Symbol"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19">
    <w:nsid w:val="7EC17EAA"/>
    <w:multiLevelType w:val="hybridMultilevel"/>
    <w:tmpl w:val="486254E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7"/>
  </w:num>
  <w:num w:numId="5">
    <w:abstractNumId w:val="4"/>
  </w:num>
  <w:num w:numId="6">
    <w:abstractNumId w:val="3"/>
  </w:num>
  <w:num w:numId="7">
    <w:abstractNumId w:val="13"/>
  </w:num>
  <w:num w:numId="8">
    <w:abstractNumId w:val="19"/>
  </w:num>
  <w:num w:numId="9">
    <w:abstractNumId w:val="18"/>
  </w:num>
  <w:num w:numId="10">
    <w:abstractNumId w:val="5"/>
  </w:num>
  <w:num w:numId="11">
    <w:abstractNumId w:val="16"/>
  </w:num>
  <w:num w:numId="12">
    <w:abstractNumId w:val="11"/>
  </w:num>
  <w:num w:numId="13">
    <w:abstractNumId w:val="15"/>
  </w:num>
  <w:num w:numId="14">
    <w:abstractNumId w:val="10"/>
  </w:num>
  <w:num w:numId="15">
    <w:abstractNumId w:val="2"/>
  </w:num>
  <w:num w:numId="16">
    <w:abstractNumId w:val="1"/>
  </w:num>
  <w:num w:numId="17">
    <w:abstractNumId w:val="6"/>
  </w:num>
  <w:num w:numId="18">
    <w:abstractNumId w:val="12"/>
  </w:num>
  <w:num w:numId="19">
    <w:abstractNumId w:val="8"/>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32629"/>
    <w:rsid w:val="00033304"/>
    <w:rsid w:val="00040A84"/>
    <w:rsid w:val="00044504"/>
    <w:rsid w:val="00052299"/>
    <w:rsid w:val="00073874"/>
    <w:rsid w:val="00073B8E"/>
    <w:rsid w:val="000963FC"/>
    <w:rsid w:val="000A5200"/>
    <w:rsid w:val="000B1210"/>
    <w:rsid w:val="000E2679"/>
    <w:rsid w:val="000E5DCB"/>
    <w:rsid w:val="000F0246"/>
    <w:rsid w:val="001178FA"/>
    <w:rsid w:val="001258E0"/>
    <w:rsid w:val="00132629"/>
    <w:rsid w:val="00170439"/>
    <w:rsid w:val="00185090"/>
    <w:rsid w:val="001975F6"/>
    <w:rsid w:val="001A1584"/>
    <w:rsid w:val="001C1B29"/>
    <w:rsid w:val="001E2F5D"/>
    <w:rsid w:val="001E6E36"/>
    <w:rsid w:val="001F3DAF"/>
    <w:rsid w:val="00206DC9"/>
    <w:rsid w:val="00216CD5"/>
    <w:rsid w:val="002358A8"/>
    <w:rsid w:val="002361D4"/>
    <w:rsid w:val="002461F9"/>
    <w:rsid w:val="0025050B"/>
    <w:rsid w:val="00282BE8"/>
    <w:rsid w:val="002B35A8"/>
    <w:rsid w:val="002C70D9"/>
    <w:rsid w:val="002D20CE"/>
    <w:rsid w:val="002D49C6"/>
    <w:rsid w:val="00303FD2"/>
    <w:rsid w:val="003070E1"/>
    <w:rsid w:val="00330F72"/>
    <w:rsid w:val="00333A79"/>
    <w:rsid w:val="00365C8F"/>
    <w:rsid w:val="003741CD"/>
    <w:rsid w:val="0038251F"/>
    <w:rsid w:val="00390E3F"/>
    <w:rsid w:val="00391673"/>
    <w:rsid w:val="00395AF9"/>
    <w:rsid w:val="00395B5C"/>
    <w:rsid w:val="0039644E"/>
    <w:rsid w:val="00400408"/>
    <w:rsid w:val="00403702"/>
    <w:rsid w:val="00415702"/>
    <w:rsid w:val="00466D13"/>
    <w:rsid w:val="0047796A"/>
    <w:rsid w:val="004823F5"/>
    <w:rsid w:val="004B6F01"/>
    <w:rsid w:val="004D14C8"/>
    <w:rsid w:val="004F5199"/>
    <w:rsid w:val="00501C98"/>
    <w:rsid w:val="005115AB"/>
    <w:rsid w:val="0052413A"/>
    <w:rsid w:val="00562D36"/>
    <w:rsid w:val="00576279"/>
    <w:rsid w:val="00577B6C"/>
    <w:rsid w:val="00583030"/>
    <w:rsid w:val="00597480"/>
    <w:rsid w:val="005A3903"/>
    <w:rsid w:val="005B3624"/>
    <w:rsid w:val="005C5490"/>
    <w:rsid w:val="005C56DA"/>
    <w:rsid w:val="005F785A"/>
    <w:rsid w:val="00605F8A"/>
    <w:rsid w:val="00615A5E"/>
    <w:rsid w:val="006277F2"/>
    <w:rsid w:val="00632C48"/>
    <w:rsid w:val="006371EE"/>
    <w:rsid w:val="006409CD"/>
    <w:rsid w:val="006426D6"/>
    <w:rsid w:val="00644EE4"/>
    <w:rsid w:val="0065011B"/>
    <w:rsid w:val="00652428"/>
    <w:rsid w:val="006551CB"/>
    <w:rsid w:val="0066358E"/>
    <w:rsid w:val="00665C01"/>
    <w:rsid w:val="0066748A"/>
    <w:rsid w:val="006752BE"/>
    <w:rsid w:val="00675417"/>
    <w:rsid w:val="00684B5A"/>
    <w:rsid w:val="00686A91"/>
    <w:rsid w:val="006A244F"/>
    <w:rsid w:val="006B1ADE"/>
    <w:rsid w:val="006B4178"/>
    <w:rsid w:val="006C5550"/>
    <w:rsid w:val="007356A8"/>
    <w:rsid w:val="00735FC9"/>
    <w:rsid w:val="007415AD"/>
    <w:rsid w:val="00745A02"/>
    <w:rsid w:val="007636FC"/>
    <w:rsid w:val="00763C35"/>
    <w:rsid w:val="0077068D"/>
    <w:rsid w:val="0077679C"/>
    <w:rsid w:val="0078097D"/>
    <w:rsid w:val="00786F9F"/>
    <w:rsid w:val="007B68A6"/>
    <w:rsid w:val="007D2AEC"/>
    <w:rsid w:val="007D650C"/>
    <w:rsid w:val="007E00D4"/>
    <w:rsid w:val="007E1554"/>
    <w:rsid w:val="007E2465"/>
    <w:rsid w:val="007E5914"/>
    <w:rsid w:val="007F19ED"/>
    <w:rsid w:val="00811417"/>
    <w:rsid w:val="00821CF0"/>
    <w:rsid w:val="00825EF7"/>
    <w:rsid w:val="0083687A"/>
    <w:rsid w:val="008546BD"/>
    <w:rsid w:val="00872367"/>
    <w:rsid w:val="00877895"/>
    <w:rsid w:val="00883E9F"/>
    <w:rsid w:val="00887779"/>
    <w:rsid w:val="00895012"/>
    <w:rsid w:val="00896871"/>
    <w:rsid w:val="008A18A6"/>
    <w:rsid w:val="008A39BE"/>
    <w:rsid w:val="008B35BF"/>
    <w:rsid w:val="008B4719"/>
    <w:rsid w:val="008B79F9"/>
    <w:rsid w:val="008C4196"/>
    <w:rsid w:val="008D5C0F"/>
    <w:rsid w:val="00915571"/>
    <w:rsid w:val="0091592B"/>
    <w:rsid w:val="00925131"/>
    <w:rsid w:val="00984028"/>
    <w:rsid w:val="009A33AD"/>
    <w:rsid w:val="009B6E04"/>
    <w:rsid w:val="009C32AF"/>
    <w:rsid w:val="009C4B5E"/>
    <w:rsid w:val="009C56EB"/>
    <w:rsid w:val="009D5A90"/>
    <w:rsid w:val="009E418C"/>
    <w:rsid w:val="009F39D5"/>
    <w:rsid w:val="009F7E54"/>
    <w:rsid w:val="00A15ADB"/>
    <w:rsid w:val="00A16D55"/>
    <w:rsid w:val="00A225F7"/>
    <w:rsid w:val="00A234A4"/>
    <w:rsid w:val="00A265B8"/>
    <w:rsid w:val="00A3425B"/>
    <w:rsid w:val="00A348E4"/>
    <w:rsid w:val="00A35CBE"/>
    <w:rsid w:val="00A51D48"/>
    <w:rsid w:val="00A639D0"/>
    <w:rsid w:val="00A7019C"/>
    <w:rsid w:val="00A83A8E"/>
    <w:rsid w:val="00A86358"/>
    <w:rsid w:val="00A93CC4"/>
    <w:rsid w:val="00A95721"/>
    <w:rsid w:val="00AA11CE"/>
    <w:rsid w:val="00AB25EB"/>
    <w:rsid w:val="00AC23F1"/>
    <w:rsid w:val="00AE11E3"/>
    <w:rsid w:val="00B2378C"/>
    <w:rsid w:val="00B40E25"/>
    <w:rsid w:val="00B47C15"/>
    <w:rsid w:val="00B63508"/>
    <w:rsid w:val="00B771C9"/>
    <w:rsid w:val="00B80079"/>
    <w:rsid w:val="00B81693"/>
    <w:rsid w:val="00B81901"/>
    <w:rsid w:val="00B97CCD"/>
    <w:rsid w:val="00BA1321"/>
    <w:rsid w:val="00BA30E3"/>
    <w:rsid w:val="00BB39C1"/>
    <w:rsid w:val="00BC1F33"/>
    <w:rsid w:val="00BC5E10"/>
    <w:rsid w:val="00BC78F4"/>
    <w:rsid w:val="00BE0BB9"/>
    <w:rsid w:val="00C10888"/>
    <w:rsid w:val="00C13608"/>
    <w:rsid w:val="00C24402"/>
    <w:rsid w:val="00C32B0E"/>
    <w:rsid w:val="00C32BEE"/>
    <w:rsid w:val="00C37132"/>
    <w:rsid w:val="00C40F60"/>
    <w:rsid w:val="00C63C1B"/>
    <w:rsid w:val="00C81E23"/>
    <w:rsid w:val="00C900EE"/>
    <w:rsid w:val="00C96649"/>
    <w:rsid w:val="00CC4745"/>
    <w:rsid w:val="00CD0718"/>
    <w:rsid w:val="00CD2591"/>
    <w:rsid w:val="00CD3B73"/>
    <w:rsid w:val="00CF101B"/>
    <w:rsid w:val="00CF2F56"/>
    <w:rsid w:val="00D003DD"/>
    <w:rsid w:val="00D01B6C"/>
    <w:rsid w:val="00D02211"/>
    <w:rsid w:val="00D03F06"/>
    <w:rsid w:val="00D11991"/>
    <w:rsid w:val="00D145AC"/>
    <w:rsid w:val="00D305F7"/>
    <w:rsid w:val="00D40AC0"/>
    <w:rsid w:val="00D553B2"/>
    <w:rsid w:val="00D612B1"/>
    <w:rsid w:val="00D704EC"/>
    <w:rsid w:val="00D74E0F"/>
    <w:rsid w:val="00D77F71"/>
    <w:rsid w:val="00D8281A"/>
    <w:rsid w:val="00D965B0"/>
    <w:rsid w:val="00DA4885"/>
    <w:rsid w:val="00DA6B89"/>
    <w:rsid w:val="00DC734B"/>
    <w:rsid w:val="00DD37DE"/>
    <w:rsid w:val="00DD52CE"/>
    <w:rsid w:val="00DD5903"/>
    <w:rsid w:val="00DD7646"/>
    <w:rsid w:val="00DE1353"/>
    <w:rsid w:val="00DF4519"/>
    <w:rsid w:val="00E317FE"/>
    <w:rsid w:val="00E43824"/>
    <w:rsid w:val="00E60F31"/>
    <w:rsid w:val="00E63123"/>
    <w:rsid w:val="00E71F49"/>
    <w:rsid w:val="00E74D95"/>
    <w:rsid w:val="00E85F0E"/>
    <w:rsid w:val="00E8671F"/>
    <w:rsid w:val="00E9046E"/>
    <w:rsid w:val="00E90A01"/>
    <w:rsid w:val="00E9726A"/>
    <w:rsid w:val="00EB337D"/>
    <w:rsid w:val="00EF6052"/>
    <w:rsid w:val="00F146BE"/>
    <w:rsid w:val="00F3003F"/>
    <w:rsid w:val="00F71B29"/>
    <w:rsid w:val="00F73D29"/>
    <w:rsid w:val="00F81916"/>
    <w:rsid w:val="00FA30B8"/>
    <w:rsid w:val="00FB44AB"/>
    <w:rsid w:val="00FB601C"/>
    <w:rsid w:val="00FC08D7"/>
    <w:rsid w:val="00FD41B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7F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uiPriority w:val="99"/>
    <w:rsid w:val="00132629"/>
    <w:pPr>
      <w:spacing w:after="0" w:line="240" w:lineRule="auto"/>
      <w:jc w:val="both"/>
    </w:pPr>
    <w:rPr>
      <w:rFonts w:ascii="Arial" w:eastAsia="Times New Roman" w:hAnsi="Arial" w:cs="Times New Roman"/>
      <w:snapToGrid w:val="0"/>
      <w:sz w:val="24"/>
      <w:szCs w:val="24"/>
      <w:lang w:val="es-ES" w:eastAsia="es-MX"/>
    </w:rPr>
  </w:style>
  <w:style w:type="paragraph" w:styleId="Textoindependiente2">
    <w:name w:val="Body Text 2"/>
    <w:basedOn w:val="Normal"/>
    <w:link w:val="Textoindependiente2Car"/>
    <w:uiPriority w:val="99"/>
    <w:unhideWhenUsed/>
    <w:rsid w:val="00132629"/>
    <w:pPr>
      <w:spacing w:after="120" w:line="480" w:lineRule="auto"/>
    </w:pPr>
    <w:rPr>
      <w:rFonts w:ascii="Times New Roman" w:eastAsia="Times New Roman" w:hAnsi="Times New Roman" w:cs="Times New Roman"/>
      <w:sz w:val="24"/>
      <w:szCs w:val="24"/>
      <w:lang w:val="es-MX" w:eastAsia="es-MX"/>
    </w:rPr>
  </w:style>
  <w:style w:type="character" w:customStyle="1" w:styleId="Textoindependiente2Car">
    <w:name w:val="Texto independiente 2 Car"/>
    <w:basedOn w:val="Fuentedeprrafopredeter"/>
    <w:link w:val="Textoindependiente2"/>
    <w:uiPriority w:val="99"/>
    <w:rsid w:val="00132629"/>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132629"/>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Sinespaciado">
    <w:name w:val="No Spacing"/>
    <w:link w:val="SinespaciadoCar"/>
    <w:uiPriority w:val="1"/>
    <w:qFormat/>
    <w:rsid w:val="00132629"/>
    <w:pPr>
      <w:spacing w:after="0" w:line="240" w:lineRule="auto"/>
    </w:pPr>
    <w:rPr>
      <w:rFonts w:ascii="Calibri" w:eastAsia="Calibri" w:hAnsi="Calibri" w:cs="Times New Roman"/>
      <w:lang w:eastAsia="en-US"/>
    </w:rPr>
  </w:style>
  <w:style w:type="paragraph" w:styleId="Textoindependiente">
    <w:name w:val="Body Text"/>
    <w:basedOn w:val="Normal"/>
    <w:link w:val="TextoindependienteCar"/>
    <w:uiPriority w:val="99"/>
    <w:unhideWhenUsed/>
    <w:rsid w:val="00132629"/>
    <w:pPr>
      <w:spacing w:after="120" w:line="240" w:lineRule="auto"/>
    </w:pPr>
    <w:rPr>
      <w:rFonts w:ascii="Times New Roman" w:eastAsia="Times New Roman" w:hAnsi="Times New Roman" w:cs="Times New Roman"/>
      <w:sz w:val="24"/>
      <w:szCs w:val="24"/>
      <w:lang w:val="es-MX" w:eastAsia="es-MX"/>
    </w:rPr>
  </w:style>
  <w:style w:type="character" w:customStyle="1" w:styleId="TextoindependienteCar">
    <w:name w:val="Texto independiente Car"/>
    <w:basedOn w:val="Fuentedeprrafopredeter"/>
    <w:link w:val="Textoindependiente"/>
    <w:uiPriority w:val="99"/>
    <w:rsid w:val="00132629"/>
    <w:rPr>
      <w:rFonts w:ascii="Times New Roman" w:eastAsia="Times New Roman" w:hAnsi="Times New Roman" w:cs="Times New Roman"/>
      <w:sz w:val="24"/>
      <w:szCs w:val="24"/>
      <w:lang w:val="es-MX" w:eastAsia="es-MX"/>
    </w:rPr>
  </w:style>
  <w:style w:type="character" w:customStyle="1" w:styleId="SinespaciadoCar">
    <w:name w:val="Sin espaciado Car"/>
    <w:link w:val="Sinespaciado"/>
    <w:uiPriority w:val="1"/>
    <w:rsid w:val="00132629"/>
    <w:rPr>
      <w:rFonts w:ascii="Calibri" w:eastAsia="Calibri" w:hAnsi="Calibri" w:cs="Times New Roman"/>
      <w:lang w:eastAsia="en-US"/>
    </w:rPr>
  </w:style>
  <w:style w:type="paragraph" w:styleId="Prrafodelista">
    <w:name w:val="List Paragraph"/>
    <w:aliases w:val="Titulo de Fígura,TITULO A,TITULO,Imagen 01.,Titulo parrafo,Punto,Párrafo de lista2,Párrafo de lista4,Párrafo de lista21,Conclusiones"/>
    <w:basedOn w:val="Normal"/>
    <w:link w:val="PrrafodelistaCar"/>
    <w:uiPriority w:val="34"/>
    <w:qFormat/>
    <w:rsid w:val="00132629"/>
    <w:pPr>
      <w:spacing w:after="0" w:line="240" w:lineRule="auto"/>
      <w:ind w:left="708"/>
    </w:pPr>
    <w:rPr>
      <w:rFonts w:ascii="Times New Roman" w:eastAsia="MS Mincho" w:hAnsi="Times New Roman" w:cs="Times New Roman"/>
      <w:sz w:val="20"/>
      <w:szCs w:val="20"/>
      <w:lang w:val="es-ES" w:eastAsia="es-MX"/>
    </w:rPr>
  </w:style>
  <w:style w:type="character" w:customStyle="1" w:styleId="PrrafodelistaCar">
    <w:name w:val="Párrafo de lista Car"/>
    <w:aliases w:val="Titulo de Fígura Car,TITULO A Car,TITULO Car,Imagen 01. Car,Titulo parrafo Car,Punto Car,Párrafo de lista2 Car,Párrafo de lista4 Car,Párrafo de lista21 Car,Conclusiones Car"/>
    <w:link w:val="Prrafodelista"/>
    <w:uiPriority w:val="34"/>
    <w:locked/>
    <w:rsid w:val="00132629"/>
    <w:rPr>
      <w:rFonts w:ascii="Times New Roman" w:eastAsia="MS Mincho" w:hAnsi="Times New Roman" w:cs="Times New Roman"/>
      <w:sz w:val="20"/>
      <w:szCs w:val="20"/>
      <w:lang w:val="es-ES" w:eastAsia="es-MX"/>
    </w:rPr>
  </w:style>
  <w:style w:type="paragraph" w:customStyle="1" w:styleId="Prrafodelista1">
    <w:name w:val="Párrafo de lista1"/>
    <w:basedOn w:val="Normal"/>
    <w:link w:val="ListParagraphChar"/>
    <w:rsid w:val="00132629"/>
    <w:pPr>
      <w:ind w:left="708"/>
    </w:pPr>
    <w:rPr>
      <w:rFonts w:ascii="Calibri" w:eastAsia="Times New Roman" w:hAnsi="Calibri" w:cs="Times New Roman"/>
      <w:sz w:val="20"/>
      <w:szCs w:val="20"/>
      <w:lang w:val="es-ES" w:eastAsia="es-MX"/>
    </w:rPr>
  </w:style>
  <w:style w:type="character" w:customStyle="1" w:styleId="ListParagraphChar">
    <w:name w:val="List Paragraph Char"/>
    <w:link w:val="Prrafodelista1"/>
    <w:locked/>
    <w:rsid w:val="00132629"/>
    <w:rPr>
      <w:rFonts w:ascii="Calibri" w:eastAsia="Times New Roman" w:hAnsi="Calibri" w:cs="Times New Roman"/>
      <w:sz w:val="20"/>
      <w:szCs w:val="20"/>
      <w:lang w:val="es-ES" w:eastAsia="es-MX"/>
    </w:rPr>
  </w:style>
  <w:style w:type="paragraph" w:styleId="Textodeglobo">
    <w:name w:val="Balloon Text"/>
    <w:basedOn w:val="Normal"/>
    <w:link w:val="TextodegloboCar"/>
    <w:uiPriority w:val="99"/>
    <w:semiHidden/>
    <w:unhideWhenUsed/>
    <w:rsid w:val="0013262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32629"/>
    <w:rPr>
      <w:rFonts w:ascii="Tahoma" w:hAnsi="Tahoma" w:cs="Tahoma"/>
      <w:sz w:val="16"/>
      <w:szCs w:val="16"/>
    </w:rPr>
  </w:style>
  <w:style w:type="paragraph" w:customStyle="1" w:styleId="Normaltimes">
    <w:name w:val="Normal+times"/>
    <w:basedOn w:val="Normal"/>
    <w:link w:val="NormaltimesCar"/>
    <w:rsid w:val="009B6E04"/>
    <w:pPr>
      <w:spacing w:after="0" w:line="240" w:lineRule="auto"/>
    </w:pPr>
    <w:rPr>
      <w:rFonts w:ascii="Times New Roman" w:eastAsia="Times New Roman" w:hAnsi="Times New Roman" w:cs="Times New Roman"/>
      <w:sz w:val="20"/>
      <w:szCs w:val="20"/>
      <w:lang w:val="es-MX" w:eastAsia="es-MX"/>
    </w:rPr>
  </w:style>
  <w:style w:type="character" w:customStyle="1" w:styleId="NormaltimesCar">
    <w:name w:val="Normal+times Car"/>
    <w:link w:val="Normaltimes"/>
    <w:locked/>
    <w:rsid w:val="009B6E04"/>
    <w:rPr>
      <w:rFonts w:ascii="Times New Roman" w:eastAsia="Times New Roman" w:hAnsi="Times New Roman" w:cs="Times New Roman"/>
      <w:sz w:val="20"/>
      <w:szCs w:val="20"/>
      <w:lang w:val="es-MX" w:eastAsia="es-MX"/>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rsid w:val="00395B5C"/>
    <w:pPr>
      <w:spacing w:after="0" w:line="240" w:lineRule="auto"/>
    </w:pPr>
    <w:rPr>
      <w:rFonts w:ascii="Times New Roman" w:eastAsia="Times New Roman" w:hAnsi="Times New Roman" w:cs="Times New Roman"/>
      <w:sz w:val="20"/>
      <w:szCs w:val="20"/>
      <w:lang w:val="es-MX" w:eastAsia="es-MX"/>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395B5C"/>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CVR Ref. de nota al pie"/>
    <w:rsid w:val="00395B5C"/>
    <w:rPr>
      <w:vertAlign w:val="superscript"/>
    </w:rPr>
  </w:style>
  <w:style w:type="paragraph" w:customStyle="1" w:styleId="WW-Textosinformato">
    <w:name w:val="WW-Texto sin formato"/>
    <w:basedOn w:val="Normal"/>
    <w:link w:val="WW-TextosinformatoCar"/>
    <w:rsid w:val="001E2F5D"/>
    <w:pPr>
      <w:suppressAutoHyphens/>
      <w:spacing w:after="0" w:line="240" w:lineRule="auto"/>
    </w:pPr>
    <w:rPr>
      <w:rFonts w:ascii="Courier New" w:eastAsia="MS Mincho" w:hAnsi="Courier New" w:cs="Times New Roman"/>
      <w:sz w:val="20"/>
      <w:szCs w:val="20"/>
      <w:lang w:eastAsia="es-ES"/>
    </w:rPr>
  </w:style>
  <w:style w:type="character" w:customStyle="1" w:styleId="WW-TextosinformatoCar">
    <w:name w:val="WW-Texto sin formato Car"/>
    <w:link w:val="WW-Textosinformato"/>
    <w:locked/>
    <w:rsid w:val="001E2F5D"/>
    <w:rPr>
      <w:rFonts w:ascii="Courier New" w:eastAsia="MS Mincho" w:hAnsi="Courier New" w:cs="Times New Roman"/>
      <w:sz w:val="20"/>
      <w:szCs w:val="20"/>
      <w:lang w:eastAsia="es-ES"/>
    </w:rPr>
  </w:style>
  <w:style w:type="paragraph" w:styleId="Textonotaalfinal">
    <w:name w:val="endnote text"/>
    <w:basedOn w:val="Normal"/>
    <w:link w:val="TextonotaalfinalCar"/>
    <w:uiPriority w:val="99"/>
    <w:semiHidden/>
    <w:unhideWhenUsed/>
    <w:rsid w:val="00763C35"/>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763C35"/>
    <w:rPr>
      <w:sz w:val="20"/>
      <w:szCs w:val="20"/>
    </w:rPr>
  </w:style>
  <w:style w:type="character" w:styleId="Refdenotaalfinal">
    <w:name w:val="endnote reference"/>
    <w:basedOn w:val="Fuentedeprrafopredeter"/>
    <w:uiPriority w:val="99"/>
    <w:semiHidden/>
    <w:unhideWhenUsed/>
    <w:rsid w:val="00763C3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CE3DD-0FC1-4902-9684-3A71E9CBA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6</Pages>
  <Words>2041</Words>
  <Characters>11231</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mgarridor</dc:creator>
  <cp:lastModifiedBy>vmayo</cp:lastModifiedBy>
  <cp:revision>56</cp:revision>
  <cp:lastPrinted>2015-10-26T22:40:00Z</cp:lastPrinted>
  <dcterms:created xsi:type="dcterms:W3CDTF">2015-10-20T17:22:00Z</dcterms:created>
  <dcterms:modified xsi:type="dcterms:W3CDTF">2015-10-26T22:43:00Z</dcterms:modified>
</cp:coreProperties>
</file>