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76" w:rsidRPr="00412ABC" w:rsidRDefault="00C77276" w:rsidP="00C77276">
      <w:pPr>
        <w:widowControl w:val="0"/>
        <w:jc w:val="center"/>
        <w:rPr>
          <w:b/>
          <w:u w:val="single"/>
        </w:rPr>
      </w:pPr>
      <w:bookmarkStart w:id="0" w:name="_GoBack"/>
      <w:bookmarkEnd w:id="0"/>
      <w:r w:rsidRPr="001168EA">
        <w:rPr>
          <w:b/>
          <w:u w:val="single"/>
        </w:rPr>
        <w:t>PRONUNCIAMIENTO Nº</w:t>
      </w:r>
      <w:r>
        <w:rPr>
          <w:b/>
          <w:u w:val="single"/>
        </w:rPr>
        <w:t xml:space="preserve"> </w:t>
      </w:r>
      <w:r w:rsidR="00F27595">
        <w:rPr>
          <w:b/>
          <w:u w:val="single"/>
        </w:rPr>
        <w:t>1355</w:t>
      </w:r>
      <w:r w:rsidRPr="001168EA">
        <w:rPr>
          <w:b/>
          <w:u w:val="single"/>
        </w:rPr>
        <w:t>-2015</w:t>
      </w:r>
      <w:r w:rsidRPr="00412ABC">
        <w:rPr>
          <w:b/>
          <w:u w:val="single"/>
        </w:rPr>
        <w:t>/DSU</w:t>
      </w:r>
    </w:p>
    <w:p w:rsidR="00C77276" w:rsidRPr="00412ABC" w:rsidRDefault="00C77276" w:rsidP="00C77276">
      <w:pPr>
        <w:widowControl w:val="0"/>
        <w:tabs>
          <w:tab w:val="left" w:pos="1980"/>
        </w:tabs>
        <w:jc w:val="both"/>
      </w:pPr>
    </w:p>
    <w:p w:rsidR="00C77276" w:rsidRPr="00412ABC" w:rsidRDefault="00C77276" w:rsidP="00C77276">
      <w:pPr>
        <w:widowControl w:val="0"/>
        <w:tabs>
          <w:tab w:val="left" w:pos="1980"/>
        </w:tabs>
        <w:jc w:val="both"/>
      </w:pPr>
    </w:p>
    <w:p w:rsidR="00C77276" w:rsidRPr="00412ABC" w:rsidRDefault="00C77276" w:rsidP="00C77276">
      <w:pPr>
        <w:widowControl w:val="0"/>
        <w:tabs>
          <w:tab w:val="left" w:pos="1980"/>
        </w:tabs>
        <w:ind w:left="2552" w:hanging="2552"/>
        <w:jc w:val="both"/>
      </w:pPr>
      <w:r>
        <w:t>Entidad:</w:t>
      </w:r>
      <w:r>
        <w:tab/>
        <w:t xml:space="preserve">         </w:t>
      </w:r>
      <w:r w:rsidR="00FA3EDA">
        <w:t>Seguro Social de Salud (</w:t>
      </w:r>
      <w:proofErr w:type="spellStart"/>
      <w:r w:rsidR="00FA3EDA">
        <w:t>Essalud</w:t>
      </w:r>
      <w:proofErr w:type="spellEnd"/>
      <w:r w:rsidR="00FA3EDA">
        <w:t>)</w:t>
      </w:r>
    </w:p>
    <w:p w:rsidR="00C77276" w:rsidRPr="00412ABC" w:rsidRDefault="00C77276" w:rsidP="00C77276">
      <w:pPr>
        <w:widowControl w:val="0"/>
        <w:tabs>
          <w:tab w:val="left" w:pos="1980"/>
        </w:tabs>
        <w:ind w:left="2880" w:hanging="2880"/>
        <w:jc w:val="both"/>
      </w:pPr>
    </w:p>
    <w:p w:rsidR="00DF286F" w:rsidRPr="00B26603" w:rsidRDefault="00C77276" w:rsidP="00DF286F">
      <w:pPr>
        <w:widowControl w:val="0"/>
        <w:tabs>
          <w:tab w:val="left" w:pos="1980"/>
        </w:tabs>
        <w:ind w:left="2552" w:hanging="2552"/>
        <w:jc w:val="both"/>
        <w:rPr>
          <w:lang w:val="es-ES"/>
        </w:rPr>
      </w:pPr>
      <w:r w:rsidRPr="00412ABC">
        <w:t>Referencia:</w:t>
      </w:r>
      <w:r w:rsidRPr="00412ABC">
        <w:tab/>
      </w:r>
      <w:r w:rsidR="00DF286F">
        <w:tab/>
      </w:r>
      <w:r>
        <w:t xml:space="preserve">Licitación Pública N° </w:t>
      </w:r>
      <w:r w:rsidR="00FA3EDA">
        <w:t>20</w:t>
      </w:r>
      <w:r w:rsidR="00D765D4">
        <w:t>-2015-</w:t>
      </w:r>
      <w:r w:rsidR="00FA3EDA">
        <w:t>ESSALUD/RAA</w:t>
      </w:r>
      <w:r>
        <w:t xml:space="preserve">, </w:t>
      </w:r>
      <w:r w:rsidR="00DF286F" w:rsidRPr="00B26603">
        <w:rPr>
          <w:lang w:val="es-ES"/>
        </w:rPr>
        <w:t xml:space="preserve">convocada para la </w:t>
      </w:r>
      <w:r w:rsidR="00FA3EDA">
        <w:rPr>
          <w:lang w:val="es-ES"/>
        </w:rPr>
        <w:t>“Adquisición de material médico para el servicio de Nefrología de la RAA”</w:t>
      </w:r>
      <w:r w:rsidR="00DF286F" w:rsidRPr="00B26603">
        <w:rPr>
          <w:lang w:val="es-ES"/>
        </w:rPr>
        <w:t>.</w:t>
      </w:r>
    </w:p>
    <w:p w:rsidR="00C77276" w:rsidRPr="00412ABC" w:rsidRDefault="00C77276" w:rsidP="00C77276">
      <w:pPr>
        <w:ind w:left="2552" w:hanging="2552"/>
        <w:jc w:val="both"/>
      </w:pPr>
      <w:r>
        <w:t xml:space="preserve"> </w:t>
      </w:r>
    </w:p>
    <w:p w:rsidR="00C77276" w:rsidRDefault="00C77276" w:rsidP="00C77276">
      <w:pPr>
        <w:widowControl w:val="0"/>
        <w:jc w:val="both"/>
      </w:pPr>
      <w:r>
        <w:t>_________________________________________________________________________</w:t>
      </w:r>
    </w:p>
    <w:p w:rsidR="00C77276" w:rsidRPr="00412ABC" w:rsidRDefault="00C77276" w:rsidP="00C77276">
      <w:pPr>
        <w:widowControl w:val="0"/>
        <w:jc w:val="both"/>
      </w:pPr>
    </w:p>
    <w:p w:rsidR="00C77276" w:rsidRPr="00412ABC" w:rsidRDefault="00C77276" w:rsidP="00C77276">
      <w:pPr>
        <w:widowControl w:val="0"/>
        <w:numPr>
          <w:ilvl w:val="0"/>
          <w:numId w:val="1"/>
        </w:numPr>
        <w:ind w:left="567" w:hanging="567"/>
        <w:jc w:val="both"/>
        <w:rPr>
          <w:b/>
        </w:rPr>
      </w:pPr>
      <w:r w:rsidRPr="00412ABC">
        <w:rPr>
          <w:b/>
        </w:rPr>
        <w:t xml:space="preserve">ANTECEDENTES </w:t>
      </w:r>
    </w:p>
    <w:p w:rsidR="00C77276" w:rsidRPr="00412ABC" w:rsidRDefault="00C77276" w:rsidP="00C77276">
      <w:pPr>
        <w:widowControl w:val="0"/>
        <w:ind w:left="567"/>
        <w:jc w:val="both"/>
        <w:rPr>
          <w:b/>
        </w:rPr>
      </w:pPr>
      <w:r w:rsidRPr="00412ABC">
        <w:rPr>
          <w:b/>
        </w:rPr>
        <w:t xml:space="preserve">                                                                                                                                                                                                                                                                                                    </w:t>
      </w:r>
    </w:p>
    <w:p w:rsidR="00C77276" w:rsidRPr="00116A9E" w:rsidRDefault="00C77276" w:rsidP="00C77276">
      <w:pPr>
        <w:pStyle w:val="WW-Textoindependiente2"/>
        <w:widowControl w:val="0"/>
        <w:tabs>
          <w:tab w:val="left" w:pos="426"/>
        </w:tabs>
        <w:rPr>
          <w:rFonts w:ascii="Times New Roman" w:hAnsi="Times New Roman"/>
          <w:b/>
          <w:caps/>
          <w:lang w:val="es-ES_tradnl"/>
        </w:rPr>
      </w:pPr>
      <w:r w:rsidRPr="00412ABC">
        <w:rPr>
          <w:rFonts w:ascii="Times New Roman" w:hAnsi="Times New Roman"/>
          <w:lang w:val="es-PE" w:eastAsia="es-ES"/>
        </w:rPr>
        <w:t xml:space="preserve">Mediante </w:t>
      </w:r>
      <w:r w:rsidR="0067092E">
        <w:rPr>
          <w:rFonts w:ascii="Times New Roman" w:hAnsi="Times New Roman"/>
          <w:lang w:val="es-PE" w:eastAsia="es-ES"/>
        </w:rPr>
        <w:t>carta</w:t>
      </w:r>
      <w:r w:rsidR="00725CDA">
        <w:rPr>
          <w:rFonts w:ascii="Times New Roman" w:hAnsi="Times New Roman"/>
          <w:lang w:val="es-PE" w:eastAsia="es-ES"/>
        </w:rPr>
        <w:t xml:space="preserve"> N° 0</w:t>
      </w:r>
      <w:r w:rsidR="006D7639">
        <w:rPr>
          <w:rFonts w:ascii="Times New Roman" w:hAnsi="Times New Roman"/>
          <w:lang w:val="es-PE" w:eastAsia="es-ES"/>
        </w:rPr>
        <w:t>0</w:t>
      </w:r>
      <w:r w:rsidR="0067092E">
        <w:rPr>
          <w:rFonts w:ascii="Times New Roman" w:hAnsi="Times New Roman"/>
          <w:lang w:val="es-PE" w:eastAsia="es-ES"/>
        </w:rPr>
        <w:t>1 COMITÉ ESPECIAL AD HOC–ESALUD-2015</w:t>
      </w:r>
      <w:r>
        <w:rPr>
          <w:rFonts w:ascii="Times New Roman" w:hAnsi="Times New Roman"/>
          <w:lang w:val="es-PE" w:eastAsia="es-ES"/>
        </w:rPr>
        <w:t xml:space="preserve">, recibido con fecha </w:t>
      </w:r>
      <w:r w:rsidR="006D7639">
        <w:rPr>
          <w:rFonts w:ascii="Times New Roman" w:hAnsi="Times New Roman"/>
          <w:lang w:val="es-PE" w:eastAsia="es-ES"/>
        </w:rPr>
        <w:t>1</w:t>
      </w:r>
      <w:r w:rsidR="0067092E">
        <w:rPr>
          <w:rFonts w:ascii="Times New Roman" w:hAnsi="Times New Roman"/>
          <w:lang w:val="es-PE" w:eastAsia="es-ES"/>
        </w:rPr>
        <w:t>2</w:t>
      </w:r>
      <w:r w:rsidR="00D765D4">
        <w:rPr>
          <w:rFonts w:ascii="Times New Roman" w:hAnsi="Times New Roman"/>
          <w:lang w:val="es-PE" w:eastAsia="es-ES"/>
        </w:rPr>
        <w:t>.</w:t>
      </w:r>
      <w:r w:rsidR="0067092E">
        <w:rPr>
          <w:rFonts w:ascii="Times New Roman" w:hAnsi="Times New Roman"/>
          <w:lang w:val="es-PE" w:eastAsia="es-ES"/>
        </w:rPr>
        <w:t>OCT</w:t>
      </w:r>
      <w:r w:rsidR="00D765D4">
        <w:rPr>
          <w:rFonts w:ascii="Times New Roman" w:hAnsi="Times New Roman"/>
          <w:lang w:val="es-PE" w:eastAsia="es-ES"/>
        </w:rPr>
        <w:t>.2015</w:t>
      </w:r>
      <w:r>
        <w:rPr>
          <w:rFonts w:ascii="Times New Roman" w:hAnsi="Times New Roman"/>
          <w:lang w:val="es-PE" w:eastAsia="es-ES"/>
        </w:rPr>
        <w:t xml:space="preserve">, </w:t>
      </w:r>
      <w:r w:rsidR="00725CDA" w:rsidRPr="00725CDA">
        <w:rPr>
          <w:rFonts w:ascii="Times New Roman" w:hAnsi="Times New Roman"/>
          <w:lang w:val="es-PE" w:eastAsia="es-ES"/>
        </w:rPr>
        <w:t xml:space="preserve">el Presidente del Comité Especial encargado del proceso de selección de la referencia remitió al Organismo Supervisor de las Contrataciones del Estado (OSCE) las </w:t>
      </w:r>
      <w:r w:rsidR="0067092E">
        <w:rPr>
          <w:rFonts w:ascii="Times New Roman" w:hAnsi="Times New Roman"/>
          <w:lang w:val="es-PE" w:eastAsia="es-ES"/>
        </w:rPr>
        <w:t>once</w:t>
      </w:r>
      <w:r w:rsidR="00725CDA" w:rsidRPr="00725CDA">
        <w:rPr>
          <w:rFonts w:ascii="Times New Roman" w:hAnsi="Times New Roman"/>
          <w:lang w:val="es-PE" w:eastAsia="es-ES"/>
        </w:rPr>
        <w:t xml:space="preserve"> (</w:t>
      </w:r>
      <w:r w:rsidR="0067092E">
        <w:rPr>
          <w:rFonts w:ascii="Times New Roman" w:hAnsi="Times New Roman"/>
          <w:lang w:val="es-PE" w:eastAsia="es-ES"/>
        </w:rPr>
        <w:t>11</w:t>
      </w:r>
      <w:r w:rsidR="00725CDA" w:rsidRPr="00725CDA">
        <w:rPr>
          <w:rFonts w:ascii="Times New Roman" w:hAnsi="Times New Roman"/>
          <w:lang w:val="es-PE" w:eastAsia="es-ES"/>
        </w:rPr>
        <w:t>) observaciones presentad</w:t>
      </w:r>
      <w:r w:rsidR="0067092E">
        <w:rPr>
          <w:rFonts w:ascii="Times New Roman" w:hAnsi="Times New Roman"/>
          <w:lang w:val="es-PE" w:eastAsia="es-ES"/>
        </w:rPr>
        <w:t>a</w:t>
      </w:r>
      <w:r w:rsidR="00725CDA" w:rsidRPr="00725CDA">
        <w:rPr>
          <w:rFonts w:ascii="Times New Roman" w:hAnsi="Times New Roman"/>
          <w:lang w:val="es-PE" w:eastAsia="es-ES"/>
        </w:rPr>
        <w:t xml:space="preserve">s por el participante </w:t>
      </w:r>
      <w:r w:rsidR="0067092E">
        <w:rPr>
          <w:rFonts w:ascii="Times New Roman" w:hAnsi="Times New Roman"/>
          <w:b/>
          <w:lang w:val="es-PE" w:eastAsia="es-ES"/>
        </w:rPr>
        <w:t xml:space="preserve">REPRESENTACIONES QUIMICA EUROPEA S.A.C. </w:t>
      </w:r>
      <w:r w:rsidR="0067092E" w:rsidRPr="0067092E">
        <w:rPr>
          <w:rFonts w:ascii="Times New Roman" w:hAnsi="Times New Roman"/>
          <w:lang w:val="es-PE" w:eastAsia="es-ES"/>
        </w:rPr>
        <w:t xml:space="preserve">y la única </w:t>
      </w:r>
      <w:r w:rsidR="006D0E25">
        <w:rPr>
          <w:rFonts w:ascii="Times New Roman" w:hAnsi="Times New Roman"/>
          <w:lang w:val="es-PE" w:eastAsia="es-ES"/>
        </w:rPr>
        <w:t xml:space="preserve">(01) </w:t>
      </w:r>
      <w:r w:rsidR="0067092E" w:rsidRPr="0067092E">
        <w:rPr>
          <w:rFonts w:ascii="Times New Roman" w:hAnsi="Times New Roman"/>
          <w:lang w:val="es-PE" w:eastAsia="es-ES"/>
        </w:rPr>
        <w:t>observación</w:t>
      </w:r>
      <w:r w:rsidR="006D0E25">
        <w:rPr>
          <w:rFonts w:ascii="Times New Roman" w:hAnsi="Times New Roman"/>
          <w:lang w:val="es-PE" w:eastAsia="es-ES"/>
        </w:rPr>
        <w:t xml:space="preserve"> presentada por </w:t>
      </w:r>
      <w:r w:rsidR="006D0E25" w:rsidRPr="006D0E25">
        <w:rPr>
          <w:rFonts w:ascii="Times New Roman" w:hAnsi="Times New Roman"/>
          <w:b/>
          <w:lang w:val="es-PE" w:eastAsia="es-ES"/>
        </w:rPr>
        <w:t>FRESENIUS MEDICAL CARE DEL PERU S.A.</w:t>
      </w:r>
      <w:r w:rsidR="00725CDA" w:rsidRPr="00725CDA">
        <w:rPr>
          <w:rFonts w:ascii="Times New Roman" w:hAnsi="Times New Roman"/>
          <w:lang w:val="es-PE" w:eastAsia="es-ES"/>
        </w:rPr>
        <w:t>,</w:t>
      </w:r>
      <w:r w:rsidR="006F771C">
        <w:rPr>
          <w:rFonts w:ascii="Times New Roman" w:hAnsi="Times New Roman"/>
          <w:lang w:val="es-PE" w:eastAsia="es-ES"/>
        </w:rPr>
        <w:t xml:space="preserve"> </w:t>
      </w:r>
      <w:r w:rsidR="00725CDA" w:rsidRPr="00725CDA">
        <w:rPr>
          <w:rFonts w:ascii="Times New Roman" w:hAnsi="Times New Roman"/>
          <w:lang w:val="es-PE" w:eastAsia="es-ES"/>
        </w:rPr>
        <w:t>así como el respectivo informe técnico, en cumplimiento de lo dispuesto por el artículo 28 del Decreto Legislativo Nº 1017, que aprueba la Ley de Contrataciones del Estado, en adelante la Ley, y el artículo 58 de su Reglamento, aprobado por Decreto Supremo Nº 184-2008-EF, en adelante el Reglamento.</w:t>
      </w:r>
    </w:p>
    <w:p w:rsidR="00C77276" w:rsidRPr="00DF286F" w:rsidRDefault="00C77276" w:rsidP="00C77276">
      <w:pPr>
        <w:pStyle w:val="WW-Textoindependiente2"/>
        <w:widowControl w:val="0"/>
        <w:tabs>
          <w:tab w:val="left" w:pos="426"/>
        </w:tabs>
        <w:rPr>
          <w:rFonts w:ascii="Times New Roman" w:hAnsi="Times New Roman"/>
          <w:lang w:val="es-ES_tradnl" w:eastAsia="es-ES"/>
        </w:rPr>
      </w:pPr>
    </w:p>
    <w:p w:rsidR="00C77276" w:rsidRDefault="00C77276" w:rsidP="00C77276">
      <w:pPr>
        <w:pStyle w:val="WW-Sangra3detindependiente"/>
        <w:suppressAutoHyphens w:val="0"/>
        <w:ind w:left="1"/>
        <w:rPr>
          <w:szCs w:val="24"/>
        </w:rPr>
      </w:pPr>
      <w:r w:rsidRPr="00412ABC">
        <w:rPr>
          <w:szCs w:val="24"/>
        </w:rPr>
        <w:t>Al respecto, resulta importante resaltar que, atendiendo a lo dispuesto por el artículo 58 del Reglamento, independientemente de la denominación que les haya dado el participante, este Organismo Supervisor se pronunciará únicamente respecto de: a) Las observaciones presentadas por el solicitante que no hayan sido acogidas o son acogidas parcialmente;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C77276" w:rsidRDefault="00C77276" w:rsidP="00C77276">
      <w:pPr>
        <w:pStyle w:val="WW-Sangra3detindependiente"/>
        <w:suppressAutoHyphens w:val="0"/>
        <w:ind w:left="1"/>
        <w:rPr>
          <w:szCs w:val="24"/>
        </w:rPr>
      </w:pPr>
    </w:p>
    <w:p w:rsidR="00DE6B3A" w:rsidRDefault="006D7639" w:rsidP="00325772">
      <w:pPr>
        <w:pStyle w:val="WW-Sangra3detindependiente"/>
        <w:suppressAutoHyphens w:val="0"/>
        <w:ind w:left="1"/>
        <w:rPr>
          <w:szCs w:val="24"/>
        </w:rPr>
      </w:pPr>
      <w:r>
        <w:rPr>
          <w:szCs w:val="24"/>
        </w:rPr>
        <w:t>E</w:t>
      </w:r>
      <w:r w:rsidR="00C77276" w:rsidRPr="00DF286F">
        <w:rPr>
          <w:szCs w:val="24"/>
        </w:rPr>
        <w:t xml:space="preserve">n ese sentido, respecto a las </w:t>
      </w:r>
      <w:r w:rsidR="006F771C">
        <w:rPr>
          <w:szCs w:val="24"/>
        </w:rPr>
        <w:t>once</w:t>
      </w:r>
      <w:r>
        <w:rPr>
          <w:szCs w:val="24"/>
        </w:rPr>
        <w:t xml:space="preserve"> </w:t>
      </w:r>
      <w:r w:rsidR="00C77276" w:rsidRPr="00DF286F">
        <w:rPr>
          <w:szCs w:val="24"/>
        </w:rPr>
        <w:t>(</w:t>
      </w:r>
      <w:r w:rsidR="006F771C">
        <w:rPr>
          <w:szCs w:val="24"/>
        </w:rPr>
        <w:t>11)</w:t>
      </w:r>
      <w:r w:rsidR="00C77276" w:rsidRPr="00DF286F">
        <w:rPr>
          <w:szCs w:val="24"/>
        </w:rPr>
        <w:t xml:space="preserve"> observaciones formuladas por el participante </w:t>
      </w:r>
      <w:r w:rsidR="004248D7">
        <w:rPr>
          <w:b/>
          <w:caps/>
        </w:rPr>
        <w:t>r</w:t>
      </w:r>
      <w:r w:rsidR="006F771C">
        <w:rPr>
          <w:b/>
          <w:caps/>
        </w:rPr>
        <w:t>EPRESENTACIONES QUIMICA EUROPEA S.A.C.</w:t>
      </w:r>
      <w:r w:rsidR="00C77276" w:rsidRPr="00DF286F">
        <w:rPr>
          <w:szCs w:val="24"/>
        </w:rPr>
        <w:t xml:space="preserve">, cabe señalar </w:t>
      </w:r>
      <w:r w:rsidR="00DE6B3A">
        <w:rPr>
          <w:szCs w:val="24"/>
        </w:rPr>
        <w:t>lo siguiente:</w:t>
      </w:r>
    </w:p>
    <w:p w:rsidR="00DE6B3A" w:rsidRDefault="00DE6B3A" w:rsidP="00325772">
      <w:pPr>
        <w:pStyle w:val="WW-Sangra3detindependiente"/>
        <w:suppressAutoHyphens w:val="0"/>
        <w:ind w:left="1"/>
        <w:rPr>
          <w:szCs w:val="24"/>
        </w:rPr>
      </w:pPr>
    </w:p>
    <w:p w:rsidR="006F771C" w:rsidRDefault="006F771C" w:rsidP="006F771C">
      <w:pPr>
        <w:pStyle w:val="WW-Sangra3detindependiente"/>
        <w:numPr>
          <w:ilvl w:val="0"/>
          <w:numId w:val="24"/>
        </w:numPr>
        <w:suppressAutoHyphens w:val="0"/>
        <w:rPr>
          <w:szCs w:val="24"/>
        </w:rPr>
      </w:pPr>
      <w:r>
        <w:rPr>
          <w:szCs w:val="24"/>
        </w:rPr>
        <w:t>D</w:t>
      </w:r>
      <w:r w:rsidRPr="00DF286F">
        <w:rPr>
          <w:szCs w:val="24"/>
        </w:rPr>
        <w:t>e la revisión de la</w:t>
      </w:r>
      <w:r>
        <w:rPr>
          <w:szCs w:val="24"/>
        </w:rPr>
        <w:t>s</w:t>
      </w:r>
      <w:r w:rsidRPr="00DF286F">
        <w:rPr>
          <w:szCs w:val="24"/>
        </w:rPr>
        <w:t xml:space="preserve"> Observaci</w:t>
      </w:r>
      <w:r>
        <w:rPr>
          <w:szCs w:val="24"/>
        </w:rPr>
        <w:t>ones</w:t>
      </w:r>
      <w:r w:rsidRPr="00DF286F">
        <w:rPr>
          <w:szCs w:val="24"/>
        </w:rPr>
        <w:t xml:space="preserve"> N° </w:t>
      </w:r>
      <w:r>
        <w:rPr>
          <w:szCs w:val="24"/>
        </w:rPr>
        <w:t xml:space="preserve">2, </w:t>
      </w:r>
      <w:r w:rsidR="00B408E0" w:rsidRPr="00DF286F">
        <w:rPr>
          <w:szCs w:val="24"/>
        </w:rPr>
        <w:t>N°</w:t>
      </w:r>
      <w:r w:rsidR="00B408E0">
        <w:rPr>
          <w:szCs w:val="24"/>
        </w:rPr>
        <w:t xml:space="preserve"> </w:t>
      </w:r>
      <w:r>
        <w:rPr>
          <w:szCs w:val="24"/>
        </w:rPr>
        <w:t xml:space="preserve">3, </w:t>
      </w:r>
      <w:r w:rsidR="00B408E0" w:rsidRPr="00DF286F">
        <w:rPr>
          <w:szCs w:val="24"/>
        </w:rPr>
        <w:t>N°</w:t>
      </w:r>
      <w:r w:rsidR="00B408E0">
        <w:rPr>
          <w:szCs w:val="24"/>
        </w:rPr>
        <w:t xml:space="preserve"> </w:t>
      </w:r>
      <w:r>
        <w:rPr>
          <w:szCs w:val="24"/>
        </w:rPr>
        <w:t xml:space="preserve">4, </w:t>
      </w:r>
      <w:r w:rsidR="00B408E0" w:rsidRPr="00DF286F">
        <w:rPr>
          <w:szCs w:val="24"/>
        </w:rPr>
        <w:t>N°</w:t>
      </w:r>
      <w:r w:rsidR="00B408E0">
        <w:rPr>
          <w:szCs w:val="24"/>
        </w:rPr>
        <w:t xml:space="preserve"> </w:t>
      </w:r>
      <w:r>
        <w:rPr>
          <w:szCs w:val="24"/>
        </w:rPr>
        <w:t xml:space="preserve">5, </w:t>
      </w:r>
      <w:r w:rsidR="00B408E0" w:rsidRPr="00DF286F">
        <w:rPr>
          <w:szCs w:val="24"/>
        </w:rPr>
        <w:t>N°</w:t>
      </w:r>
      <w:r w:rsidR="00B408E0">
        <w:rPr>
          <w:szCs w:val="24"/>
        </w:rPr>
        <w:t xml:space="preserve"> </w:t>
      </w:r>
      <w:r>
        <w:rPr>
          <w:szCs w:val="24"/>
        </w:rPr>
        <w:t xml:space="preserve">6, </w:t>
      </w:r>
      <w:r w:rsidR="00B408E0" w:rsidRPr="00DF286F">
        <w:rPr>
          <w:szCs w:val="24"/>
        </w:rPr>
        <w:t>N°</w:t>
      </w:r>
      <w:r w:rsidR="00B408E0">
        <w:rPr>
          <w:szCs w:val="24"/>
        </w:rPr>
        <w:t xml:space="preserve"> </w:t>
      </w:r>
      <w:r>
        <w:rPr>
          <w:szCs w:val="24"/>
        </w:rPr>
        <w:t>7</w:t>
      </w:r>
      <w:r w:rsidR="00B408E0">
        <w:rPr>
          <w:szCs w:val="24"/>
        </w:rPr>
        <w:t xml:space="preserve">, </w:t>
      </w:r>
      <w:r w:rsidR="00B408E0" w:rsidRPr="00DF286F">
        <w:rPr>
          <w:szCs w:val="24"/>
        </w:rPr>
        <w:t>N°</w:t>
      </w:r>
      <w:r w:rsidR="00B408E0">
        <w:rPr>
          <w:szCs w:val="24"/>
        </w:rPr>
        <w:t xml:space="preserve"> 8 </w:t>
      </w:r>
      <w:r>
        <w:rPr>
          <w:szCs w:val="24"/>
        </w:rPr>
        <w:t>y N°</w:t>
      </w:r>
      <w:r w:rsidR="00B408E0">
        <w:rPr>
          <w:szCs w:val="24"/>
        </w:rPr>
        <w:t xml:space="preserve"> 9</w:t>
      </w:r>
      <w:r>
        <w:rPr>
          <w:szCs w:val="24"/>
        </w:rPr>
        <w:t xml:space="preserve">, </w:t>
      </w:r>
      <w:r w:rsidRPr="00DF286F">
        <w:rPr>
          <w:szCs w:val="24"/>
        </w:rPr>
        <w:t>se advierte que ésta</w:t>
      </w:r>
      <w:r>
        <w:rPr>
          <w:szCs w:val="24"/>
        </w:rPr>
        <w:t xml:space="preserve">s corresponden a solicitudes de </w:t>
      </w:r>
      <w:r w:rsidR="00B408E0">
        <w:rPr>
          <w:szCs w:val="24"/>
        </w:rPr>
        <w:t xml:space="preserve">modificaciones y/o </w:t>
      </w:r>
      <w:r>
        <w:rPr>
          <w:szCs w:val="24"/>
        </w:rPr>
        <w:t>precisiones</w:t>
      </w:r>
      <w:r w:rsidR="00B408E0">
        <w:rPr>
          <w:szCs w:val="24"/>
        </w:rPr>
        <w:t xml:space="preserve"> al contenido de las Bases que no se sustentan en la vulneración de la normativa de contrataciones del Estado y/o normas complementarias </w:t>
      </w:r>
      <w:r w:rsidR="005C5D00">
        <w:rPr>
          <w:szCs w:val="24"/>
        </w:rPr>
        <w:t>o conexas que tengan relación con el proceso de selección, por lo que al tratarse en estricto de consultas</w:t>
      </w:r>
      <w:r>
        <w:rPr>
          <w:szCs w:val="24"/>
        </w:rPr>
        <w:t>, este Organismo Supervisor no se pronunciará al respecto</w:t>
      </w:r>
      <w:r w:rsidRPr="00DF286F">
        <w:rPr>
          <w:szCs w:val="24"/>
        </w:rPr>
        <w:t>.</w:t>
      </w:r>
    </w:p>
    <w:p w:rsidR="006F771C" w:rsidRPr="006F771C" w:rsidRDefault="006F771C" w:rsidP="006F771C">
      <w:pPr>
        <w:pStyle w:val="WW-Sangra3detindependiente"/>
        <w:suppressAutoHyphens w:val="0"/>
        <w:ind w:left="362" w:firstLine="0"/>
        <w:rPr>
          <w:szCs w:val="24"/>
        </w:rPr>
      </w:pPr>
    </w:p>
    <w:p w:rsidR="00DE6B3A" w:rsidRPr="00DE6B3A" w:rsidRDefault="00DE6B3A" w:rsidP="00DE6B3A">
      <w:pPr>
        <w:pStyle w:val="WW-Sangra3detindependiente"/>
        <w:numPr>
          <w:ilvl w:val="0"/>
          <w:numId w:val="24"/>
        </w:numPr>
        <w:suppressAutoHyphens w:val="0"/>
        <w:rPr>
          <w:szCs w:val="24"/>
        </w:rPr>
      </w:pPr>
      <w:r>
        <w:rPr>
          <w:szCs w:val="24"/>
          <w:lang w:val="es-PE" w:eastAsia="es-ES"/>
        </w:rPr>
        <w:t xml:space="preserve">Respecto de la Observación N° </w:t>
      </w:r>
      <w:r w:rsidR="00B408E0">
        <w:rPr>
          <w:szCs w:val="24"/>
          <w:lang w:val="es-PE" w:eastAsia="es-ES"/>
        </w:rPr>
        <w:t>10</w:t>
      </w:r>
      <w:r>
        <w:rPr>
          <w:szCs w:val="24"/>
          <w:lang w:val="es-PE" w:eastAsia="es-ES"/>
        </w:rPr>
        <w:t>, s</w:t>
      </w:r>
      <w:r w:rsidRPr="00467019">
        <w:rPr>
          <w:szCs w:val="24"/>
          <w:lang w:val="es-PE" w:eastAsia="es-ES"/>
        </w:rPr>
        <w:t xml:space="preserve">i bien el Comité Especial </w:t>
      </w:r>
      <w:r w:rsidR="00B408E0">
        <w:rPr>
          <w:szCs w:val="24"/>
          <w:lang w:val="es-PE" w:eastAsia="es-ES"/>
        </w:rPr>
        <w:t xml:space="preserve">no </w:t>
      </w:r>
      <w:r w:rsidRPr="00467019">
        <w:rPr>
          <w:szCs w:val="24"/>
          <w:lang w:val="es-PE" w:eastAsia="es-ES"/>
        </w:rPr>
        <w:t xml:space="preserve">ha mencionado </w:t>
      </w:r>
      <w:r w:rsidR="00B408E0">
        <w:rPr>
          <w:szCs w:val="24"/>
          <w:lang w:val="es-PE" w:eastAsia="es-ES"/>
        </w:rPr>
        <w:t xml:space="preserve">si acoge o no </w:t>
      </w:r>
      <w:r>
        <w:rPr>
          <w:szCs w:val="24"/>
          <w:lang w:val="es-PE" w:eastAsia="es-ES"/>
        </w:rPr>
        <w:t>dicha observación</w:t>
      </w:r>
      <w:r w:rsidRPr="00467019">
        <w:rPr>
          <w:szCs w:val="24"/>
          <w:lang w:val="es-PE" w:eastAsia="es-ES"/>
        </w:rPr>
        <w:t xml:space="preserve">, ésta en estricto se encuentra acogida, por lo que éste Organismo Supervisor </w:t>
      </w:r>
      <w:r>
        <w:rPr>
          <w:szCs w:val="24"/>
          <w:lang w:val="es-PE" w:eastAsia="es-ES"/>
        </w:rPr>
        <w:t xml:space="preserve">no </w:t>
      </w:r>
      <w:r w:rsidRPr="00467019">
        <w:rPr>
          <w:szCs w:val="24"/>
          <w:lang w:val="es-PE" w:eastAsia="es-ES"/>
        </w:rPr>
        <w:t>se pronunciará sobre ella</w:t>
      </w:r>
      <w:r>
        <w:rPr>
          <w:szCs w:val="24"/>
          <w:lang w:val="es-PE" w:eastAsia="es-ES"/>
        </w:rPr>
        <w:t xml:space="preserve">, </w:t>
      </w:r>
      <w:r w:rsidRPr="00DE6B3A">
        <w:rPr>
          <w:rFonts w:eastAsiaTheme="minorHAnsi"/>
          <w:color w:val="000000"/>
          <w:szCs w:val="24"/>
          <w:lang w:val="es-PE" w:eastAsia="en-US"/>
        </w:rPr>
        <w:t>máxime si el participante no ha cuestionado dicha observación en su solicitud de elevación de observaciones</w:t>
      </w:r>
      <w:r>
        <w:rPr>
          <w:rFonts w:eastAsiaTheme="minorHAnsi"/>
          <w:color w:val="000000"/>
          <w:szCs w:val="24"/>
          <w:lang w:val="es-PE" w:eastAsia="en-US"/>
        </w:rPr>
        <w:t>.</w:t>
      </w:r>
    </w:p>
    <w:p w:rsidR="00EA7A43" w:rsidRDefault="00EA7A43" w:rsidP="00EA7A43">
      <w:pPr>
        <w:pStyle w:val="Prrafodelista"/>
        <w:rPr>
          <w:szCs w:val="24"/>
        </w:rPr>
      </w:pPr>
    </w:p>
    <w:p w:rsidR="00EA7A43" w:rsidRPr="00DF286F" w:rsidRDefault="00EA7A43" w:rsidP="00EA7A43">
      <w:pPr>
        <w:pStyle w:val="WW-Sangra3detindependiente"/>
        <w:suppressAutoHyphens w:val="0"/>
        <w:ind w:left="362" w:firstLine="0"/>
        <w:rPr>
          <w:szCs w:val="24"/>
        </w:rPr>
      </w:pPr>
    </w:p>
    <w:p w:rsidR="00C77276" w:rsidRDefault="00C77276" w:rsidP="00C77276">
      <w:pPr>
        <w:pStyle w:val="WW-Sangra3detindependiente"/>
        <w:suppressAutoHyphens w:val="0"/>
        <w:ind w:left="1"/>
        <w:rPr>
          <w:lang w:val="es-PE"/>
        </w:rPr>
      </w:pPr>
      <w:r w:rsidRPr="00DF286F">
        <w:rPr>
          <w:szCs w:val="24"/>
        </w:rPr>
        <w:t>Todo ello</w:t>
      </w:r>
      <w:r w:rsidRPr="00DF286F">
        <w:rPr>
          <w:lang w:eastAsia="es-ES"/>
        </w:rPr>
        <w:t xml:space="preserve">, </w:t>
      </w:r>
      <w:r w:rsidRPr="00DF286F">
        <w:rPr>
          <w:lang w:val="es-MX"/>
        </w:rPr>
        <w:t>sin</w:t>
      </w:r>
      <w:r w:rsidRPr="00DF286F">
        <w:rPr>
          <w:lang w:val="es-PE"/>
        </w:rPr>
        <w:t xml:space="preserve"> perjuicio de las observaciones de oficio que puedan realizarse al amparo de lo previsto por el inciso a) del artículo 58° de la Ley.</w:t>
      </w:r>
    </w:p>
    <w:p w:rsidR="00BC133C" w:rsidRPr="00BC133C" w:rsidRDefault="00BC133C" w:rsidP="00C77276">
      <w:pPr>
        <w:pStyle w:val="WW-Sangra3detindependiente"/>
        <w:widowControl/>
        <w:suppressAutoHyphens w:val="0"/>
        <w:ind w:left="2"/>
        <w:rPr>
          <w:szCs w:val="24"/>
          <w:lang w:val="es-PE" w:eastAsia="es-ES"/>
        </w:rPr>
      </w:pPr>
    </w:p>
    <w:p w:rsidR="00C77276" w:rsidRPr="00412ABC" w:rsidRDefault="00C77276" w:rsidP="00C77276">
      <w:pPr>
        <w:pStyle w:val="Textoindependiente2"/>
        <w:widowControl w:val="0"/>
        <w:numPr>
          <w:ilvl w:val="0"/>
          <w:numId w:val="1"/>
        </w:numPr>
        <w:tabs>
          <w:tab w:val="clear" w:pos="360"/>
          <w:tab w:val="num" w:pos="567"/>
        </w:tabs>
        <w:spacing w:after="0" w:line="240" w:lineRule="auto"/>
        <w:ind w:left="567" w:hanging="567"/>
        <w:jc w:val="both"/>
        <w:rPr>
          <w:b/>
        </w:rPr>
      </w:pPr>
      <w:r w:rsidRPr="00412ABC">
        <w:rPr>
          <w:b/>
        </w:rPr>
        <w:t>OBSERVACIONES</w:t>
      </w:r>
    </w:p>
    <w:p w:rsidR="00C77276" w:rsidRDefault="00C77276" w:rsidP="00C77276">
      <w:pPr>
        <w:widowControl w:val="0"/>
        <w:tabs>
          <w:tab w:val="left" w:pos="567"/>
          <w:tab w:val="left" w:pos="4253"/>
        </w:tabs>
        <w:ind w:left="4248" w:hanging="4248"/>
        <w:jc w:val="both"/>
        <w:rPr>
          <w:b/>
          <w:lang w:val="es-PE"/>
        </w:rPr>
      </w:pPr>
    </w:p>
    <w:p w:rsidR="00C77276" w:rsidRDefault="008B0DB2" w:rsidP="008B0DB2">
      <w:pPr>
        <w:pStyle w:val="Sinespaciado"/>
        <w:jc w:val="both"/>
        <w:rPr>
          <w:b/>
          <w:lang w:val="es-PE"/>
        </w:rPr>
      </w:pPr>
      <w:r w:rsidRPr="008B0DB2">
        <w:rPr>
          <w:b/>
          <w:lang w:val="es-PE"/>
        </w:rPr>
        <w:t xml:space="preserve">2.1 </w:t>
      </w:r>
      <w:r w:rsidR="00C77276" w:rsidRPr="008B0DB2">
        <w:rPr>
          <w:b/>
          <w:lang w:val="es-PE"/>
        </w:rPr>
        <w:t>Observante</w:t>
      </w:r>
      <w:r w:rsidR="00C77276">
        <w:rPr>
          <w:lang w:val="es-PE"/>
        </w:rPr>
        <w:t xml:space="preserve">:                                      </w:t>
      </w:r>
      <w:r>
        <w:rPr>
          <w:lang w:val="es-PE"/>
        </w:rPr>
        <w:t xml:space="preserve">              </w:t>
      </w:r>
      <w:r w:rsidR="00C77276">
        <w:rPr>
          <w:lang w:val="es-PE"/>
        </w:rPr>
        <w:t xml:space="preserve">      </w:t>
      </w:r>
      <w:r w:rsidR="00BA1B11" w:rsidRPr="008B0DB2">
        <w:rPr>
          <w:b/>
          <w:lang w:val="es-PE"/>
        </w:rPr>
        <w:t>R</w:t>
      </w:r>
      <w:r w:rsidRPr="008B0DB2">
        <w:rPr>
          <w:b/>
          <w:lang w:val="es-PE"/>
        </w:rPr>
        <w:t xml:space="preserve">EPRESENTACIONES QUIMICA </w:t>
      </w:r>
      <w:r>
        <w:rPr>
          <w:b/>
          <w:lang w:val="es-PE"/>
        </w:rPr>
        <w:t xml:space="preserve"> </w:t>
      </w:r>
    </w:p>
    <w:p w:rsidR="008B0DB2" w:rsidRPr="008B0DB2" w:rsidRDefault="008B0DB2" w:rsidP="008B0DB2">
      <w:pPr>
        <w:pStyle w:val="Sinespaciado"/>
        <w:jc w:val="both"/>
        <w:rPr>
          <w:b/>
          <w:lang w:val="es-PE" w:eastAsia="es-ES"/>
        </w:rPr>
      </w:pPr>
      <w:r>
        <w:rPr>
          <w:b/>
          <w:lang w:val="es-PE"/>
        </w:rPr>
        <w:t xml:space="preserve">                                                                                     </w:t>
      </w:r>
      <w:r w:rsidRPr="008B0DB2">
        <w:rPr>
          <w:b/>
          <w:lang w:val="es-PE"/>
        </w:rPr>
        <w:t>EUROPEA S.A.C</w:t>
      </w:r>
    </w:p>
    <w:p w:rsidR="00C77276" w:rsidRPr="00197ADF" w:rsidRDefault="00197ADF" w:rsidP="00DE6B3A">
      <w:pPr>
        <w:widowControl w:val="0"/>
        <w:ind w:left="3969" w:hanging="3969"/>
        <w:jc w:val="both"/>
        <w:rPr>
          <w:b/>
          <w:lang w:val="es-ES_tradnl"/>
        </w:rPr>
      </w:pPr>
      <w:r w:rsidRPr="00601411">
        <w:rPr>
          <w:b/>
        </w:rPr>
        <w:tab/>
      </w:r>
      <w:r w:rsidR="00840A46">
        <w:rPr>
          <w:b/>
        </w:rPr>
        <w:t xml:space="preserve">          </w:t>
      </w:r>
      <w:r>
        <w:rPr>
          <w:b/>
        </w:rPr>
        <w:t xml:space="preserve">    </w:t>
      </w:r>
    </w:p>
    <w:p w:rsidR="00E339B8" w:rsidRDefault="00C77276" w:rsidP="00306B86">
      <w:pPr>
        <w:pStyle w:val="Textoindependiente2"/>
        <w:widowControl w:val="0"/>
        <w:spacing w:after="0" w:line="240" w:lineRule="auto"/>
        <w:ind w:left="4820" w:hanging="4820"/>
        <w:jc w:val="both"/>
        <w:rPr>
          <w:b/>
          <w:lang w:val="es-PE"/>
        </w:rPr>
      </w:pPr>
      <w:r w:rsidRPr="00BC133C">
        <w:rPr>
          <w:b/>
          <w:lang w:val="es-PE"/>
        </w:rPr>
        <w:t>Observaci</w:t>
      </w:r>
      <w:r w:rsidR="00BC133C">
        <w:rPr>
          <w:b/>
          <w:lang w:val="es-PE"/>
        </w:rPr>
        <w:t>ón</w:t>
      </w:r>
      <w:r w:rsidR="001861BD" w:rsidRPr="00BC133C">
        <w:rPr>
          <w:b/>
          <w:lang w:val="es-PE"/>
        </w:rPr>
        <w:t xml:space="preserve"> N° </w:t>
      </w:r>
      <w:r w:rsidR="004905C9">
        <w:rPr>
          <w:b/>
          <w:lang w:val="es-PE"/>
        </w:rPr>
        <w:t>1</w:t>
      </w:r>
      <w:r w:rsidR="00E339B8" w:rsidRPr="00BC133C">
        <w:rPr>
          <w:b/>
          <w:lang w:val="es-PE"/>
        </w:rPr>
        <w:t xml:space="preserve"> </w:t>
      </w:r>
      <w:r w:rsidR="00EA0FD4" w:rsidRPr="00BC133C">
        <w:rPr>
          <w:b/>
          <w:lang w:val="es-PE"/>
        </w:rPr>
        <w:t xml:space="preserve">   </w:t>
      </w:r>
      <w:r w:rsidR="007B1086" w:rsidRPr="00BC133C">
        <w:rPr>
          <w:b/>
          <w:lang w:val="es-PE"/>
        </w:rPr>
        <w:t xml:space="preserve">            </w:t>
      </w:r>
      <w:r w:rsidR="00BA1B11">
        <w:rPr>
          <w:b/>
          <w:lang w:val="es-PE"/>
        </w:rPr>
        <w:t xml:space="preserve">           </w:t>
      </w:r>
      <w:r w:rsidR="007B1086" w:rsidRPr="00BC133C">
        <w:rPr>
          <w:b/>
          <w:lang w:val="es-PE"/>
        </w:rPr>
        <w:t xml:space="preserve">         </w:t>
      </w:r>
      <w:r w:rsidR="00BA1B11">
        <w:rPr>
          <w:b/>
          <w:lang w:val="es-PE"/>
        </w:rPr>
        <w:tab/>
      </w:r>
      <w:r w:rsidR="008B0DB2">
        <w:rPr>
          <w:b/>
          <w:lang w:val="es-PE"/>
        </w:rPr>
        <w:t>Requerimientos Técnicos Mínimos</w:t>
      </w:r>
      <w:r w:rsidR="00E339B8">
        <w:rPr>
          <w:b/>
          <w:lang w:val="es-PE"/>
        </w:rPr>
        <w:t xml:space="preserve">                       </w:t>
      </w:r>
      <w:r w:rsidR="001E2D68">
        <w:rPr>
          <w:b/>
          <w:lang w:val="es-PE"/>
        </w:rPr>
        <w:t xml:space="preserve">  </w:t>
      </w:r>
      <w:r w:rsidR="00E339B8">
        <w:rPr>
          <w:b/>
          <w:lang w:val="es-PE"/>
        </w:rPr>
        <w:t xml:space="preserve"> </w:t>
      </w:r>
      <w:r w:rsidR="00EA0FD4">
        <w:rPr>
          <w:b/>
          <w:lang w:val="es-PE"/>
        </w:rPr>
        <w:t xml:space="preserve">                 </w:t>
      </w:r>
    </w:p>
    <w:p w:rsidR="00306B86" w:rsidRDefault="00306B86" w:rsidP="00306B86">
      <w:pPr>
        <w:pStyle w:val="Textoindependiente2"/>
        <w:widowControl w:val="0"/>
        <w:spacing w:after="0" w:line="240" w:lineRule="auto"/>
        <w:ind w:left="4820" w:hanging="4820"/>
        <w:jc w:val="both"/>
        <w:rPr>
          <w:b/>
          <w:lang w:val="es-PE"/>
        </w:rPr>
      </w:pPr>
      <w:r>
        <w:rPr>
          <w:b/>
          <w:lang w:val="es-PE"/>
        </w:rPr>
        <w:tab/>
      </w:r>
    </w:p>
    <w:p w:rsidR="003175AF" w:rsidRDefault="008B0DB2" w:rsidP="00841FBD">
      <w:pPr>
        <w:autoSpaceDE w:val="0"/>
        <w:autoSpaceDN w:val="0"/>
        <w:adjustRightInd w:val="0"/>
        <w:jc w:val="both"/>
        <w:rPr>
          <w:snapToGrid w:val="0"/>
        </w:rPr>
      </w:pPr>
      <w:r>
        <w:rPr>
          <w:snapToGrid w:val="0"/>
        </w:rPr>
        <w:t>El participante cuestiona que se requieran distintas dimensiones del producto materia de adquisición</w:t>
      </w:r>
      <w:r w:rsidR="00250D44">
        <w:rPr>
          <w:snapToGrid w:val="0"/>
        </w:rPr>
        <w:t xml:space="preserve"> detallado en el ítem N° 2</w:t>
      </w:r>
      <w:r>
        <w:rPr>
          <w:snapToGrid w:val="0"/>
        </w:rPr>
        <w:t xml:space="preserve">, sin considerar la longitud de 57.5 </w:t>
      </w:r>
      <w:proofErr w:type="spellStart"/>
      <w:r>
        <w:rPr>
          <w:snapToGrid w:val="0"/>
        </w:rPr>
        <w:t>c.m</w:t>
      </w:r>
      <w:proofErr w:type="spellEnd"/>
      <w:r>
        <w:rPr>
          <w:snapToGrid w:val="0"/>
        </w:rPr>
        <w:t>.</w:t>
      </w:r>
      <w:r w:rsidR="003175AF">
        <w:rPr>
          <w:snapToGrid w:val="0"/>
        </w:rPr>
        <w:t>, la cual resultaría eficaz y efectiva y es aceptada por las distintas dependencias del Seguro Social de Salud a nivel nacional y del Ministerio de Salud, por lo que con objeto de propiciar la mayor participación de postores de acuerdo al artículo 4° literal c), Principio de Libre Concurrencia y Competencia, se debería ampliar el requerimiento.</w:t>
      </w:r>
    </w:p>
    <w:p w:rsidR="003175AF" w:rsidRDefault="003175AF" w:rsidP="00841FBD">
      <w:pPr>
        <w:autoSpaceDE w:val="0"/>
        <w:autoSpaceDN w:val="0"/>
        <w:adjustRightInd w:val="0"/>
        <w:jc w:val="both"/>
        <w:rPr>
          <w:snapToGrid w:val="0"/>
        </w:rPr>
      </w:pPr>
    </w:p>
    <w:p w:rsidR="008B0DB2" w:rsidRDefault="003175AF" w:rsidP="00841FBD">
      <w:pPr>
        <w:autoSpaceDE w:val="0"/>
        <w:autoSpaceDN w:val="0"/>
        <w:adjustRightInd w:val="0"/>
        <w:jc w:val="both"/>
        <w:rPr>
          <w:snapToGrid w:val="0"/>
        </w:rPr>
      </w:pPr>
      <w:r>
        <w:rPr>
          <w:snapToGrid w:val="0"/>
        </w:rPr>
        <w:t>En ese sentido, solicita que, con el objetivo de propiciar la mayor concurrencia y pluralidad de postores</w:t>
      </w:r>
      <w:r w:rsidR="008E1D12">
        <w:rPr>
          <w:snapToGrid w:val="0"/>
        </w:rPr>
        <w:t xml:space="preserve">, se acepte la longitud de 57.5 </w:t>
      </w:r>
      <w:proofErr w:type="spellStart"/>
      <w:r w:rsidR="008E1D12">
        <w:rPr>
          <w:snapToGrid w:val="0"/>
        </w:rPr>
        <w:t>c.m</w:t>
      </w:r>
      <w:proofErr w:type="spellEnd"/>
      <w:r w:rsidR="008E1D12">
        <w:rPr>
          <w:snapToGrid w:val="0"/>
        </w:rPr>
        <w:t>. para el ítem N° 2.</w:t>
      </w:r>
      <w:r w:rsidR="008B0DB2">
        <w:rPr>
          <w:snapToGrid w:val="0"/>
        </w:rPr>
        <w:t xml:space="preserve">  </w:t>
      </w:r>
    </w:p>
    <w:p w:rsidR="008B0DB2" w:rsidRDefault="008B0DB2" w:rsidP="00841FBD">
      <w:pPr>
        <w:autoSpaceDE w:val="0"/>
        <w:autoSpaceDN w:val="0"/>
        <w:adjustRightInd w:val="0"/>
        <w:jc w:val="both"/>
        <w:rPr>
          <w:snapToGrid w:val="0"/>
        </w:rPr>
      </w:pPr>
    </w:p>
    <w:p w:rsidR="008E1D12" w:rsidRPr="008E1D12" w:rsidRDefault="008E1D12" w:rsidP="00841FBD">
      <w:pPr>
        <w:autoSpaceDE w:val="0"/>
        <w:autoSpaceDN w:val="0"/>
        <w:adjustRightInd w:val="0"/>
        <w:jc w:val="both"/>
        <w:rPr>
          <w:b/>
          <w:snapToGrid w:val="0"/>
        </w:rPr>
      </w:pPr>
      <w:r w:rsidRPr="008E1D12">
        <w:rPr>
          <w:b/>
          <w:snapToGrid w:val="0"/>
        </w:rPr>
        <w:t xml:space="preserve">Pronunciamiento </w:t>
      </w:r>
    </w:p>
    <w:p w:rsidR="008E1D12" w:rsidRDefault="008E1D12" w:rsidP="00841FBD">
      <w:pPr>
        <w:autoSpaceDE w:val="0"/>
        <w:autoSpaceDN w:val="0"/>
        <w:adjustRightInd w:val="0"/>
        <w:jc w:val="both"/>
        <w:rPr>
          <w:snapToGrid w:val="0"/>
        </w:rPr>
      </w:pPr>
    </w:p>
    <w:p w:rsidR="008E1D12" w:rsidRDefault="008E1D12" w:rsidP="00841FBD">
      <w:pPr>
        <w:autoSpaceDE w:val="0"/>
        <w:autoSpaceDN w:val="0"/>
        <w:adjustRightInd w:val="0"/>
        <w:jc w:val="both"/>
        <w:rPr>
          <w:snapToGrid w:val="0"/>
        </w:rPr>
      </w:pPr>
      <w:r>
        <w:rPr>
          <w:snapToGrid w:val="0"/>
        </w:rPr>
        <w:t xml:space="preserve">De la revisión de las especificaciones técnicas referida al “Kit de Catéter </w:t>
      </w:r>
      <w:proofErr w:type="spellStart"/>
      <w:r>
        <w:rPr>
          <w:snapToGrid w:val="0"/>
        </w:rPr>
        <w:t>Multiperforado</w:t>
      </w:r>
      <w:proofErr w:type="spellEnd"/>
      <w:r>
        <w:rPr>
          <w:snapToGrid w:val="0"/>
        </w:rPr>
        <w:t>” del ítem N° 2, entre otras características, se advierte lo siguiente:</w:t>
      </w:r>
    </w:p>
    <w:p w:rsidR="008E1D12" w:rsidRDefault="008E1D12" w:rsidP="00841FBD">
      <w:pPr>
        <w:autoSpaceDE w:val="0"/>
        <w:autoSpaceDN w:val="0"/>
        <w:adjustRightInd w:val="0"/>
        <w:jc w:val="both"/>
        <w:rPr>
          <w:snapToGrid w:val="0"/>
        </w:rPr>
      </w:pPr>
    </w:p>
    <w:p w:rsidR="008E1D12" w:rsidRPr="008E1D12" w:rsidRDefault="008E1D12" w:rsidP="008E1D12">
      <w:pPr>
        <w:autoSpaceDE w:val="0"/>
        <w:autoSpaceDN w:val="0"/>
        <w:adjustRightInd w:val="0"/>
        <w:ind w:left="708" w:firstLine="708"/>
        <w:jc w:val="both"/>
        <w:rPr>
          <w:b/>
          <w:i/>
          <w:snapToGrid w:val="0"/>
        </w:rPr>
      </w:pPr>
      <w:r>
        <w:rPr>
          <w:b/>
          <w:i/>
          <w:snapToGrid w:val="0"/>
        </w:rPr>
        <w:t>“</w:t>
      </w:r>
      <w:r w:rsidRPr="008E1D12">
        <w:rPr>
          <w:b/>
          <w:i/>
          <w:snapToGrid w:val="0"/>
        </w:rPr>
        <w:t>DIMENSIONES</w:t>
      </w:r>
    </w:p>
    <w:p w:rsidR="008E1D12" w:rsidRPr="008E1D12" w:rsidRDefault="008E1D12" w:rsidP="008E1D12">
      <w:pPr>
        <w:autoSpaceDE w:val="0"/>
        <w:autoSpaceDN w:val="0"/>
        <w:adjustRightInd w:val="0"/>
        <w:ind w:left="708" w:firstLine="708"/>
        <w:jc w:val="both"/>
        <w:rPr>
          <w:i/>
          <w:snapToGrid w:val="0"/>
        </w:rPr>
      </w:pPr>
      <w:r w:rsidRPr="008E1D12">
        <w:rPr>
          <w:i/>
          <w:snapToGrid w:val="0"/>
        </w:rPr>
        <w:t>Adultos:</w:t>
      </w:r>
    </w:p>
    <w:p w:rsidR="008E1D12" w:rsidRPr="008E1D12" w:rsidRDefault="008E1D12" w:rsidP="008E1D12">
      <w:pPr>
        <w:autoSpaceDE w:val="0"/>
        <w:autoSpaceDN w:val="0"/>
        <w:adjustRightInd w:val="0"/>
        <w:ind w:left="708" w:firstLine="708"/>
        <w:jc w:val="both"/>
        <w:rPr>
          <w:i/>
          <w:snapToGrid w:val="0"/>
        </w:rPr>
      </w:pPr>
      <w:r w:rsidRPr="008E1D12">
        <w:rPr>
          <w:i/>
          <w:snapToGrid w:val="0"/>
        </w:rPr>
        <w:t>Longitud: (cm)</w:t>
      </w:r>
    </w:p>
    <w:p w:rsidR="008E1D12" w:rsidRPr="008E1D12" w:rsidRDefault="008E1D12" w:rsidP="008E1D12">
      <w:pPr>
        <w:autoSpaceDE w:val="0"/>
        <w:autoSpaceDN w:val="0"/>
        <w:adjustRightInd w:val="0"/>
        <w:ind w:left="1442"/>
        <w:jc w:val="both"/>
        <w:rPr>
          <w:snapToGrid w:val="0"/>
        </w:rPr>
      </w:pPr>
      <w:r>
        <w:rPr>
          <w:i/>
          <w:snapToGrid w:val="0"/>
        </w:rPr>
        <w:t xml:space="preserve">- </w:t>
      </w:r>
      <w:r w:rsidRPr="008E1D12">
        <w:rPr>
          <w:i/>
          <w:snapToGrid w:val="0"/>
        </w:rPr>
        <w:t>55, 56, 57, 58, 59, 60, 61, 62, 63, 110, 111, 112, 113, 114, 115.”</w:t>
      </w:r>
    </w:p>
    <w:p w:rsidR="008E1D12" w:rsidRPr="008E1D12" w:rsidRDefault="008E1D12" w:rsidP="008E1D12">
      <w:pPr>
        <w:pStyle w:val="Prrafodelista"/>
        <w:autoSpaceDE w:val="0"/>
        <w:autoSpaceDN w:val="0"/>
        <w:adjustRightInd w:val="0"/>
        <w:ind w:left="362"/>
        <w:jc w:val="both"/>
        <w:rPr>
          <w:snapToGrid w:val="0"/>
        </w:rPr>
      </w:pPr>
      <w:r w:rsidRPr="008E1D12">
        <w:rPr>
          <w:snapToGrid w:val="0"/>
        </w:rPr>
        <w:t xml:space="preserve">     </w:t>
      </w:r>
    </w:p>
    <w:p w:rsidR="00652580" w:rsidRDefault="008E1D12" w:rsidP="00841FBD">
      <w:pPr>
        <w:autoSpaceDE w:val="0"/>
        <w:autoSpaceDN w:val="0"/>
        <w:adjustRightInd w:val="0"/>
        <w:jc w:val="both"/>
        <w:rPr>
          <w:snapToGrid w:val="0"/>
        </w:rPr>
      </w:pPr>
      <w:r>
        <w:rPr>
          <w:snapToGrid w:val="0"/>
        </w:rPr>
        <w:t xml:space="preserve">De la revisión del respectivo pliego de absolución de Observaciones, se advierte que </w:t>
      </w:r>
      <w:r w:rsidR="00121852">
        <w:rPr>
          <w:snapToGrid w:val="0"/>
        </w:rPr>
        <w:t>el Comité Especial con motivo de la absolución de la presente observación ratificó el requerimiento de la Entidad s</w:t>
      </w:r>
      <w:r w:rsidR="004905C9">
        <w:rPr>
          <w:snapToGrid w:val="0"/>
        </w:rPr>
        <w:t>i</w:t>
      </w:r>
      <w:r w:rsidR="00121852">
        <w:rPr>
          <w:snapToGrid w:val="0"/>
        </w:rPr>
        <w:t>n expresar mayor argumento que el de “</w:t>
      </w:r>
      <w:r w:rsidR="00121852" w:rsidRPr="00686F49">
        <w:rPr>
          <w:i/>
          <w:snapToGrid w:val="0"/>
        </w:rPr>
        <w:t xml:space="preserve">las especificaciones técnicas han sido elaboradas por el Comité Nacional de Material Médico de </w:t>
      </w:r>
      <w:proofErr w:type="spellStart"/>
      <w:r w:rsidR="00121852" w:rsidRPr="00686F49">
        <w:rPr>
          <w:i/>
          <w:snapToGrid w:val="0"/>
        </w:rPr>
        <w:t>Essalud</w:t>
      </w:r>
      <w:proofErr w:type="spellEnd"/>
      <w:r w:rsidR="00121852" w:rsidRPr="00686F49">
        <w:rPr>
          <w:i/>
          <w:snapToGrid w:val="0"/>
        </w:rPr>
        <w:t xml:space="preserve"> y son de uso obligatorio por el cual no podemos realizar </w:t>
      </w:r>
      <w:r w:rsidR="00652580" w:rsidRPr="00686F49">
        <w:rPr>
          <w:i/>
          <w:snapToGrid w:val="0"/>
        </w:rPr>
        <w:t>ninguna modificación</w:t>
      </w:r>
      <w:r w:rsidR="00652580">
        <w:rPr>
          <w:snapToGrid w:val="0"/>
        </w:rPr>
        <w:t>”.</w:t>
      </w:r>
    </w:p>
    <w:p w:rsidR="00652580" w:rsidRDefault="00652580" w:rsidP="00841FBD">
      <w:pPr>
        <w:autoSpaceDE w:val="0"/>
        <w:autoSpaceDN w:val="0"/>
        <w:adjustRightInd w:val="0"/>
        <w:jc w:val="both"/>
        <w:rPr>
          <w:snapToGrid w:val="0"/>
        </w:rPr>
      </w:pPr>
    </w:p>
    <w:p w:rsidR="00686F49" w:rsidRDefault="00686F49" w:rsidP="00841FBD">
      <w:pPr>
        <w:autoSpaceDE w:val="0"/>
        <w:autoSpaceDN w:val="0"/>
        <w:adjustRightInd w:val="0"/>
        <w:jc w:val="both"/>
        <w:rPr>
          <w:snapToGrid w:val="0"/>
        </w:rPr>
      </w:pPr>
      <w:r>
        <w:rPr>
          <w:snapToGrid w:val="0"/>
        </w:rPr>
        <w:t>Sobre el particular, de acuerdo con lo dispuesto 13 de la Ley, concordado con el artículo 11 del Reglamento, la definición de los requerimientos técnicos mínimos así como la documentación que los acredite es responsabilidad de la Entidad, procurando la mayor concurrencia de proveedores en el mercado, y considerando criterios de razonabilidad, congruencia y proporcionalidad.</w:t>
      </w:r>
    </w:p>
    <w:p w:rsidR="00686F49" w:rsidRDefault="00686F49" w:rsidP="00841FBD">
      <w:pPr>
        <w:autoSpaceDE w:val="0"/>
        <w:autoSpaceDN w:val="0"/>
        <w:adjustRightInd w:val="0"/>
        <w:jc w:val="both"/>
        <w:rPr>
          <w:snapToGrid w:val="0"/>
        </w:rPr>
      </w:pPr>
    </w:p>
    <w:p w:rsidR="00686F49" w:rsidRDefault="00686F49" w:rsidP="00841FBD">
      <w:pPr>
        <w:autoSpaceDE w:val="0"/>
        <w:autoSpaceDN w:val="0"/>
        <w:adjustRightInd w:val="0"/>
        <w:jc w:val="both"/>
        <w:rPr>
          <w:snapToGrid w:val="0"/>
        </w:rPr>
      </w:pPr>
      <w:r>
        <w:rPr>
          <w:snapToGrid w:val="0"/>
        </w:rPr>
        <w:t>De este modo, los requisitos técnicos mínimos cumplen con la función de asegurar a la Entidad que el postor ofertará lo mínimo necesario para cubrir adecuadamente la operatividad y funcionalidad de lo requerido.</w:t>
      </w:r>
    </w:p>
    <w:p w:rsidR="005F3247" w:rsidRDefault="00686F49" w:rsidP="00841FBD">
      <w:pPr>
        <w:autoSpaceDE w:val="0"/>
        <w:autoSpaceDN w:val="0"/>
        <w:adjustRightInd w:val="0"/>
        <w:jc w:val="both"/>
        <w:rPr>
          <w:snapToGrid w:val="0"/>
        </w:rPr>
      </w:pPr>
      <w:r>
        <w:rPr>
          <w:snapToGrid w:val="0"/>
        </w:rPr>
        <w:lastRenderedPageBreak/>
        <w:t xml:space="preserve">Asimismo, cabe señalar que es responsabilidad de la Entidad hacer uso eficiente de sus recursos y aplicar de forma idónea las disposiciones normativas conforme a criterios </w:t>
      </w:r>
      <w:r w:rsidR="005F3247">
        <w:rPr>
          <w:snapToGrid w:val="0"/>
        </w:rPr>
        <w:t>de razonabilidad y congruencia a efectos de no ver perjudicada la ejecución del contrato.</w:t>
      </w:r>
    </w:p>
    <w:p w:rsidR="005F3247" w:rsidRDefault="005F3247" w:rsidP="00841FBD">
      <w:pPr>
        <w:autoSpaceDE w:val="0"/>
        <w:autoSpaceDN w:val="0"/>
        <w:adjustRightInd w:val="0"/>
        <w:jc w:val="both"/>
        <w:rPr>
          <w:snapToGrid w:val="0"/>
        </w:rPr>
      </w:pPr>
    </w:p>
    <w:p w:rsidR="004905C9" w:rsidRPr="005B0253" w:rsidRDefault="004905C9" w:rsidP="004905C9">
      <w:pPr>
        <w:widowControl w:val="0"/>
        <w:jc w:val="both"/>
        <w:rPr>
          <w:rFonts w:eastAsia="Calibri"/>
          <w:color w:val="000000"/>
          <w:lang w:val="es-PE" w:eastAsia="es-PE"/>
        </w:rPr>
      </w:pPr>
      <w:r w:rsidRPr="005B0253">
        <w:t xml:space="preserve">Adicionalmente, de la revisión de numeral 4.2 del formato de Resumen Ejecutivo, se advierte que la Entidad ha declarado la existencia de pluralidad de proveedores y marcas que estarían en condiciones de cumplir con los requerimientos técnicos mínimos. Así tenemos que en el </w:t>
      </w:r>
      <w:r>
        <w:t xml:space="preserve">Formato de </w:t>
      </w:r>
      <w:r w:rsidRPr="005B0253">
        <w:t>Cuadro Comparativo se</w:t>
      </w:r>
      <w:r w:rsidRPr="005B0253">
        <w:rPr>
          <w:rFonts w:eastAsia="Calibri"/>
          <w:color w:val="000000"/>
          <w:lang w:val="es-PE" w:eastAsia="es-PE"/>
        </w:rPr>
        <w:t xml:space="preserve"> señaló que </w:t>
      </w:r>
      <w:r>
        <w:rPr>
          <w:rFonts w:eastAsia="Calibri"/>
          <w:color w:val="000000"/>
          <w:lang w:val="es-PE" w:eastAsia="es-PE"/>
        </w:rPr>
        <w:t>e</w:t>
      </w:r>
      <w:r w:rsidRPr="005B0253">
        <w:rPr>
          <w:rFonts w:eastAsia="Calibri"/>
          <w:color w:val="000000"/>
          <w:lang w:val="es-PE" w:eastAsia="es-PE"/>
        </w:rPr>
        <w:t>l proveedor</w:t>
      </w:r>
      <w:r>
        <w:rPr>
          <w:rFonts w:eastAsia="Calibri"/>
          <w:color w:val="000000"/>
          <w:lang w:val="es-PE" w:eastAsia="es-PE"/>
        </w:rPr>
        <w:t xml:space="preserve"> “</w:t>
      </w:r>
      <w:proofErr w:type="spellStart"/>
      <w:r>
        <w:rPr>
          <w:rFonts w:eastAsia="Calibri"/>
          <w:color w:val="000000"/>
          <w:lang w:val="es-PE" w:eastAsia="es-PE"/>
        </w:rPr>
        <w:t>Hersil</w:t>
      </w:r>
      <w:proofErr w:type="spellEnd"/>
      <w:r>
        <w:rPr>
          <w:rFonts w:eastAsia="Calibri"/>
          <w:color w:val="000000"/>
          <w:lang w:val="es-PE" w:eastAsia="es-PE"/>
        </w:rPr>
        <w:t xml:space="preserve"> S.A.” </w:t>
      </w:r>
      <w:r w:rsidRPr="005B0253">
        <w:rPr>
          <w:rFonts w:eastAsia="Calibri"/>
          <w:color w:val="000000"/>
          <w:lang w:val="es-PE" w:eastAsia="es-PE"/>
        </w:rPr>
        <w:t>ofert</w:t>
      </w:r>
      <w:r>
        <w:rPr>
          <w:rFonts w:eastAsia="Calibri"/>
          <w:color w:val="000000"/>
          <w:lang w:val="es-PE" w:eastAsia="es-PE"/>
        </w:rPr>
        <w:t>ó</w:t>
      </w:r>
      <w:r w:rsidRPr="005B0253">
        <w:rPr>
          <w:rFonts w:eastAsia="Calibri"/>
          <w:color w:val="000000"/>
          <w:lang w:val="es-PE" w:eastAsia="es-PE"/>
        </w:rPr>
        <w:t xml:space="preserve"> la marca "</w:t>
      </w:r>
      <w:r>
        <w:rPr>
          <w:rFonts w:eastAsia="Calibri"/>
          <w:color w:val="000000"/>
          <w:lang w:val="es-PE" w:eastAsia="es-PE"/>
        </w:rPr>
        <w:t>Baxter</w:t>
      </w:r>
      <w:r w:rsidRPr="005B0253">
        <w:rPr>
          <w:rFonts w:eastAsia="Calibri"/>
          <w:color w:val="000000"/>
          <w:lang w:val="es-PE" w:eastAsia="es-PE"/>
        </w:rPr>
        <w:t>”, y los proveedores “</w:t>
      </w:r>
      <w:r>
        <w:rPr>
          <w:rFonts w:eastAsia="Calibri"/>
          <w:color w:val="000000"/>
          <w:lang w:val="es-PE" w:eastAsia="es-PE"/>
        </w:rPr>
        <w:t>Representaciones Química Europea S.A.C.” y “</w:t>
      </w:r>
      <w:proofErr w:type="spellStart"/>
      <w:r>
        <w:rPr>
          <w:rFonts w:eastAsia="Calibri"/>
          <w:color w:val="000000"/>
          <w:lang w:val="es-PE" w:eastAsia="es-PE"/>
        </w:rPr>
        <w:t>Latitude</w:t>
      </w:r>
      <w:proofErr w:type="spellEnd"/>
      <w:r>
        <w:rPr>
          <w:rFonts w:eastAsia="Calibri"/>
          <w:color w:val="000000"/>
          <w:lang w:val="es-PE" w:eastAsia="es-PE"/>
        </w:rPr>
        <w:t xml:space="preserve"> International S.A.C” </w:t>
      </w:r>
      <w:r w:rsidRPr="005B0253">
        <w:rPr>
          <w:rFonts w:eastAsia="Calibri"/>
          <w:color w:val="000000"/>
          <w:lang w:val="es-PE" w:eastAsia="es-PE"/>
        </w:rPr>
        <w:t>ofertaron la marca “</w:t>
      </w:r>
      <w:proofErr w:type="spellStart"/>
      <w:r>
        <w:rPr>
          <w:rFonts w:eastAsia="Calibri"/>
          <w:color w:val="000000"/>
          <w:lang w:val="es-PE" w:eastAsia="es-PE"/>
        </w:rPr>
        <w:t>Medcomp</w:t>
      </w:r>
      <w:proofErr w:type="spellEnd"/>
      <w:r>
        <w:rPr>
          <w:rFonts w:eastAsia="Calibri"/>
          <w:color w:val="000000"/>
          <w:lang w:val="es-PE" w:eastAsia="es-PE"/>
        </w:rPr>
        <w:t>”</w:t>
      </w:r>
      <w:r w:rsidRPr="005B0253">
        <w:rPr>
          <w:rFonts w:eastAsia="Calibri"/>
          <w:color w:val="000000"/>
          <w:lang w:val="es-PE" w:eastAsia="es-PE"/>
        </w:rPr>
        <w:t>, las cuales, según la Entidad cumplirían con los requerimientos técnicos mínimos.</w:t>
      </w:r>
    </w:p>
    <w:p w:rsidR="005F3247" w:rsidRDefault="005F3247" w:rsidP="00841FBD">
      <w:pPr>
        <w:autoSpaceDE w:val="0"/>
        <w:autoSpaceDN w:val="0"/>
        <w:adjustRightInd w:val="0"/>
        <w:jc w:val="both"/>
        <w:rPr>
          <w:snapToGrid w:val="0"/>
        </w:rPr>
      </w:pPr>
    </w:p>
    <w:p w:rsidR="005F3247" w:rsidRDefault="005F3247" w:rsidP="00841FBD">
      <w:pPr>
        <w:autoSpaceDE w:val="0"/>
        <w:autoSpaceDN w:val="0"/>
        <w:adjustRightInd w:val="0"/>
        <w:jc w:val="both"/>
        <w:rPr>
          <w:snapToGrid w:val="0"/>
        </w:rPr>
      </w:pPr>
      <w:r>
        <w:rPr>
          <w:snapToGrid w:val="0"/>
        </w:rPr>
        <w:t xml:space="preserve">En ese sentido, toda vez que es responsabilidad de la Entidad la determinación de sus requerimientos técnicos mínimos, y en tanto el participante requiere que se modifique según su propio interés, este Organismo Supervisor ha decidido </w:t>
      </w:r>
      <w:r w:rsidRPr="005F3247">
        <w:rPr>
          <w:b/>
          <w:snapToGrid w:val="0"/>
        </w:rPr>
        <w:t>NO ACOGER</w:t>
      </w:r>
      <w:r>
        <w:rPr>
          <w:snapToGrid w:val="0"/>
        </w:rPr>
        <w:t xml:space="preserve"> la presente observación.</w:t>
      </w:r>
    </w:p>
    <w:p w:rsidR="004905C9" w:rsidRDefault="004905C9" w:rsidP="00841FBD">
      <w:pPr>
        <w:autoSpaceDE w:val="0"/>
        <w:autoSpaceDN w:val="0"/>
        <w:adjustRightInd w:val="0"/>
        <w:jc w:val="both"/>
        <w:rPr>
          <w:snapToGrid w:val="0"/>
        </w:rPr>
      </w:pPr>
    </w:p>
    <w:p w:rsidR="00541361" w:rsidRPr="005B0253" w:rsidRDefault="00541361" w:rsidP="00541361">
      <w:pPr>
        <w:pStyle w:val="Normaltimes"/>
        <w:widowControl w:val="0"/>
        <w:jc w:val="both"/>
        <w:rPr>
          <w:szCs w:val="24"/>
        </w:rPr>
      </w:pPr>
      <w:r w:rsidRPr="005B0253">
        <w:rPr>
          <w:bCs/>
          <w:szCs w:val="24"/>
        </w:rPr>
        <w:t xml:space="preserve">Cabe acotar </w:t>
      </w:r>
      <w:r w:rsidRPr="005B0253">
        <w:rPr>
          <w:szCs w:val="24"/>
        </w:rPr>
        <w:t>que, en la medida que la definición de las especificaciones técnicas son responsabilidad de la Entidad, y que los informes que lo sustentan tienen carácter de Declaración Jurada,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aspectos específicos de tales aspectos.</w:t>
      </w:r>
    </w:p>
    <w:p w:rsidR="00541361" w:rsidRPr="005B0253" w:rsidRDefault="00541361" w:rsidP="00541361">
      <w:pPr>
        <w:pStyle w:val="Normaltimes"/>
        <w:widowControl w:val="0"/>
        <w:jc w:val="both"/>
        <w:rPr>
          <w:szCs w:val="24"/>
        </w:rPr>
      </w:pPr>
    </w:p>
    <w:p w:rsidR="00541361" w:rsidRPr="005B0253" w:rsidRDefault="00541361" w:rsidP="00541361">
      <w:pPr>
        <w:pStyle w:val="Normaltimes"/>
        <w:widowControl w:val="0"/>
        <w:jc w:val="both"/>
        <w:rPr>
          <w:szCs w:val="24"/>
        </w:rPr>
      </w:pPr>
      <w:r w:rsidRPr="005B0253">
        <w:rPr>
          <w:szCs w:val="24"/>
        </w:rPr>
        <w:t>Adicionalmente, se le recuerda a la Entidad que es su responsabilidad hacer uso eficiente de los recursos y aplicar de forma idónea las disposiciones normativas conforme a criterios de razonabilidad y congruencia a efectos de no ver perjudicada la ejecución del contrato.</w:t>
      </w:r>
    </w:p>
    <w:p w:rsidR="008E1D12" w:rsidRDefault="00121852" w:rsidP="00841FBD">
      <w:pPr>
        <w:autoSpaceDE w:val="0"/>
        <w:autoSpaceDN w:val="0"/>
        <w:adjustRightInd w:val="0"/>
        <w:jc w:val="both"/>
        <w:rPr>
          <w:snapToGrid w:val="0"/>
        </w:rPr>
      </w:pPr>
      <w:r>
        <w:rPr>
          <w:snapToGrid w:val="0"/>
        </w:rPr>
        <w:t xml:space="preserve"> </w:t>
      </w:r>
      <w:r w:rsidR="008E1D12">
        <w:rPr>
          <w:snapToGrid w:val="0"/>
        </w:rPr>
        <w:t xml:space="preserve">  </w:t>
      </w:r>
    </w:p>
    <w:p w:rsidR="008E1D12" w:rsidRDefault="005F3247" w:rsidP="00841FBD">
      <w:pPr>
        <w:autoSpaceDE w:val="0"/>
        <w:autoSpaceDN w:val="0"/>
        <w:adjustRightInd w:val="0"/>
        <w:jc w:val="both"/>
        <w:rPr>
          <w:snapToGrid w:val="0"/>
        </w:rPr>
      </w:pPr>
      <w:r w:rsidRPr="00BC133C">
        <w:rPr>
          <w:b/>
          <w:lang w:val="es-PE"/>
        </w:rPr>
        <w:t>Observaci</w:t>
      </w:r>
      <w:r>
        <w:rPr>
          <w:b/>
          <w:lang w:val="es-PE"/>
        </w:rPr>
        <w:t>ón</w:t>
      </w:r>
      <w:r w:rsidRPr="00BC133C">
        <w:rPr>
          <w:b/>
          <w:lang w:val="es-PE"/>
        </w:rPr>
        <w:t xml:space="preserve"> N° </w:t>
      </w:r>
      <w:r>
        <w:rPr>
          <w:b/>
          <w:lang w:val="es-PE"/>
        </w:rPr>
        <w:t>11</w:t>
      </w:r>
      <w:r w:rsidRPr="00BC133C">
        <w:rPr>
          <w:b/>
          <w:lang w:val="es-PE"/>
        </w:rPr>
        <w:t xml:space="preserve">                </w:t>
      </w:r>
      <w:r>
        <w:rPr>
          <w:b/>
          <w:lang w:val="es-PE"/>
        </w:rPr>
        <w:t xml:space="preserve">           </w:t>
      </w:r>
      <w:r w:rsidRPr="00BC133C">
        <w:rPr>
          <w:b/>
          <w:lang w:val="es-PE"/>
        </w:rPr>
        <w:t xml:space="preserve">         </w:t>
      </w:r>
      <w:r>
        <w:rPr>
          <w:b/>
          <w:lang w:val="es-PE"/>
        </w:rPr>
        <w:tab/>
        <w:t>Factores de Evaluación</w:t>
      </w:r>
    </w:p>
    <w:p w:rsidR="008E1D12" w:rsidRDefault="008E1D12" w:rsidP="00841FBD">
      <w:pPr>
        <w:autoSpaceDE w:val="0"/>
        <w:autoSpaceDN w:val="0"/>
        <w:adjustRightInd w:val="0"/>
        <w:jc w:val="both"/>
        <w:rPr>
          <w:snapToGrid w:val="0"/>
        </w:rPr>
      </w:pPr>
    </w:p>
    <w:p w:rsidR="00E428B3" w:rsidRDefault="001861BD" w:rsidP="00841FBD">
      <w:pPr>
        <w:autoSpaceDE w:val="0"/>
        <w:autoSpaceDN w:val="0"/>
        <w:adjustRightInd w:val="0"/>
        <w:jc w:val="both"/>
        <w:rPr>
          <w:lang w:val="es-PE"/>
        </w:rPr>
      </w:pPr>
      <w:r w:rsidRPr="00841FBD">
        <w:rPr>
          <w:snapToGrid w:val="0"/>
        </w:rPr>
        <w:t>El</w:t>
      </w:r>
      <w:r>
        <w:rPr>
          <w:lang w:val="es-PE"/>
        </w:rPr>
        <w:t xml:space="preserve"> participante cuestiona</w:t>
      </w:r>
      <w:r w:rsidR="00BE3A5D">
        <w:rPr>
          <w:lang w:val="es-PE"/>
        </w:rPr>
        <w:t xml:space="preserve"> que </w:t>
      </w:r>
      <w:r w:rsidR="005F3247">
        <w:rPr>
          <w:lang w:val="es-PE"/>
        </w:rPr>
        <w:t>en el factor de evaluación: “</w:t>
      </w:r>
      <w:r w:rsidR="005F3247" w:rsidRPr="005F3247">
        <w:rPr>
          <w:i/>
          <w:lang w:val="es-PE"/>
        </w:rPr>
        <w:t>Experiencia del Postor</w:t>
      </w:r>
      <w:r w:rsidR="005F3247">
        <w:rPr>
          <w:lang w:val="es-PE"/>
        </w:rPr>
        <w:t>” se considere como bienes iguales o similares al objeto de la convocatoria al “</w:t>
      </w:r>
      <w:r w:rsidR="005F3247" w:rsidRPr="005F3247">
        <w:rPr>
          <w:i/>
          <w:lang w:val="es-PE"/>
        </w:rPr>
        <w:t>material médico pediátrico/adulto para nefrología</w:t>
      </w:r>
      <w:r w:rsidR="005F3247">
        <w:rPr>
          <w:lang w:val="es-PE"/>
        </w:rPr>
        <w:t>” ya que lo ideal sería ampliar la definición de bienes similares al “</w:t>
      </w:r>
      <w:r w:rsidR="005F3247" w:rsidRPr="005F3247">
        <w:rPr>
          <w:i/>
          <w:lang w:val="es-PE"/>
        </w:rPr>
        <w:t>material médico en general</w:t>
      </w:r>
      <w:r w:rsidR="005F3247">
        <w:rPr>
          <w:lang w:val="es-PE"/>
        </w:rPr>
        <w:t xml:space="preserve">” </w:t>
      </w:r>
      <w:r w:rsidR="00E428B3">
        <w:rPr>
          <w:lang w:val="es-PE"/>
        </w:rPr>
        <w:t>y con ello propiciar una mayor participación de postores de acuerdo al artículo 4° literal c) Principio de Libre Concurrencia y Competencia.</w:t>
      </w:r>
    </w:p>
    <w:p w:rsidR="00E428B3" w:rsidRDefault="00E428B3" w:rsidP="00841FBD">
      <w:pPr>
        <w:autoSpaceDE w:val="0"/>
        <w:autoSpaceDN w:val="0"/>
        <w:adjustRightInd w:val="0"/>
        <w:jc w:val="both"/>
        <w:rPr>
          <w:lang w:val="es-PE"/>
        </w:rPr>
      </w:pPr>
    </w:p>
    <w:p w:rsidR="00B403C6" w:rsidRDefault="00841FBD" w:rsidP="00841FBD">
      <w:pPr>
        <w:autoSpaceDE w:val="0"/>
        <w:autoSpaceDN w:val="0"/>
        <w:adjustRightInd w:val="0"/>
        <w:jc w:val="both"/>
        <w:rPr>
          <w:lang w:val="es-PE"/>
        </w:rPr>
      </w:pPr>
      <w:r>
        <w:rPr>
          <w:lang w:val="es-PE"/>
        </w:rPr>
        <w:t xml:space="preserve">Por ello </w:t>
      </w:r>
      <w:r w:rsidR="00E428B3">
        <w:rPr>
          <w:lang w:val="es-PE"/>
        </w:rPr>
        <w:t xml:space="preserve">solicita que se </w:t>
      </w:r>
      <w:proofErr w:type="spellStart"/>
      <w:r w:rsidR="00E428B3">
        <w:rPr>
          <w:lang w:val="es-PE"/>
        </w:rPr>
        <w:t>amplie</w:t>
      </w:r>
      <w:proofErr w:type="spellEnd"/>
      <w:r w:rsidR="00E428B3">
        <w:rPr>
          <w:lang w:val="es-PE"/>
        </w:rPr>
        <w:t xml:space="preserve"> la definición de bienes similares a: “material médico en general</w:t>
      </w:r>
      <w:r>
        <w:rPr>
          <w:i/>
          <w:lang w:val="es-PE"/>
        </w:rPr>
        <w:t>”</w:t>
      </w:r>
      <w:r w:rsidR="00E428B3" w:rsidRPr="00E428B3">
        <w:rPr>
          <w:lang w:val="es-PE"/>
        </w:rPr>
        <w:t>.</w:t>
      </w:r>
    </w:p>
    <w:p w:rsidR="00EA7A43" w:rsidRDefault="00EA7A43" w:rsidP="00841FBD">
      <w:pPr>
        <w:autoSpaceDE w:val="0"/>
        <w:autoSpaceDN w:val="0"/>
        <w:adjustRightInd w:val="0"/>
        <w:jc w:val="both"/>
        <w:rPr>
          <w:lang w:val="es-PE"/>
        </w:rPr>
      </w:pPr>
    </w:p>
    <w:p w:rsidR="006D323D" w:rsidRDefault="006D323D" w:rsidP="006D323D">
      <w:pPr>
        <w:rPr>
          <w:b/>
          <w:lang w:val="es-PE"/>
        </w:rPr>
      </w:pPr>
      <w:r w:rsidRPr="00635BFF">
        <w:rPr>
          <w:b/>
          <w:lang w:val="es-PE"/>
        </w:rPr>
        <w:t>Pronunciamiento</w:t>
      </w:r>
    </w:p>
    <w:p w:rsidR="006D323D" w:rsidRDefault="006D323D" w:rsidP="006D323D">
      <w:pPr>
        <w:rPr>
          <w:b/>
          <w:lang w:val="es-PE"/>
        </w:rPr>
      </w:pPr>
    </w:p>
    <w:p w:rsidR="00541361" w:rsidRDefault="00541361" w:rsidP="00541361">
      <w:pPr>
        <w:jc w:val="both"/>
        <w:rPr>
          <w:lang w:val="es-PE"/>
        </w:rPr>
      </w:pPr>
      <w:r w:rsidRPr="00541361">
        <w:rPr>
          <w:lang w:val="es-PE"/>
        </w:rPr>
        <w:t>Al respecto</w:t>
      </w:r>
      <w:r>
        <w:rPr>
          <w:lang w:val="es-PE"/>
        </w:rPr>
        <w:t>, en el numeral 1.2 del Capítulo I de la Sección Específica de las Bases se precisa que el objeto de la convocatoria consiste en la</w:t>
      </w:r>
      <w:r w:rsidR="00FA0224">
        <w:rPr>
          <w:lang w:val="es-PE"/>
        </w:rPr>
        <w:t xml:space="preserve"> contratación del suministro </w:t>
      </w:r>
      <w:r>
        <w:rPr>
          <w:lang w:val="es-PE"/>
        </w:rPr>
        <w:t xml:space="preserve">de material médico para el </w:t>
      </w:r>
      <w:r w:rsidR="00FA0224">
        <w:rPr>
          <w:lang w:val="es-PE"/>
        </w:rPr>
        <w:t>S</w:t>
      </w:r>
      <w:r>
        <w:rPr>
          <w:lang w:val="es-PE"/>
        </w:rPr>
        <w:t>ervicio de Nefrología de la R</w:t>
      </w:r>
      <w:r w:rsidR="00FA0224">
        <w:rPr>
          <w:lang w:val="es-PE"/>
        </w:rPr>
        <w:t>AA (PAC N° 407)</w:t>
      </w:r>
      <w:r>
        <w:rPr>
          <w:lang w:val="es-PE"/>
        </w:rPr>
        <w:t>.</w:t>
      </w:r>
    </w:p>
    <w:p w:rsidR="00541361" w:rsidRPr="00541361" w:rsidRDefault="00541361" w:rsidP="006D323D">
      <w:pPr>
        <w:rPr>
          <w:lang w:val="es-PE"/>
        </w:rPr>
      </w:pPr>
      <w:r>
        <w:rPr>
          <w:lang w:val="es-PE"/>
        </w:rPr>
        <w:t xml:space="preserve">    </w:t>
      </w:r>
      <w:r w:rsidRPr="00541361">
        <w:rPr>
          <w:lang w:val="es-PE"/>
        </w:rPr>
        <w:t xml:space="preserve"> </w:t>
      </w:r>
    </w:p>
    <w:p w:rsidR="006D323D" w:rsidRDefault="00FA0224" w:rsidP="00DE6B3A">
      <w:pPr>
        <w:widowControl w:val="0"/>
        <w:tabs>
          <w:tab w:val="left" w:pos="709"/>
        </w:tabs>
        <w:jc w:val="both"/>
        <w:rPr>
          <w:rFonts w:eastAsia="MS Mincho"/>
          <w:lang w:val="es-ES_tradnl" w:eastAsia="es-PE"/>
        </w:rPr>
      </w:pPr>
      <w:r>
        <w:rPr>
          <w:rFonts w:eastAsia="MS Mincho"/>
          <w:lang w:val="es-ES_tradnl" w:eastAsia="es-PE"/>
        </w:rPr>
        <w:lastRenderedPageBreak/>
        <w:t>Por otra parte,</w:t>
      </w:r>
      <w:r w:rsidR="006D323D">
        <w:rPr>
          <w:rFonts w:eastAsia="MS Mincho"/>
          <w:lang w:val="es-ES_tradnl" w:eastAsia="es-PE"/>
        </w:rPr>
        <w:t xml:space="preserve"> en el </w:t>
      </w:r>
      <w:r w:rsidR="00D53896">
        <w:rPr>
          <w:rFonts w:eastAsia="MS Mincho"/>
          <w:lang w:val="es-ES_tradnl" w:eastAsia="es-PE"/>
        </w:rPr>
        <w:t>numeral 4.3,</w:t>
      </w:r>
      <w:r w:rsidR="006D323D">
        <w:rPr>
          <w:rFonts w:eastAsia="MS Mincho"/>
          <w:lang w:val="es-ES_tradnl" w:eastAsia="es-PE"/>
        </w:rPr>
        <w:t xml:space="preserve"> Factor: </w:t>
      </w:r>
      <w:r w:rsidR="00D53896">
        <w:rPr>
          <w:rFonts w:eastAsia="MS Mincho"/>
          <w:lang w:val="es-ES_tradnl" w:eastAsia="es-PE"/>
        </w:rPr>
        <w:t>Experiencia del Postor</w:t>
      </w:r>
      <w:r w:rsidR="006D323D">
        <w:rPr>
          <w:rFonts w:eastAsia="MS Mincho"/>
          <w:lang w:val="es-ES_tradnl" w:eastAsia="es-PE"/>
        </w:rPr>
        <w:t xml:space="preserve"> de los Criterios de Evaluación Técnica del Capítulo IV de la Sección Específica de las Bases se requiere lo siguiente:</w:t>
      </w:r>
    </w:p>
    <w:p w:rsidR="00D53896" w:rsidRDefault="00D53896" w:rsidP="00DE6B3A">
      <w:pPr>
        <w:widowControl w:val="0"/>
        <w:tabs>
          <w:tab w:val="left" w:pos="709"/>
        </w:tabs>
        <w:jc w:val="both"/>
        <w:rPr>
          <w:rFonts w:eastAsia="MS Mincho"/>
          <w:lang w:val="es-ES_tradnl" w:eastAsia="es-PE"/>
        </w:rPr>
      </w:pPr>
    </w:p>
    <w:p w:rsidR="00D53896" w:rsidRPr="005E4356" w:rsidRDefault="00D53896" w:rsidP="00D53896">
      <w:pPr>
        <w:widowControl w:val="0"/>
        <w:tabs>
          <w:tab w:val="left" w:pos="709"/>
        </w:tabs>
        <w:jc w:val="both"/>
        <w:rPr>
          <w:b/>
          <w:i/>
        </w:rPr>
      </w:pPr>
      <w:r>
        <w:rPr>
          <w:rFonts w:eastAsia="MS Mincho"/>
          <w:lang w:val="es-ES_tradnl" w:eastAsia="es-PE"/>
        </w:rPr>
        <w:tab/>
        <w:t>“</w:t>
      </w:r>
      <w:r w:rsidRPr="005E4356">
        <w:rPr>
          <w:rFonts w:eastAsia="MS Mincho"/>
          <w:b/>
          <w:i/>
          <w:lang w:val="es-ES_tradnl" w:eastAsia="es-PE"/>
        </w:rPr>
        <w:t>4.3</w:t>
      </w:r>
      <w:r w:rsidRPr="005E4356">
        <w:rPr>
          <w:rFonts w:eastAsia="MS Mincho"/>
          <w:i/>
          <w:lang w:val="es-ES_tradnl" w:eastAsia="es-PE"/>
        </w:rPr>
        <w:t xml:space="preserve"> </w:t>
      </w:r>
      <w:r w:rsidRPr="005E4356">
        <w:rPr>
          <w:rFonts w:eastAsia="MS Mincho"/>
          <w:i/>
          <w:lang w:val="es-ES_tradnl" w:eastAsia="es-PE"/>
        </w:rPr>
        <w:tab/>
      </w:r>
      <w:r w:rsidRPr="005E4356">
        <w:rPr>
          <w:b/>
          <w:i/>
        </w:rPr>
        <w:t>EXPERIENCIA DEL POSTOR:</w:t>
      </w:r>
    </w:p>
    <w:p w:rsidR="00D53896" w:rsidRPr="005E4356" w:rsidRDefault="00D53896" w:rsidP="00D53896">
      <w:pPr>
        <w:widowControl w:val="0"/>
        <w:ind w:left="708" w:firstLine="708"/>
        <w:jc w:val="both"/>
        <w:rPr>
          <w:i/>
          <w:u w:val="single"/>
        </w:rPr>
      </w:pPr>
      <w:r w:rsidRPr="005E4356">
        <w:rPr>
          <w:i/>
          <w:u w:val="single"/>
        </w:rPr>
        <w:t>Criterio</w:t>
      </w:r>
    </w:p>
    <w:p w:rsidR="00D53896" w:rsidRPr="005E4356" w:rsidRDefault="00D53896" w:rsidP="00D53896">
      <w:pPr>
        <w:widowControl w:val="0"/>
        <w:ind w:left="1416"/>
        <w:jc w:val="both"/>
      </w:pPr>
      <w:r w:rsidRPr="005E4356">
        <w:rPr>
          <w:i/>
        </w:rPr>
        <w:t xml:space="preserve">Se evaluará considerando el monto facturado por el postor por la venta de </w:t>
      </w:r>
      <w:r w:rsidRPr="005E4356">
        <w:rPr>
          <w:b/>
          <w:i/>
          <w:u w:val="single"/>
        </w:rPr>
        <w:t>bienes iguales o similares al objeto de la convocatoria (Material Médico Pediátrico/Adulto para Nefrología)</w:t>
      </w:r>
      <w:r w:rsidRPr="005E4356">
        <w:rPr>
          <w:i/>
        </w:rPr>
        <w:t>, durante un período no mayor a OCHO (8) AÑOS a la fecha de presentación de propuestas, hasta por un monto máximo acumulado equivalente a tres (03) veces del valor referencial de la contratación</w:t>
      </w:r>
      <w:r w:rsidRPr="005E4356">
        <w:t>”.</w:t>
      </w:r>
    </w:p>
    <w:p w:rsidR="00D53896" w:rsidRPr="00EA7A43" w:rsidRDefault="00D53896" w:rsidP="00D53896">
      <w:pPr>
        <w:widowControl w:val="0"/>
        <w:ind w:left="1416"/>
        <w:jc w:val="both"/>
        <w:rPr>
          <w:rFonts w:eastAsia="Calibri"/>
          <w:sz w:val="22"/>
          <w:szCs w:val="22"/>
          <w:lang w:eastAsia="en-US"/>
        </w:rPr>
      </w:pPr>
      <w:r w:rsidRPr="005E4356">
        <w:t>(</w:t>
      </w:r>
      <w:r w:rsidR="00E167C6">
        <w:t>E</w:t>
      </w:r>
      <w:r w:rsidR="00A23F15">
        <w:t xml:space="preserve"> </w:t>
      </w:r>
      <w:r w:rsidRPr="005E4356">
        <w:t>l resaltado y subrayado es agregado)</w:t>
      </w:r>
      <w:r>
        <w:rPr>
          <w:sz w:val="22"/>
          <w:szCs w:val="22"/>
        </w:rPr>
        <w:t>.</w:t>
      </w:r>
    </w:p>
    <w:p w:rsidR="00D53896" w:rsidRPr="00D53896" w:rsidRDefault="00D53896" w:rsidP="00DE6B3A">
      <w:pPr>
        <w:widowControl w:val="0"/>
        <w:tabs>
          <w:tab w:val="left" w:pos="709"/>
        </w:tabs>
        <w:jc w:val="both"/>
        <w:rPr>
          <w:rFonts w:eastAsia="MS Mincho"/>
          <w:lang w:eastAsia="es-PE"/>
        </w:rPr>
      </w:pPr>
    </w:p>
    <w:p w:rsidR="003C76C3" w:rsidRDefault="003C76C3" w:rsidP="00841FBD">
      <w:pPr>
        <w:autoSpaceDE w:val="0"/>
        <w:autoSpaceDN w:val="0"/>
        <w:adjustRightInd w:val="0"/>
        <w:jc w:val="both"/>
        <w:rPr>
          <w:lang w:val="es-PE"/>
        </w:rPr>
      </w:pPr>
      <w:r>
        <w:rPr>
          <w:rFonts w:eastAsia="MS Mincho"/>
          <w:lang w:val="es-ES_tradnl" w:eastAsia="es-PE"/>
        </w:rPr>
        <w:t>Ahora bien, de la revisión del pliego de absolución de Observaciones, la Entidad señaló lo siguiente</w:t>
      </w:r>
    </w:p>
    <w:p w:rsidR="003C76C3" w:rsidRDefault="003C76C3" w:rsidP="003C76C3">
      <w:pPr>
        <w:autoSpaceDE w:val="0"/>
        <w:autoSpaceDN w:val="0"/>
        <w:adjustRightInd w:val="0"/>
        <w:ind w:firstLine="708"/>
        <w:jc w:val="both"/>
        <w:rPr>
          <w:b/>
          <w:sz w:val="20"/>
          <w:szCs w:val="20"/>
          <w:lang w:val="es-PE"/>
        </w:rPr>
      </w:pPr>
    </w:p>
    <w:p w:rsidR="005E4356" w:rsidRPr="005E4356" w:rsidRDefault="003C76C3" w:rsidP="003C76C3">
      <w:pPr>
        <w:autoSpaceDE w:val="0"/>
        <w:autoSpaceDN w:val="0"/>
        <w:adjustRightInd w:val="0"/>
        <w:ind w:firstLine="708"/>
        <w:jc w:val="both"/>
        <w:rPr>
          <w:b/>
          <w:i/>
          <w:lang w:val="es-PE"/>
        </w:rPr>
      </w:pPr>
      <w:r>
        <w:rPr>
          <w:b/>
          <w:sz w:val="20"/>
          <w:szCs w:val="20"/>
          <w:lang w:val="es-PE"/>
        </w:rPr>
        <w:t>“</w:t>
      </w:r>
      <w:r w:rsidR="005E4356" w:rsidRPr="005E4356">
        <w:rPr>
          <w:b/>
          <w:i/>
          <w:lang w:val="es-PE"/>
        </w:rPr>
        <w:t>OBSERVACION N° 11</w:t>
      </w:r>
    </w:p>
    <w:p w:rsidR="005E4356" w:rsidRPr="005E4356" w:rsidRDefault="005E4356" w:rsidP="003C76C3">
      <w:pPr>
        <w:autoSpaceDE w:val="0"/>
        <w:autoSpaceDN w:val="0"/>
        <w:adjustRightInd w:val="0"/>
        <w:ind w:firstLine="708"/>
        <w:jc w:val="both"/>
        <w:rPr>
          <w:i/>
          <w:lang w:val="es-PE"/>
        </w:rPr>
      </w:pPr>
      <w:r w:rsidRPr="005E4356">
        <w:rPr>
          <w:i/>
          <w:lang w:val="es-PE"/>
        </w:rPr>
        <w:t>(….)</w:t>
      </w:r>
    </w:p>
    <w:p w:rsidR="003C76C3" w:rsidRPr="005E4356" w:rsidRDefault="005E4356" w:rsidP="003C76C3">
      <w:pPr>
        <w:autoSpaceDE w:val="0"/>
        <w:autoSpaceDN w:val="0"/>
        <w:adjustRightInd w:val="0"/>
        <w:ind w:firstLine="708"/>
        <w:jc w:val="both"/>
        <w:rPr>
          <w:i/>
        </w:rPr>
      </w:pPr>
      <w:r w:rsidRPr="005E4356">
        <w:rPr>
          <w:i/>
          <w:lang w:val="es-PE"/>
        </w:rPr>
        <w:t>RESPUESTA</w:t>
      </w:r>
    </w:p>
    <w:p w:rsidR="00DE6B3A" w:rsidRPr="00EA7A43" w:rsidRDefault="005E4356" w:rsidP="003C76C3">
      <w:pPr>
        <w:autoSpaceDE w:val="0"/>
        <w:autoSpaceDN w:val="0"/>
        <w:adjustRightInd w:val="0"/>
        <w:ind w:left="708"/>
        <w:jc w:val="both"/>
      </w:pPr>
      <w:r w:rsidRPr="005E4356">
        <w:rPr>
          <w:i/>
        </w:rPr>
        <w:t>Se requiere que las facturas y/o contratos sean de ventas realizadas en material médico para la especialidad de nefrología</w:t>
      </w:r>
      <w:r>
        <w:t>”</w:t>
      </w:r>
      <w:r w:rsidR="003C76C3" w:rsidRPr="00EA7A43">
        <w:t xml:space="preserve">. </w:t>
      </w:r>
    </w:p>
    <w:p w:rsidR="00980388" w:rsidRDefault="00980388" w:rsidP="00980388">
      <w:pPr>
        <w:widowControl w:val="0"/>
        <w:jc w:val="both"/>
        <w:rPr>
          <w:rFonts w:eastAsia="MS Mincho"/>
          <w:lang w:eastAsia="es-PE"/>
        </w:rPr>
      </w:pPr>
    </w:p>
    <w:p w:rsidR="00980388" w:rsidRPr="00350482" w:rsidRDefault="00980388" w:rsidP="00980388">
      <w:pPr>
        <w:widowControl w:val="0"/>
        <w:jc w:val="both"/>
        <w:rPr>
          <w:rFonts w:eastAsia="MS Mincho"/>
          <w:lang w:eastAsia="es-PE"/>
        </w:rPr>
      </w:pPr>
      <w:r w:rsidRPr="00350482">
        <w:rPr>
          <w:rFonts w:eastAsia="MS Mincho"/>
          <w:lang w:eastAsia="es-PE"/>
        </w:rPr>
        <w:t>Sobre el particular, de acuerdo con el artículo 43 del Reglamento, resulta responsabilidad del Comité Especial la determinación de los factores de evaluación, siendo que, en ellos únicamente deben calificarse aquellos aspectos que superen o mejoren el requerimiento mínimo. Asimismo, los mismos deberán ser objetivos y congruentes con el objeto de la convocatoria, bajo criterios de razonabilidad y proporcionalidad.</w:t>
      </w:r>
    </w:p>
    <w:p w:rsidR="00980388" w:rsidRDefault="00980388" w:rsidP="00980388">
      <w:pPr>
        <w:widowControl w:val="0"/>
        <w:jc w:val="both"/>
        <w:rPr>
          <w:rFonts w:eastAsia="MS Mincho"/>
          <w:lang w:eastAsia="es-PE"/>
        </w:rPr>
      </w:pPr>
    </w:p>
    <w:p w:rsidR="00FA0224" w:rsidRPr="00145D48" w:rsidRDefault="00FA0224" w:rsidP="00FA0224">
      <w:pPr>
        <w:keepLines/>
        <w:widowControl w:val="0"/>
        <w:jc w:val="both"/>
        <w:rPr>
          <w:u w:val="single"/>
        </w:rPr>
      </w:pPr>
      <w:r>
        <w:t xml:space="preserve">Por otra parte, </w:t>
      </w:r>
      <w:r w:rsidRPr="00145D48">
        <w:t xml:space="preserve">conforme a lo dispuesto en el artículo 44° del Reglamento, en las Bases deberán señalarse los bienes, iguales y similares, cuya venta o suministro servirá para acreditar la experiencia del postor. Por bienes similares debe entenderse a aquellos de naturaleza semejante, no iguales, </w:t>
      </w:r>
      <w:r w:rsidRPr="00145D48">
        <w:rPr>
          <w:u w:val="single"/>
        </w:rPr>
        <w:t>que reúnan alguna o algunas de las características que definen la naturaleza del bien materia del proceso.</w:t>
      </w:r>
    </w:p>
    <w:p w:rsidR="00FA0224" w:rsidRPr="00350482" w:rsidRDefault="00FA0224" w:rsidP="00980388">
      <w:pPr>
        <w:widowControl w:val="0"/>
        <w:jc w:val="both"/>
        <w:rPr>
          <w:rFonts w:eastAsia="MS Mincho"/>
          <w:lang w:eastAsia="es-PE"/>
        </w:rPr>
      </w:pPr>
    </w:p>
    <w:p w:rsidR="00980388" w:rsidRPr="00350482" w:rsidRDefault="00980388" w:rsidP="00980388">
      <w:pPr>
        <w:widowControl w:val="0"/>
        <w:jc w:val="both"/>
        <w:rPr>
          <w:rFonts w:eastAsia="MS Mincho"/>
          <w:lang w:eastAsia="es-PE"/>
        </w:rPr>
      </w:pPr>
      <w:r w:rsidRPr="00350482">
        <w:rPr>
          <w:rFonts w:eastAsia="MS Mincho"/>
          <w:lang w:eastAsia="es-PE"/>
        </w:rPr>
        <w:t xml:space="preserve">Adicionalmente, cabe precisar que, de acuerdo con la normativa de contratación pública, los factores de evaluación tienen como principal objetivo permitirle al Comité Especial </w:t>
      </w:r>
      <w:proofErr w:type="gramStart"/>
      <w:r w:rsidRPr="00350482">
        <w:rPr>
          <w:rFonts w:eastAsia="MS Mincho"/>
          <w:lang w:eastAsia="es-PE"/>
        </w:rPr>
        <w:t>comparar</w:t>
      </w:r>
      <w:proofErr w:type="gramEnd"/>
      <w:r w:rsidRPr="00350482">
        <w:rPr>
          <w:rFonts w:eastAsia="MS Mincho"/>
          <w:lang w:eastAsia="es-PE"/>
        </w:rPr>
        <w:t xml:space="preserve"> las propuestas presentadas y elegir la mejor. Para ello, a partir del conocimiento de las reales necesidades de la Entidad, el Comité Especial determina cuáles son los aspectos que, superando el requerimiento mínimo, resultan relevantes para una mejor y/o más adecuada satisfacción de la necesidad de la Entidad, y define los factores de evaluación que le permitirán elegir la propuesta más idónea para satisfacerla.</w:t>
      </w:r>
    </w:p>
    <w:p w:rsidR="00980388" w:rsidRPr="00350482" w:rsidRDefault="00980388" w:rsidP="00980388">
      <w:pPr>
        <w:widowControl w:val="0"/>
        <w:jc w:val="both"/>
        <w:rPr>
          <w:rFonts w:eastAsia="MS Mincho"/>
          <w:lang w:eastAsia="es-PE"/>
        </w:rPr>
      </w:pPr>
    </w:p>
    <w:p w:rsidR="00980388" w:rsidRPr="006E745D" w:rsidRDefault="00980388" w:rsidP="00980388">
      <w:pPr>
        <w:widowControl w:val="0"/>
        <w:jc w:val="both"/>
        <w:rPr>
          <w:rFonts w:eastAsia="MS Mincho"/>
          <w:lang w:eastAsia="es-PE"/>
        </w:rPr>
      </w:pPr>
      <w:r>
        <w:rPr>
          <w:rFonts w:eastAsia="MS Mincho"/>
          <w:lang w:eastAsia="es-PE"/>
        </w:rPr>
        <w:t>En ese contexto, en la medida que la determinación de los criterios de evaluación es de</w:t>
      </w:r>
      <w:r w:rsidR="00BA1B11">
        <w:rPr>
          <w:rFonts w:eastAsia="MS Mincho"/>
          <w:lang w:eastAsia="es-PE"/>
        </w:rPr>
        <w:t xml:space="preserve"> responsabilidad</w:t>
      </w:r>
      <w:r>
        <w:rPr>
          <w:rFonts w:eastAsia="MS Mincho"/>
          <w:lang w:eastAsia="es-PE"/>
        </w:rPr>
        <w:t xml:space="preserve"> del Comité Especial, </w:t>
      </w:r>
      <w:r w:rsidRPr="006E745D">
        <w:rPr>
          <w:rFonts w:eastAsia="MS Mincho"/>
          <w:lang w:eastAsia="es-PE"/>
        </w:rPr>
        <w:t>y considerando que el participante solicita que se modifi</w:t>
      </w:r>
      <w:r>
        <w:rPr>
          <w:rFonts w:eastAsia="MS Mincho"/>
          <w:lang w:eastAsia="es-PE"/>
        </w:rPr>
        <w:t xml:space="preserve">que dicho factor de evaluación </w:t>
      </w:r>
      <w:r w:rsidRPr="006E745D">
        <w:rPr>
          <w:rFonts w:eastAsia="MS Mincho"/>
          <w:lang w:eastAsia="es-PE"/>
        </w:rPr>
        <w:t xml:space="preserve">según su propuesta particular; este Organismo Supervisor ha decidido </w:t>
      </w:r>
      <w:r w:rsidRPr="006E745D">
        <w:rPr>
          <w:rFonts w:eastAsia="MS Mincho"/>
          <w:b/>
          <w:lang w:eastAsia="es-PE"/>
        </w:rPr>
        <w:t>NO ACOGER</w:t>
      </w:r>
      <w:r w:rsidRPr="006E745D">
        <w:rPr>
          <w:rFonts w:eastAsia="MS Mincho"/>
          <w:lang w:eastAsia="es-PE"/>
        </w:rPr>
        <w:t xml:space="preserve"> l</w:t>
      </w:r>
      <w:r>
        <w:rPr>
          <w:rFonts w:eastAsia="MS Mincho"/>
          <w:lang w:eastAsia="es-PE"/>
        </w:rPr>
        <w:t>a</w:t>
      </w:r>
      <w:r w:rsidRPr="006E745D">
        <w:rPr>
          <w:rFonts w:eastAsia="MS Mincho"/>
          <w:lang w:eastAsia="es-PE"/>
        </w:rPr>
        <w:t xml:space="preserve"> Observación Nº </w:t>
      </w:r>
      <w:r>
        <w:rPr>
          <w:rFonts w:eastAsia="MS Mincho"/>
          <w:lang w:eastAsia="es-PE"/>
        </w:rPr>
        <w:t>2</w:t>
      </w:r>
      <w:r w:rsidRPr="006E745D">
        <w:rPr>
          <w:rFonts w:eastAsia="MS Mincho"/>
          <w:lang w:eastAsia="es-PE"/>
        </w:rPr>
        <w:t xml:space="preserve">. </w:t>
      </w:r>
    </w:p>
    <w:p w:rsidR="002574FF" w:rsidRDefault="00FA0224" w:rsidP="00FA0224">
      <w:pPr>
        <w:widowControl w:val="0"/>
        <w:jc w:val="both"/>
        <w:rPr>
          <w:b/>
          <w:lang w:val="es-ES"/>
        </w:rPr>
      </w:pPr>
      <w:r w:rsidRPr="00FA0224">
        <w:rPr>
          <w:rFonts w:eastAsia="MS Mincho"/>
          <w:lang w:eastAsia="es-PE"/>
        </w:rPr>
        <w:lastRenderedPageBreak/>
        <w:t>Cabe</w:t>
      </w:r>
      <w:r w:rsidRPr="00B65D07">
        <w:t xml:space="preserve"> precisar que en la medida que la definición de bienes similares es responsabilidad de la Entidad, su contenido se encuentra sujeto a rendición de cuentas por parte de la dependencia competente, en caso de corresponder, ante el Titular de la Entidad, la Contraloría General de la República, Ministerio Público, Poder Judicial y/o ante otros organismo competentes, no siendo este Organismo Supervisor perito técnico en tales aspectos</w:t>
      </w:r>
      <w:r w:rsidR="00171E2B">
        <w:t>.</w:t>
      </w:r>
    </w:p>
    <w:p w:rsidR="00FA0224" w:rsidRDefault="00FA0224" w:rsidP="00980388">
      <w:pPr>
        <w:pStyle w:val="Textoindependiente2"/>
        <w:widowControl w:val="0"/>
        <w:spacing w:after="0" w:line="240" w:lineRule="auto"/>
        <w:ind w:left="4820" w:hanging="4820"/>
        <w:jc w:val="both"/>
        <w:rPr>
          <w:b/>
          <w:lang w:val="es-ES"/>
        </w:rPr>
      </w:pPr>
    </w:p>
    <w:p w:rsidR="005A0C9E" w:rsidRDefault="005A0C9E" w:rsidP="00980388">
      <w:pPr>
        <w:pStyle w:val="Textoindependiente2"/>
        <w:widowControl w:val="0"/>
        <w:spacing w:after="0" w:line="240" w:lineRule="auto"/>
        <w:ind w:left="4820" w:hanging="4820"/>
        <w:jc w:val="both"/>
        <w:rPr>
          <w:b/>
          <w:lang w:val="es-ES"/>
        </w:rPr>
      </w:pPr>
    </w:p>
    <w:p w:rsidR="00250D44" w:rsidRDefault="00250D44" w:rsidP="00250D44">
      <w:pPr>
        <w:pStyle w:val="Sinespaciado"/>
        <w:jc w:val="both"/>
        <w:rPr>
          <w:b/>
          <w:lang w:val="es-PE"/>
        </w:rPr>
      </w:pPr>
      <w:r w:rsidRPr="008B0DB2">
        <w:rPr>
          <w:b/>
          <w:lang w:val="es-PE"/>
        </w:rPr>
        <w:t>2.</w:t>
      </w:r>
      <w:r>
        <w:rPr>
          <w:b/>
          <w:lang w:val="es-PE"/>
        </w:rPr>
        <w:t>2</w:t>
      </w:r>
      <w:r w:rsidRPr="008B0DB2">
        <w:rPr>
          <w:b/>
          <w:lang w:val="es-PE"/>
        </w:rPr>
        <w:t xml:space="preserve"> Observante</w:t>
      </w:r>
      <w:r>
        <w:rPr>
          <w:lang w:val="es-PE"/>
        </w:rPr>
        <w:t xml:space="preserve">:                                                         </w:t>
      </w:r>
      <w:r>
        <w:rPr>
          <w:b/>
          <w:lang w:val="es-PE"/>
        </w:rPr>
        <w:t>FRESENIUS MEDICAL CARE DEL</w:t>
      </w:r>
      <w:r w:rsidRPr="008B0DB2">
        <w:rPr>
          <w:b/>
          <w:lang w:val="es-PE"/>
        </w:rPr>
        <w:t xml:space="preserve"> </w:t>
      </w:r>
      <w:r>
        <w:rPr>
          <w:b/>
          <w:lang w:val="es-PE"/>
        </w:rPr>
        <w:t xml:space="preserve"> </w:t>
      </w:r>
    </w:p>
    <w:p w:rsidR="00250D44" w:rsidRPr="008B0DB2" w:rsidRDefault="00250D44" w:rsidP="00250D44">
      <w:pPr>
        <w:pStyle w:val="Sinespaciado"/>
        <w:jc w:val="both"/>
        <w:rPr>
          <w:b/>
          <w:lang w:val="es-PE" w:eastAsia="es-ES"/>
        </w:rPr>
      </w:pPr>
      <w:r>
        <w:rPr>
          <w:b/>
          <w:lang w:val="es-PE"/>
        </w:rPr>
        <w:t xml:space="preserve">                                                                                  PERU S.A.</w:t>
      </w:r>
    </w:p>
    <w:p w:rsidR="00250D44" w:rsidRPr="00197ADF" w:rsidRDefault="00250D44" w:rsidP="00250D44">
      <w:pPr>
        <w:widowControl w:val="0"/>
        <w:ind w:left="3969" w:hanging="3969"/>
        <w:jc w:val="both"/>
        <w:rPr>
          <w:b/>
          <w:lang w:val="es-ES_tradnl"/>
        </w:rPr>
      </w:pPr>
      <w:r w:rsidRPr="00601411">
        <w:rPr>
          <w:b/>
        </w:rPr>
        <w:tab/>
      </w:r>
      <w:r>
        <w:rPr>
          <w:b/>
        </w:rPr>
        <w:t xml:space="preserve">              </w:t>
      </w:r>
    </w:p>
    <w:p w:rsidR="00250D44" w:rsidRDefault="00250D44" w:rsidP="00250D44">
      <w:pPr>
        <w:pStyle w:val="Textoindependiente2"/>
        <w:widowControl w:val="0"/>
        <w:spacing w:after="0" w:line="240" w:lineRule="auto"/>
        <w:ind w:left="4820" w:hanging="4820"/>
        <w:jc w:val="both"/>
        <w:rPr>
          <w:b/>
          <w:lang w:val="es-ES"/>
        </w:rPr>
      </w:pPr>
      <w:r w:rsidRPr="00BC133C">
        <w:rPr>
          <w:b/>
          <w:lang w:val="es-PE"/>
        </w:rPr>
        <w:t>Observaci</w:t>
      </w:r>
      <w:r>
        <w:rPr>
          <w:b/>
          <w:lang w:val="es-PE"/>
        </w:rPr>
        <w:t>ón</w:t>
      </w:r>
      <w:r w:rsidRPr="00BC133C">
        <w:rPr>
          <w:b/>
          <w:lang w:val="es-PE"/>
        </w:rPr>
        <w:t xml:space="preserve"> N° </w:t>
      </w:r>
      <w:r>
        <w:rPr>
          <w:b/>
          <w:lang w:val="es-PE"/>
        </w:rPr>
        <w:t>1</w:t>
      </w:r>
      <w:r w:rsidRPr="00BC133C">
        <w:rPr>
          <w:b/>
          <w:lang w:val="es-PE"/>
        </w:rPr>
        <w:t xml:space="preserve">                </w:t>
      </w:r>
      <w:r>
        <w:rPr>
          <w:b/>
          <w:lang w:val="es-PE"/>
        </w:rPr>
        <w:t xml:space="preserve">           </w:t>
      </w:r>
      <w:r w:rsidRPr="00BC133C">
        <w:rPr>
          <w:b/>
          <w:lang w:val="es-PE"/>
        </w:rPr>
        <w:t xml:space="preserve">         </w:t>
      </w:r>
      <w:r>
        <w:rPr>
          <w:b/>
          <w:lang w:val="es-PE"/>
        </w:rPr>
        <w:tab/>
        <w:t xml:space="preserve">Requerimientos Técnicos Mínimos  </w:t>
      </w:r>
    </w:p>
    <w:p w:rsidR="00250D44" w:rsidRDefault="00250D44" w:rsidP="00980388">
      <w:pPr>
        <w:pStyle w:val="Textoindependiente2"/>
        <w:widowControl w:val="0"/>
        <w:spacing w:after="0" w:line="240" w:lineRule="auto"/>
        <w:ind w:left="4820" w:hanging="4820"/>
        <w:jc w:val="both"/>
        <w:rPr>
          <w:b/>
          <w:lang w:val="es-ES"/>
        </w:rPr>
      </w:pPr>
    </w:p>
    <w:p w:rsidR="00341BB5" w:rsidRDefault="00980388" w:rsidP="00841FBD">
      <w:pPr>
        <w:autoSpaceDE w:val="0"/>
        <w:autoSpaceDN w:val="0"/>
        <w:adjustRightInd w:val="0"/>
        <w:jc w:val="both"/>
      </w:pPr>
      <w:r>
        <w:t xml:space="preserve">El participante cuestiona </w:t>
      </w:r>
      <w:r w:rsidR="005A0C9E">
        <w:t>las características técnicas referidas al “Dializador para hemodiálisis de alto flujo”</w:t>
      </w:r>
      <w:r w:rsidR="00081546">
        <w:t xml:space="preserve"> indicado en el ítem N° 07</w:t>
      </w:r>
      <w:r w:rsidR="005A0C9E">
        <w:t xml:space="preserve">, específicamente en la que se precisa que </w:t>
      </w:r>
      <w:r w:rsidR="00081546">
        <w:t>“</w:t>
      </w:r>
      <w:r w:rsidR="005A0C9E" w:rsidRPr="00081546">
        <w:rPr>
          <w:i/>
        </w:rPr>
        <w:t xml:space="preserve">cada tapa </w:t>
      </w:r>
      <w:r w:rsidR="005A0C9E" w:rsidRPr="005A0C9E">
        <w:rPr>
          <w:i/>
        </w:rPr>
        <w:t xml:space="preserve">tiene en su parte central un conector tipo </w:t>
      </w:r>
      <w:proofErr w:type="spellStart"/>
      <w:r w:rsidR="005A0C9E" w:rsidRPr="005A0C9E">
        <w:rPr>
          <w:i/>
        </w:rPr>
        <w:t>luer</w:t>
      </w:r>
      <w:proofErr w:type="spellEnd"/>
      <w:r w:rsidR="005A0C9E" w:rsidRPr="005A0C9E">
        <w:rPr>
          <w:i/>
        </w:rPr>
        <w:t xml:space="preserve"> look</w:t>
      </w:r>
      <w:r w:rsidR="005A0C9E">
        <w:t xml:space="preserve">”, ya que según indica, </w:t>
      </w:r>
      <w:r w:rsidR="00081546">
        <w:t xml:space="preserve">dicho participante </w:t>
      </w:r>
      <w:r w:rsidR="00341BB5">
        <w:t>c</w:t>
      </w:r>
      <w:r w:rsidR="00081546">
        <w:t xml:space="preserve">ontaría </w:t>
      </w:r>
      <w:r w:rsidR="00341BB5">
        <w:t xml:space="preserve">con </w:t>
      </w:r>
      <w:r w:rsidR="005A0C9E">
        <w:t xml:space="preserve">un dializador de reciente generación y con tecnología mejorada </w:t>
      </w:r>
      <w:r w:rsidR="00341BB5">
        <w:t xml:space="preserve">que cuenta con un </w:t>
      </w:r>
      <w:r w:rsidR="00341BB5" w:rsidRPr="00341BB5">
        <w:rPr>
          <w:b/>
          <w:u w:val="single"/>
        </w:rPr>
        <w:t>conector lateral</w:t>
      </w:r>
      <w:r w:rsidR="00341BB5">
        <w:t xml:space="preserve"> que permite el ingreso de la sangre a la parte central del dializador, lo cual facilita el uso del dializador y asegura un flujo sanguíneo homogéneo que evita zonas de estancamiento y mejoraría el rendimiento del producto.</w:t>
      </w:r>
    </w:p>
    <w:p w:rsidR="00341BB5" w:rsidRDefault="00341BB5" w:rsidP="00841FBD">
      <w:pPr>
        <w:autoSpaceDE w:val="0"/>
        <w:autoSpaceDN w:val="0"/>
        <w:adjustRightInd w:val="0"/>
        <w:jc w:val="both"/>
      </w:pPr>
    </w:p>
    <w:p w:rsidR="00081546" w:rsidRDefault="00341BB5" w:rsidP="00841FBD">
      <w:pPr>
        <w:autoSpaceDE w:val="0"/>
        <w:autoSpaceDN w:val="0"/>
        <w:adjustRightInd w:val="0"/>
        <w:jc w:val="both"/>
      </w:pPr>
      <w:r>
        <w:t xml:space="preserve">En ese sentido, en aplicación de los Principios de </w:t>
      </w:r>
      <w:r w:rsidR="00081546">
        <w:t>Razonabilidad, Eficiencia, Libre Concurrencia y Competencia y de Vigencia Tecnológica solicita eliminar la referencia a “parte central” de las características técnicas del bien detallado en el ítem N° 7.</w:t>
      </w:r>
    </w:p>
    <w:p w:rsidR="005419F3" w:rsidRDefault="005419F3" w:rsidP="00841FBD">
      <w:pPr>
        <w:autoSpaceDE w:val="0"/>
        <w:autoSpaceDN w:val="0"/>
        <w:adjustRightInd w:val="0"/>
        <w:jc w:val="both"/>
      </w:pPr>
    </w:p>
    <w:p w:rsidR="005419F3" w:rsidRPr="005419F3" w:rsidRDefault="005419F3" w:rsidP="00841FBD">
      <w:pPr>
        <w:autoSpaceDE w:val="0"/>
        <w:autoSpaceDN w:val="0"/>
        <w:adjustRightInd w:val="0"/>
        <w:jc w:val="both"/>
        <w:rPr>
          <w:b/>
        </w:rPr>
      </w:pPr>
      <w:r w:rsidRPr="005419F3">
        <w:rPr>
          <w:b/>
        </w:rPr>
        <w:t xml:space="preserve">Pronunciamiento </w:t>
      </w:r>
    </w:p>
    <w:p w:rsidR="00980388" w:rsidRDefault="00980388" w:rsidP="00841FBD">
      <w:pPr>
        <w:autoSpaceDE w:val="0"/>
        <w:autoSpaceDN w:val="0"/>
        <w:adjustRightInd w:val="0"/>
        <w:jc w:val="both"/>
      </w:pPr>
      <w:r>
        <w:t xml:space="preserve"> </w:t>
      </w:r>
    </w:p>
    <w:p w:rsidR="00081546" w:rsidRDefault="00081546" w:rsidP="00081546">
      <w:pPr>
        <w:autoSpaceDE w:val="0"/>
        <w:autoSpaceDN w:val="0"/>
        <w:adjustRightInd w:val="0"/>
        <w:jc w:val="both"/>
        <w:rPr>
          <w:snapToGrid w:val="0"/>
        </w:rPr>
      </w:pPr>
      <w:r>
        <w:rPr>
          <w:snapToGrid w:val="0"/>
        </w:rPr>
        <w:t>De la revisión de las especificaciones técnicas referida al “Dializador para Hemodiálisis de Alto Flujo” del ítem N° 7, entre otras características, se advierte lo siguiente:</w:t>
      </w:r>
    </w:p>
    <w:p w:rsidR="00081546" w:rsidRDefault="00081546" w:rsidP="00081546">
      <w:pPr>
        <w:autoSpaceDE w:val="0"/>
        <w:autoSpaceDN w:val="0"/>
        <w:adjustRightInd w:val="0"/>
        <w:jc w:val="both"/>
        <w:rPr>
          <w:snapToGrid w:val="0"/>
        </w:rPr>
      </w:pPr>
    </w:p>
    <w:p w:rsidR="00081546" w:rsidRDefault="00081546" w:rsidP="00081546">
      <w:pPr>
        <w:autoSpaceDE w:val="0"/>
        <w:autoSpaceDN w:val="0"/>
        <w:adjustRightInd w:val="0"/>
        <w:ind w:left="708" w:firstLine="708"/>
        <w:jc w:val="both"/>
        <w:rPr>
          <w:b/>
          <w:i/>
          <w:snapToGrid w:val="0"/>
        </w:rPr>
      </w:pPr>
      <w:r>
        <w:rPr>
          <w:b/>
          <w:i/>
          <w:snapToGrid w:val="0"/>
        </w:rPr>
        <w:t>“(…)</w:t>
      </w:r>
    </w:p>
    <w:p w:rsidR="00081546" w:rsidRPr="008E1D12" w:rsidRDefault="00081546" w:rsidP="00081546">
      <w:pPr>
        <w:autoSpaceDE w:val="0"/>
        <w:autoSpaceDN w:val="0"/>
        <w:adjustRightInd w:val="0"/>
        <w:ind w:left="708" w:firstLine="708"/>
        <w:jc w:val="both"/>
        <w:rPr>
          <w:b/>
          <w:i/>
          <w:snapToGrid w:val="0"/>
        </w:rPr>
      </w:pPr>
      <w:r>
        <w:rPr>
          <w:b/>
          <w:i/>
          <w:snapToGrid w:val="0"/>
        </w:rPr>
        <w:t>CARACTERISTICA</w:t>
      </w:r>
    </w:p>
    <w:p w:rsidR="00081546" w:rsidRDefault="00081546" w:rsidP="00081546">
      <w:pPr>
        <w:autoSpaceDE w:val="0"/>
        <w:autoSpaceDN w:val="0"/>
        <w:adjustRightInd w:val="0"/>
        <w:ind w:left="708" w:firstLine="708"/>
        <w:jc w:val="both"/>
        <w:rPr>
          <w:i/>
          <w:snapToGrid w:val="0"/>
        </w:rPr>
      </w:pPr>
      <w:r>
        <w:rPr>
          <w:i/>
          <w:snapToGrid w:val="0"/>
        </w:rPr>
        <w:t>(….)</w:t>
      </w:r>
    </w:p>
    <w:p w:rsidR="00081546" w:rsidRPr="008E1D12" w:rsidRDefault="00081546" w:rsidP="0091011D">
      <w:pPr>
        <w:autoSpaceDE w:val="0"/>
        <w:autoSpaceDN w:val="0"/>
        <w:adjustRightInd w:val="0"/>
        <w:ind w:left="1416"/>
        <w:jc w:val="both"/>
        <w:rPr>
          <w:snapToGrid w:val="0"/>
        </w:rPr>
      </w:pPr>
      <w:r>
        <w:rPr>
          <w:i/>
          <w:snapToGrid w:val="0"/>
        </w:rPr>
        <w:t xml:space="preserve">- </w:t>
      </w:r>
      <w:r w:rsidR="0091011D">
        <w:rPr>
          <w:i/>
          <w:snapToGrid w:val="0"/>
        </w:rPr>
        <w:t xml:space="preserve">Los extremos superior e inferior están cubiertos por una tapa sellada o cerrada herméticamente con dispositivo tipo rosca, cada tapa tiene </w:t>
      </w:r>
      <w:r w:rsidR="0091011D" w:rsidRPr="0091011D">
        <w:rPr>
          <w:b/>
          <w:i/>
          <w:snapToGrid w:val="0"/>
          <w:u w:val="single"/>
        </w:rPr>
        <w:t xml:space="preserve">en su parte central un conector tipo </w:t>
      </w:r>
      <w:proofErr w:type="spellStart"/>
      <w:r w:rsidR="0091011D" w:rsidRPr="0091011D">
        <w:rPr>
          <w:b/>
          <w:i/>
          <w:snapToGrid w:val="0"/>
          <w:u w:val="single"/>
        </w:rPr>
        <w:t>luer</w:t>
      </w:r>
      <w:proofErr w:type="spellEnd"/>
      <w:r w:rsidR="0091011D" w:rsidRPr="0091011D">
        <w:rPr>
          <w:b/>
          <w:i/>
          <w:snapToGrid w:val="0"/>
          <w:u w:val="single"/>
        </w:rPr>
        <w:t xml:space="preserve"> look</w:t>
      </w:r>
      <w:r w:rsidR="0091011D">
        <w:rPr>
          <w:i/>
          <w:snapToGrid w:val="0"/>
        </w:rPr>
        <w:t xml:space="preserve"> para la unión con las líneas de sangre que deben estar protegido por una tapa para mantener la esterilidad de la membrana”.</w:t>
      </w:r>
    </w:p>
    <w:p w:rsidR="00081546" w:rsidRPr="008E1D12" w:rsidRDefault="00081546" w:rsidP="00081546">
      <w:pPr>
        <w:pStyle w:val="Prrafodelista"/>
        <w:autoSpaceDE w:val="0"/>
        <w:autoSpaceDN w:val="0"/>
        <w:adjustRightInd w:val="0"/>
        <w:ind w:left="362"/>
        <w:jc w:val="both"/>
        <w:rPr>
          <w:snapToGrid w:val="0"/>
        </w:rPr>
      </w:pPr>
      <w:r w:rsidRPr="008E1D12">
        <w:rPr>
          <w:snapToGrid w:val="0"/>
        </w:rPr>
        <w:t xml:space="preserve">     </w:t>
      </w:r>
      <w:r w:rsidR="0091011D">
        <w:rPr>
          <w:snapToGrid w:val="0"/>
        </w:rPr>
        <w:tab/>
      </w:r>
      <w:r w:rsidR="0091011D">
        <w:rPr>
          <w:snapToGrid w:val="0"/>
        </w:rPr>
        <w:tab/>
      </w:r>
      <w:r w:rsidR="0091011D" w:rsidRPr="0091011D">
        <w:rPr>
          <w:snapToGrid w:val="0"/>
          <w:sz w:val="24"/>
          <w:szCs w:val="24"/>
        </w:rPr>
        <w:t>(El resaltado y subrayado es agregado)</w:t>
      </w:r>
      <w:r w:rsidR="0091011D">
        <w:rPr>
          <w:snapToGrid w:val="0"/>
        </w:rPr>
        <w:t>.</w:t>
      </w:r>
    </w:p>
    <w:p w:rsidR="0091011D" w:rsidRDefault="0091011D" w:rsidP="00081546">
      <w:pPr>
        <w:autoSpaceDE w:val="0"/>
        <w:autoSpaceDN w:val="0"/>
        <w:adjustRightInd w:val="0"/>
        <w:jc w:val="both"/>
        <w:rPr>
          <w:snapToGrid w:val="0"/>
        </w:rPr>
      </w:pPr>
    </w:p>
    <w:p w:rsidR="00081546" w:rsidRDefault="00081546" w:rsidP="00081546">
      <w:pPr>
        <w:autoSpaceDE w:val="0"/>
        <w:autoSpaceDN w:val="0"/>
        <w:adjustRightInd w:val="0"/>
        <w:jc w:val="both"/>
        <w:rPr>
          <w:snapToGrid w:val="0"/>
        </w:rPr>
      </w:pPr>
      <w:r>
        <w:rPr>
          <w:snapToGrid w:val="0"/>
        </w:rPr>
        <w:t>De la revisión del respectivo pliego de absolución de Observaciones, se advierte que el Comité Especial con motivo de la absolución de la presente observación ratificó el requerimiento de la Entidad son expresar mayor argumento que el de “</w:t>
      </w:r>
      <w:r w:rsidRPr="00686F49">
        <w:rPr>
          <w:i/>
          <w:snapToGrid w:val="0"/>
        </w:rPr>
        <w:t xml:space="preserve">las especificaciones técnicas han sido elaboradas por el Comité Nacional de Material Médico de </w:t>
      </w:r>
      <w:proofErr w:type="spellStart"/>
      <w:r w:rsidRPr="00686F49">
        <w:rPr>
          <w:i/>
          <w:snapToGrid w:val="0"/>
        </w:rPr>
        <w:t>Essalud</w:t>
      </w:r>
      <w:proofErr w:type="spellEnd"/>
      <w:r w:rsidRPr="00686F49">
        <w:rPr>
          <w:i/>
          <w:snapToGrid w:val="0"/>
        </w:rPr>
        <w:t xml:space="preserve"> y son de uso obligatorio por el cual no podemos realizar ninguna modificación</w:t>
      </w:r>
      <w:r>
        <w:rPr>
          <w:snapToGrid w:val="0"/>
        </w:rPr>
        <w:t>”.</w:t>
      </w:r>
    </w:p>
    <w:p w:rsidR="00081546" w:rsidRDefault="00081546" w:rsidP="00081546">
      <w:pPr>
        <w:autoSpaceDE w:val="0"/>
        <w:autoSpaceDN w:val="0"/>
        <w:adjustRightInd w:val="0"/>
        <w:jc w:val="both"/>
        <w:rPr>
          <w:snapToGrid w:val="0"/>
        </w:rPr>
      </w:pPr>
    </w:p>
    <w:p w:rsidR="00081546" w:rsidRDefault="00081546" w:rsidP="00081546">
      <w:pPr>
        <w:autoSpaceDE w:val="0"/>
        <w:autoSpaceDN w:val="0"/>
        <w:adjustRightInd w:val="0"/>
        <w:jc w:val="both"/>
        <w:rPr>
          <w:snapToGrid w:val="0"/>
        </w:rPr>
      </w:pPr>
      <w:r>
        <w:rPr>
          <w:snapToGrid w:val="0"/>
        </w:rPr>
        <w:lastRenderedPageBreak/>
        <w:t>Sobre el particular, de acuerdo con lo dispuesto 13 de la Ley, concordado con el artículo 11 del Reglamento, la definición de los requerimientos técnicos mínimos así como la documentación que los acredite es responsabilidad de la Entidad, procurando la mayor concurrencia de proveedores en el mercado, y considerando criterios de razonabilidad, congruencia y proporcionalidad.</w:t>
      </w:r>
    </w:p>
    <w:p w:rsidR="00081546" w:rsidRDefault="00081546" w:rsidP="00081546">
      <w:pPr>
        <w:autoSpaceDE w:val="0"/>
        <w:autoSpaceDN w:val="0"/>
        <w:adjustRightInd w:val="0"/>
        <w:jc w:val="both"/>
        <w:rPr>
          <w:snapToGrid w:val="0"/>
        </w:rPr>
      </w:pPr>
    </w:p>
    <w:p w:rsidR="00081546" w:rsidRDefault="00081546" w:rsidP="00081546">
      <w:pPr>
        <w:autoSpaceDE w:val="0"/>
        <w:autoSpaceDN w:val="0"/>
        <w:adjustRightInd w:val="0"/>
        <w:jc w:val="both"/>
        <w:rPr>
          <w:snapToGrid w:val="0"/>
        </w:rPr>
      </w:pPr>
      <w:r>
        <w:rPr>
          <w:snapToGrid w:val="0"/>
        </w:rPr>
        <w:t>De este modo, los requisitos técnicos mínimos cumplen con la función de asegurar a la Entidad que el postor ofertará lo mínimo necesario para cubrir adecuadamente la operatividad y funcionalidad de lo requerido.</w:t>
      </w:r>
    </w:p>
    <w:p w:rsidR="00171E2B" w:rsidRDefault="00171E2B" w:rsidP="00081546">
      <w:pPr>
        <w:autoSpaceDE w:val="0"/>
        <w:autoSpaceDN w:val="0"/>
        <w:adjustRightInd w:val="0"/>
        <w:jc w:val="both"/>
        <w:rPr>
          <w:snapToGrid w:val="0"/>
        </w:rPr>
      </w:pPr>
    </w:p>
    <w:p w:rsidR="00081546" w:rsidRDefault="00081546" w:rsidP="00081546">
      <w:pPr>
        <w:autoSpaceDE w:val="0"/>
        <w:autoSpaceDN w:val="0"/>
        <w:adjustRightInd w:val="0"/>
        <w:jc w:val="both"/>
        <w:rPr>
          <w:snapToGrid w:val="0"/>
        </w:rPr>
      </w:pPr>
      <w:r>
        <w:rPr>
          <w:snapToGrid w:val="0"/>
        </w:rPr>
        <w:t>Asimismo, cabe señalar que es responsabilidad de la Entidad hacer uso eficiente de sus recursos y aplicar de forma idónea las disposiciones normativas conforme a criterios de razonabilidad y congruencia a efectos de no ver perjudicada la ejecución del contrato.</w:t>
      </w:r>
    </w:p>
    <w:p w:rsidR="00081546" w:rsidRDefault="00081546" w:rsidP="00081546">
      <w:pPr>
        <w:autoSpaceDE w:val="0"/>
        <w:autoSpaceDN w:val="0"/>
        <w:adjustRightInd w:val="0"/>
        <w:jc w:val="both"/>
        <w:rPr>
          <w:snapToGrid w:val="0"/>
        </w:rPr>
      </w:pPr>
    </w:p>
    <w:p w:rsidR="00171E2B" w:rsidRPr="005B0253" w:rsidRDefault="00171E2B" w:rsidP="00171E2B">
      <w:pPr>
        <w:widowControl w:val="0"/>
        <w:jc w:val="both"/>
        <w:rPr>
          <w:rFonts w:eastAsia="Calibri"/>
          <w:color w:val="000000"/>
          <w:lang w:val="es-PE" w:eastAsia="es-PE"/>
        </w:rPr>
      </w:pPr>
      <w:r w:rsidRPr="005B0253">
        <w:t xml:space="preserve">Adicionalmente, de la revisión de numeral 4.2 del formato de Resumen Ejecutivo, se advierte que la Entidad ha declarado la existencia de pluralidad de proveedores y marcas que estarían en condiciones de cumplir con los requerimientos técnicos mínimos. Así tenemos que en el </w:t>
      </w:r>
      <w:r>
        <w:t xml:space="preserve">Formato de </w:t>
      </w:r>
      <w:r w:rsidRPr="005B0253">
        <w:t>Cuadro Comparativo se</w:t>
      </w:r>
      <w:r w:rsidRPr="005B0253">
        <w:rPr>
          <w:rFonts w:eastAsia="Calibri"/>
          <w:color w:val="000000"/>
          <w:lang w:val="es-PE" w:eastAsia="es-PE"/>
        </w:rPr>
        <w:t xml:space="preserve"> señaló que </w:t>
      </w:r>
      <w:r>
        <w:rPr>
          <w:rFonts w:eastAsia="Calibri"/>
          <w:color w:val="000000"/>
          <w:lang w:val="es-PE" w:eastAsia="es-PE"/>
        </w:rPr>
        <w:t>e</w:t>
      </w:r>
      <w:r w:rsidRPr="005B0253">
        <w:rPr>
          <w:rFonts w:eastAsia="Calibri"/>
          <w:color w:val="000000"/>
          <w:lang w:val="es-PE" w:eastAsia="es-PE"/>
        </w:rPr>
        <w:t>l proveedor</w:t>
      </w:r>
      <w:r>
        <w:rPr>
          <w:rFonts w:eastAsia="Calibri"/>
          <w:color w:val="000000"/>
          <w:lang w:val="es-PE" w:eastAsia="es-PE"/>
        </w:rPr>
        <w:t xml:space="preserve"> “</w:t>
      </w:r>
      <w:proofErr w:type="spellStart"/>
      <w:r>
        <w:rPr>
          <w:rFonts w:eastAsia="Calibri"/>
          <w:color w:val="000000"/>
          <w:lang w:val="es-PE" w:eastAsia="es-PE"/>
        </w:rPr>
        <w:t>Nipro</w:t>
      </w:r>
      <w:proofErr w:type="spellEnd"/>
      <w:r>
        <w:rPr>
          <w:rFonts w:eastAsia="Calibri"/>
          <w:color w:val="000000"/>
          <w:lang w:val="es-PE" w:eastAsia="es-PE"/>
        </w:rPr>
        <w:t xml:space="preserve"> Medical </w:t>
      </w:r>
      <w:proofErr w:type="spellStart"/>
      <w:r>
        <w:rPr>
          <w:rFonts w:eastAsia="Calibri"/>
          <w:color w:val="000000"/>
          <w:lang w:val="es-PE" w:eastAsia="es-PE"/>
        </w:rPr>
        <w:t>Corporation</w:t>
      </w:r>
      <w:proofErr w:type="spellEnd"/>
      <w:r>
        <w:rPr>
          <w:rFonts w:eastAsia="Calibri"/>
          <w:color w:val="000000"/>
          <w:lang w:val="es-PE" w:eastAsia="es-PE"/>
        </w:rPr>
        <w:t xml:space="preserve"> Sucursal Perú</w:t>
      </w:r>
      <w:r>
        <w:rPr>
          <w:rFonts w:eastAsia="Calibri"/>
          <w:color w:val="000000"/>
          <w:lang w:val="es-PE" w:eastAsia="es-PE"/>
        </w:rPr>
        <w:t xml:space="preserve">” </w:t>
      </w:r>
      <w:r w:rsidRPr="005B0253">
        <w:rPr>
          <w:rFonts w:eastAsia="Calibri"/>
          <w:color w:val="000000"/>
          <w:lang w:val="es-PE" w:eastAsia="es-PE"/>
        </w:rPr>
        <w:t>ofert</w:t>
      </w:r>
      <w:r>
        <w:rPr>
          <w:rFonts w:eastAsia="Calibri"/>
          <w:color w:val="000000"/>
          <w:lang w:val="es-PE" w:eastAsia="es-PE"/>
        </w:rPr>
        <w:t>ó</w:t>
      </w:r>
      <w:r w:rsidRPr="005B0253">
        <w:rPr>
          <w:rFonts w:eastAsia="Calibri"/>
          <w:color w:val="000000"/>
          <w:lang w:val="es-PE" w:eastAsia="es-PE"/>
        </w:rPr>
        <w:t xml:space="preserve"> la marca "</w:t>
      </w:r>
      <w:proofErr w:type="spellStart"/>
      <w:r>
        <w:rPr>
          <w:rFonts w:eastAsia="Calibri"/>
          <w:color w:val="000000"/>
          <w:lang w:val="es-PE" w:eastAsia="es-PE"/>
        </w:rPr>
        <w:t>Nipro</w:t>
      </w:r>
      <w:proofErr w:type="spellEnd"/>
      <w:r w:rsidRPr="005B0253">
        <w:rPr>
          <w:rFonts w:eastAsia="Calibri"/>
          <w:color w:val="000000"/>
          <w:lang w:val="es-PE" w:eastAsia="es-PE"/>
        </w:rPr>
        <w:t>”, y los proveedores “</w:t>
      </w:r>
      <w:r>
        <w:rPr>
          <w:rFonts w:eastAsia="Calibri"/>
          <w:color w:val="000000"/>
          <w:lang w:val="es-PE" w:eastAsia="es-PE"/>
        </w:rPr>
        <w:t>Representaciones Química Europea S.A.C.” y “</w:t>
      </w:r>
      <w:proofErr w:type="spellStart"/>
      <w:r>
        <w:rPr>
          <w:rFonts w:eastAsia="Calibri"/>
          <w:color w:val="000000"/>
          <w:lang w:val="es-PE" w:eastAsia="es-PE"/>
        </w:rPr>
        <w:t>Latitude</w:t>
      </w:r>
      <w:proofErr w:type="spellEnd"/>
      <w:r>
        <w:rPr>
          <w:rFonts w:eastAsia="Calibri"/>
          <w:color w:val="000000"/>
          <w:lang w:val="es-PE" w:eastAsia="es-PE"/>
        </w:rPr>
        <w:t xml:space="preserve"> International S.A.C” </w:t>
      </w:r>
      <w:r w:rsidRPr="005B0253">
        <w:rPr>
          <w:rFonts w:eastAsia="Calibri"/>
          <w:color w:val="000000"/>
          <w:lang w:val="es-PE" w:eastAsia="es-PE"/>
        </w:rPr>
        <w:t>ofertaron la marca “</w:t>
      </w:r>
      <w:proofErr w:type="spellStart"/>
      <w:r>
        <w:rPr>
          <w:rFonts w:eastAsia="Calibri"/>
          <w:color w:val="000000"/>
          <w:lang w:val="es-PE" w:eastAsia="es-PE"/>
        </w:rPr>
        <w:t>Bain</w:t>
      </w:r>
      <w:proofErr w:type="spellEnd"/>
      <w:r>
        <w:rPr>
          <w:rFonts w:eastAsia="Calibri"/>
          <w:color w:val="000000"/>
          <w:lang w:val="es-PE" w:eastAsia="es-PE"/>
        </w:rPr>
        <w:t>”</w:t>
      </w:r>
      <w:r w:rsidRPr="005B0253">
        <w:rPr>
          <w:rFonts w:eastAsia="Calibri"/>
          <w:color w:val="000000"/>
          <w:lang w:val="es-PE" w:eastAsia="es-PE"/>
        </w:rPr>
        <w:t>, las cuales, según la Entidad cumplirían con los requerimientos técnicos mínimos.</w:t>
      </w:r>
    </w:p>
    <w:p w:rsidR="00081546" w:rsidRDefault="00081546" w:rsidP="00081546">
      <w:pPr>
        <w:autoSpaceDE w:val="0"/>
        <w:autoSpaceDN w:val="0"/>
        <w:adjustRightInd w:val="0"/>
        <w:jc w:val="both"/>
        <w:rPr>
          <w:snapToGrid w:val="0"/>
        </w:rPr>
      </w:pPr>
    </w:p>
    <w:p w:rsidR="00081546" w:rsidRDefault="00081546" w:rsidP="00081546">
      <w:pPr>
        <w:autoSpaceDE w:val="0"/>
        <w:autoSpaceDN w:val="0"/>
        <w:adjustRightInd w:val="0"/>
        <w:jc w:val="both"/>
      </w:pPr>
      <w:r>
        <w:rPr>
          <w:snapToGrid w:val="0"/>
        </w:rPr>
        <w:t xml:space="preserve">En ese sentido, toda vez que es responsabilidad de la Entidad la determinación de sus requerimientos técnicos mínimos, y en tanto el participante requiere que se modifique según su propio interés, este Organismo Supervisor ha decidido </w:t>
      </w:r>
      <w:r w:rsidRPr="005F3247">
        <w:rPr>
          <w:b/>
          <w:snapToGrid w:val="0"/>
        </w:rPr>
        <w:t>NO ACOGER</w:t>
      </w:r>
      <w:r>
        <w:rPr>
          <w:snapToGrid w:val="0"/>
        </w:rPr>
        <w:t xml:space="preserve"> la presente observación.</w:t>
      </w:r>
    </w:p>
    <w:p w:rsidR="00081546" w:rsidRDefault="00081546" w:rsidP="00841FBD">
      <w:pPr>
        <w:autoSpaceDE w:val="0"/>
        <w:autoSpaceDN w:val="0"/>
        <w:adjustRightInd w:val="0"/>
        <w:jc w:val="both"/>
      </w:pPr>
    </w:p>
    <w:p w:rsidR="00C77276" w:rsidRPr="00412ABC" w:rsidRDefault="00C77276" w:rsidP="00C77276">
      <w:pPr>
        <w:pStyle w:val="Textoindependiente2"/>
        <w:widowControl w:val="0"/>
        <w:spacing w:after="0" w:line="240" w:lineRule="auto"/>
        <w:ind w:left="567" w:hanging="567"/>
        <w:jc w:val="both"/>
      </w:pPr>
      <w:r w:rsidRPr="00412ABC">
        <w:rPr>
          <w:b/>
          <w:lang w:val="es-PE"/>
        </w:rPr>
        <w:t xml:space="preserve">3. </w:t>
      </w:r>
      <w:r w:rsidRPr="00412ABC">
        <w:rPr>
          <w:b/>
          <w:lang w:val="es-PE"/>
        </w:rPr>
        <w:tab/>
        <w:t>CONTENIDO DE LAS BASES CONTRARIO A LA NORMATIVA SOBRE CONTRATACIONES DEL ESTADO</w:t>
      </w:r>
    </w:p>
    <w:p w:rsidR="00C77276" w:rsidRPr="00412ABC" w:rsidRDefault="00C77276" w:rsidP="00C77276">
      <w:pPr>
        <w:widowControl w:val="0"/>
        <w:tabs>
          <w:tab w:val="left" w:pos="540"/>
        </w:tabs>
        <w:jc w:val="both"/>
        <w:rPr>
          <w:b/>
        </w:rPr>
      </w:pPr>
      <w:r w:rsidRPr="00412ABC">
        <w:t xml:space="preserve"> </w:t>
      </w:r>
    </w:p>
    <w:p w:rsidR="00C77276" w:rsidRDefault="00C77276" w:rsidP="00C77276">
      <w:pPr>
        <w:widowControl w:val="0"/>
        <w:tabs>
          <w:tab w:val="left" w:pos="540"/>
        </w:tabs>
        <w:jc w:val="both"/>
      </w:pPr>
      <w:r w:rsidRPr="00412ABC">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C77276" w:rsidRDefault="00C77276" w:rsidP="00C77276">
      <w:pPr>
        <w:pStyle w:val="Prrafodelista"/>
        <w:widowControl w:val="0"/>
        <w:contextualSpacing/>
        <w:jc w:val="both"/>
        <w:rPr>
          <w:sz w:val="24"/>
          <w:szCs w:val="24"/>
        </w:rPr>
      </w:pPr>
    </w:p>
    <w:p w:rsidR="00A23F15" w:rsidRDefault="00A23F15" w:rsidP="00A23F15">
      <w:pPr>
        <w:pStyle w:val="Prrafodelista"/>
        <w:widowControl w:val="0"/>
        <w:numPr>
          <w:ilvl w:val="1"/>
          <w:numId w:val="27"/>
        </w:numPr>
        <w:tabs>
          <w:tab w:val="left" w:pos="0"/>
        </w:tabs>
        <w:ind w:left="567" w:hanging="567"/>
        <w:jc w:val="both"/>
        <w:rPr>
          <w:b/>
          <w:sz w:val="24"/>
          <w:szCs w:val="24"/>
        </w:rPr>
      </w:pPr>
      <w:r>
        <w:rPr>
          <w:b/>
          <w:sz w:val="24"/>
          <w:szCs w:val="24"/>
        </w:rPr>
        <w:t>Documentación facultativa de la propuesta técnica</w:t>
      </w:r>
    </w:p>
    <w:p w:rsidR="00A23F15" w:rsidRDefault="00A23F15" w:rsidP="00A23F15">
      <w:pPr>
        <w:pStyle w:val="Prrafodelista"/>
        <w:widowControl w:val="0"/>
        <w:tabs>
          <w:tab w:val="left" w:pos="0"/>
        </w:tabs>
        <w:ind w:left="0"/>
        <w:jc w:val="both"/>
        <w:rPr>
          <w:sz w:val="24"/>
          <w:szCs w:val="24"/>
        </w:rPr>
      </w:pPr>
    </w:p>
    <w:p w:rsidR="00A23F15" w:rsidRDefault="00A23F15" w:rsidP="00A23F15">
      <w:pPr>
        <w:pStyle w:val="Prrafodelista"/>
        <w:widowControl w:val="0"/>
        <w:tabs>
          <w:tab w:val="left" w:pos="567"/>
        </w:tabs>
        <w:ind w:left="0"/>
        <w:contextualSpacing/>
        <w:jc w:val="both"/>
        <w:rPr>
          <w:iCs/>
          <w:sz w:val="24"/>
          <w:szCs w:val="24"/>
        </w:rPr>
      </w:pPr>
      <w:r w:rsidRPr="00E416F2">
        <w:rPr>
          <w:sz w:val="24"/>
          <w:szCs w:val="24"/>
          <w:lang w:eastAsia="es-ES"/>
        </w:rPr>
        <w:t xml:space="preserve">A efectos de </w:t>
      </w:r>
      <w:r w:rsidRPr="00E416F2">
        <w:rPr>
          <w:sz w:val="24"/>
          <w:szCs w:val="24"/>
        </w:rPr>
        <w:t>uniformizar la forma de acreditación d</w:t>
      </w:r>
      <w:r w:rsidRPr="00E416F2">
        <w:rPr>
          <w:sz w:val="24"/>
          <w:szCs w:val="24"/>
          <w:lang w:eastAsia="es-ES"/>
        </w:rPr>
        <w:t xml:space="preserve">el cumplimiento de la prestación </w:t>
      </w:r>
      <w:r>
        <w:rPr>
          <w:sz w:val="24"/>
          <w:szCs w:val="24"/>
          <w:lang w:val="es-PE" w:eastAsia="es-ES"/>
        </w:rPr>
        <w:t>y que ésta resulte</w:t>
      </w:r>
      <w:r w:rsidRPr="00E416F2">
        <w:rPr>
          <w:sz w:val="24"/>
          <w:szCs w:val="24"/>
          <w:lang w:eastAsia="es-ES"/>
        </w:rPr>
        <w:t xml:space="preserve"> acorde a lo </w:t>
      </w:r>
      <w:r w:rsidRPr="00E416F2">
        <w:rPr>
          <w:iCs/>
          <w:sz w:val="24"/>
          <w:szCs w:val="24"/>
        </w:rPr>
        <w:t>dispuesto por al artículo 44 del Reglamento y lo establecido por las Bases estándar</w:t>
      </w:r>
      <w:r w:rsidRPr="00E416F2">
        <w:rPr>
          <w:sz w:val="24"/>
          <w:szCs w:val="24"/>
          <w:lang w:eastAsia="es-ES"/>
        </w:rPr>
        <w:t xml:space="preserve">, </w:t>
      </w:r>
      <w:r w:rsidRPr="00E416F2">
        <w:rPr>
          <w:b/>
          <w:sz w:val="24"/>
          <w:szCs w:val="24"/>
          <w:u w:val="single"/>
        </w:rPr>
        <w:t>deberá señalarse en</w:t>
      </w:r>
      <w:r>
        <w:rPr>
          <w:b/>
          <w:sz w:val="24"/>
          <w:szCs w:val="24"/>
          <w:u w:val="single"/>
          <w:lang w:val="es-PE"/>
        </w:rPr>
        <w:t xml:space="preserve"> el literal </w:t>
      </w:r>
      <w:r w:rsidR="007427AB">
        <w:rPr>
          <w:b/>
          <w:sz w:val="24"/>
          <w:szCs w:val="24"/>
          <w:u w:val="single"/>
          <w:lang w:val="es-PE"/>
        </w:rPr>
        <w:t>c</w:t>
      </w:r>
      <w:r>
        <w:rPr>
          <w:b/>
          <w:sz w:val="24"/>
          <w:szCs w:val="24"/>
          <w:u w:val="single"/>
          <w:lang w:val="es-PE"/>
        </w:rPr>
        <w:t>) de</w:t>
      </w:r>
      <w:r w:rsidRPr="00E416F2">
        <w:rPr>
          <w:b/>
          <w:sz w:val="24"/>
          <w:szCs w:val="24"/>
          <w:u w:val="single"/>
          <w:lang w:eastAsia="es-ES"/>
        </w:rPr>
        <w:t xml:space="preserve"> la documentación facultativa de la propuesta técnica que el factor de evaluación “Cumplimiento de la prestación” se acreditará mediante </w:t>
      </w:r>
      <w:r w:rsidRPr="00E416F2">
        <w:rPr>
          <w:b/>
          <w:sz w:val="24"/>
          <w:szCs w:val="24"/>
          <w:u w:val="single"/>
        </w:rPr>
        <w:t xml:space="preserve">la presentación de un máximo de veinte (20) constancias de prestación o cualquier otro documento que, independientemente de su denominación, indique, como mínimo, lo siguiente: i) </w:t>
      </w:r>
      <w:r w:rsidRPr="00E416F2">
        <w:rPr>
          <w:b/>
          <w:sz w:val="24"/>
          <w:szCs w:val="24"/>
          <w:u w:val="single"/>
          <w:lang w:eastAsia="ja-JP"/>
        </w:rPr>
        <w:t xml:space="preserve">La identificación del contrato u orden de compra, indicando como mínimo su objeto, ii) El monto correspondiente; esto es, el importe total al que asciende el contrato, comprendiendo las variaciones por adicionales, reducciones, reajustes, etc., que se hubieran aplicado durante la ejecución </w:t>
      </w:r>
      <w:r w:rsidRPr="00E416F2">
        <w:rPr>
          <w:b/>
          <w:sz w:val="24"/>
          <w:szCs w:val="24"/>
          <w:u w:val="single"/>
          <w:lang w:eastAsia="ja-JP"/>
        </w:rPr>
        <w:lastRenderedPageBreak/>
        <w:t>contractual, y iii) Las penalidades en que hubiera incurrido el contratista durante la ejecución de dicho contrato</w:t>
      </w:r>
      <w:r w:rsidRPr="003D1DA8">
        <w:rPr>
          <w:sz w:val="24"/>
          <w:szCs w:val="24"/>
          <w:lang w:eastAsia="ja-JP"/>
        </w:rPr>
        <w:t>, en concordancia con lo previsto en el Capítulo IV de las Bases</w:t>
      </w:r>
      <w:r w:rsidRPr="00E416F2">
        <w:rPr>
          <w:iCs/>
          <w:sz w:val="24"/>
          <w:szCs w:val="24"/>
        </w:rPr>
        <w:t>.</w:t>
      </w:r>
    </w:p>
    <w:p w:rsidR="007427AB" w:rsidRDefault="007427AB" w:rsidP="00A23F15">
      <w:pPr>
        <w:pStyle w:val="Prrafodelista"/>
        <w:widowControl w:val="0"/>
        <w:tabs>
          <w:tab w:val="left" w:pos="567"/>
        </w:tabs>
        <w:ind w:left="0"/>
        <w:contextualSpacing/>
        <w:jc w:val="both"/>
        <w:rPr>
          <w:iCs/>
          <w:sz w:val="24"/>
          <w:szCs w:val="24"/>
          <w:lang w:eastAsia="es-PE"/>
        </w:rPr>
      </w:pPr>
    </w:p>
    <w:p w:rsidR="00171E2B" w:rsidRPr="003B4261" w:rsidRDefault="00171E2B" w:rsidP="00171E2B">
      <w:pPr>
        <w:widowControl w:val="0"/>
        <w:jc w:val="both"/>
        <w:rPr>
          <w:b/>
          <w:lang w:eastAsia="es-ES"/>
        </w:rPr>
      </w:pPr>
    </w:p>
    <w:p w:rsidR="00171E2B" w:rsidRPr="00171E2B" w:rsidRDefault="00171E2B" w:rsidP="00171E2B">
      <w:pPr>
        <w:pStyle w:val="Prrafodelista"/>
        <w:widowControl w:val="0"/>
        <w:numPr>
          <w:ilvl w:val="1"/>
          <w:numId w:val="27"/>
        </w:numPr>
        <w:tabs>
          <w:tab w:val="left" w:pos="0"/>
        </w:tabs>
        <w:ind w:left="567" w:hanging="567"/>
        <w:jc w:val="both"/>
        <w:rPr>
          <w:b/>
          <w:color w:val="000000"/>
          <w:sz w:val="24"/>
          <w:szCs w:val="24"/>
          <w:lang w:eastAsia="es-ES"/>
        </w:rPr>
      </w:pPr>
      <w:r w:rsidRPr="00171E2B">
        <w:rPr>
          <w:b/>
          <w:sz w:val="24"/>
          <w:szCs w:val="24"/>
          <w:lang w:val="es-PE" w:eastAsia="es-ES"/>
        </w:rPr>
        <w:t>Muestras</w:t>
      </w:r>
    </w:p>
    <w:p w:rsidR="00171E2B" w:rsidRPr="003B4261" w:rsidRDefault="00171E2B" w:rsidP="00171E2B">
      <w:pPr>
        <w:widowControl w:val="0"/>
        <w:ind w:firstLine="708"/>
        <w:jc w:val="both"/>
        <w:rPr>
          <w:b/>
          <w:lang w:val="es-PE" w:eastAsia="es-ES"/>
        </w:rPr>
      </w:pPr>
    </w:p>
    <w:p w:rsidR="00171E2B" w:rsidRPr="003B4261" w:rsidRDefault="00171E2B" w:rsidP="00171E2B">
      <w:pPr>
        <w:widowControl w:val="0"/>
        <w:jc w:val="both"/>
        <w:rPr>
          <w:lang w:val="es-PE" w:eastAsia="es-ES"/>
        </w:rPr>
      </w:pPr>
      <w:r w:rsidRPr="003B4261">
        <w:rPr>
          <w:lang w:val="es-PE" w:eastAsia="es-ES"/>
        </w:rPr>
        <w:t xml:space="preserve">En el literal </w:t>
      </w:r>
      <w:r w:rsidR="004304FC">
        <w:rPr>
          <w:lang w:val="es-PE" w:eastAsia="es-ES"/>
        </w:rPr>
        <w:t>n</w:t>
      </w:r>
      <w:r w:rsidRPr="003B4261">
        <w:rPr>
          <w:lang w:val="es-PE" w:eastAsia="es-ES"/>
        </w:rPr>
        <w:t>) de la documentación obligatoria se requiere lo siguiente:</w:t>
      </w:r>
    </w:p>
    <w:p w:rsidR="00171E2B" w:rsidRPr="003B4261" w:rsidRDefault="00171E2B" w:rsidP="00171E2B">
      <w:pPr>
        <w:widowControl w:val="0"/>
        <w:jc w:val="both"/>
        <w:rPr>
          <w:lang w:val="es-PE" w:eastAsia="es-ES"/>
        </w:rPr>
      </w:pPr>
    </w:p>
    <w:p w:rsidR="00171E2B" w:rsidRPr="003B4261" w:rsidRDefault="00171E2B" w:rsidP="00171E2B">
      <w:pPr>
        <w:widowControl w:val="0"/>
        <w:jc w:val="both"/>
        <w:rPr>
          <w:i/>
          <w:lang w:val="es-PE" w:eastAsia="es-ES"/>
        </w:rPr>
      </w:pPr>
      <w:r w:rsidRPr="003B4261">
        <w:rPr>
          <w:i/>
          <w:lang w:val="es-PE" w:eastAsia="es-ES"/>
        </w:rPr>
        <w:t>“</w:t>
      </w:r>
      <w:r w:rsidR="004304FC">
        <w:rPr>
          <w:i/>
          <w:lang w:val="es-PE" w:eastAsia="es-ES"/>
        </w:rPr>
        <w:t>n</w:t>
      </w:r>
      <w:r w:rsidRPr="003B4261">
        <w:rPr>
          <w:i/>
          <w:lang w:val="es-PE" w:eastAsia="es-ES"/>
        </w:rPr>
        <w:t>) Muestras</w:t>
      </w:r>
    </w:p>
    <w:p w:rsidR="00171E2B" w:rsidRPr="003B4261" w:rsidRDefault="00171E2B" w:rsidP="00171E2B">
      <w:pPr>
        <w:widowControl w:val="0"/>
        <w:jc w:val="both"/>
        <w:rPr>
          <w:i/>
          <w:lang w:val="es-PE" w:eastAsia="es-ES"/>
        </w:rPr>
      </w:pPr>
    </w:p>
    <w:p w:rsidR="004304FC" w:rsidRDefault="00171E2B" w:rsidP="00171E2B">
      <w:pPr>
        <w:widowControl w:val="0"/>
        <w:jc w:val="both"/>
        <w:rPr>
          <w:i/>
          <w:lang w:val="es-PE" w:eastAsia="es-ES"/>
        </w:rPr>
      </w:pPr>
      <w:r w:rsidRPr="003B4261">
        <w:rPr>
          <w:i/>
          <w:lang w:val="es-PE" w:eastAsia="es-ES"/>
        </w:rPr>
        <w:t xml:space="preserve">Los postores deberán presentar </w:t>
      </w:r>
      <w:r w:rsidR="004304FC">
        <w:rPr>
          <w:i/>
          <w:lang w:val="es-PE" w:eastAsia="es-ES"/>
        </w:rPr>
        <w:t>muestras para los ítems 6, 7 y 8, las cuales se enviarán al área usuaria. La evaluación que se realizará es organoléptica, se verificará el cumplimiento de las Especificaciones Técnicas.</w:t>
      </w:r>
    </w:p>
    <w:p w:rsidR="004304FC" w:rsidRDefault="004304FC" w:rsidP="00171E2B">
      <w:pPr>
        <w:widowControl w:val="0"/>
        <w:jc w:val="both"/>
        <w:rPr>
          <w:i/>
          <w:lang w:val="es-PE" w:eastAsia="es-ES"/>
        </w:rPr>
      </w:pPr>
    </w:p>
    <w:p w:rsidR="004304FC" w:rsidRDefault="004304FC" w:rsidP="00171E2B">
      <w:pPr>
        <w:widowControl w:val="0"/>
        <w:jc w:val="both"/>
        <w:rPr>
          <w:i/>
          <w:lang w:val="es-PE" w:eastAsia="es-ES"/>
        </w:rPr>
      </w:pPr>
      <w:r>
        <w:rPr>
          <w:i/>
          <w:lang w:val="es-PE" w:eastAsia="es-ES"/>
        </w:rPr>
        <w:t>Para el ítem 6: Flexibilidad e Integridad de las líneas, adaptadores y traductores.</w:t>
      </w:r>
    </w:p>
    <w:p w:rsidR="004304FC" w:rsidRDefault="004304FC" w:rsidP="00171E2B">
      <w:pPr>
        <w:widowControl w:val="0"/>
        <w:jc w:val="both"/>
        <w:rPr>
          <w:i/>
          <w:lang w:val="es-PE" w:eastAsia="es-ES"/>
        </w:rPr>
      </w:pPr>
    </w:p>
    <w:p w:rsidR="00171E2B" w:rsidRPr="00DF63FB" w:rsidRDefault="004304FC" w:rsidP="004304FC">
      <w:pPr>
        <w:widowControl w:val="0"/>
        <w:jc w:val="both"/>
        <w:rPr>
          <w:i/>
        </w:rPr>
      </w:pPr>
      <w:r>
        <w:rPr>
          <w:i/>
          <w:lang w:val="es-PE" w:eastAsia="es-ES"/>
        </w:rPr>
        <w:t xml:space="preserve">Para el ítem 7 y 8: Medición del </w:t>
      </w:r>
      <w:proofErr w:type="spellStart"/>
      <w:r>
        <w:rPr>
          <w:i/>
          <w:lang w:val="es-PE" w:eastAsia="es-ES"/>
        </w:rPr>
        <w:t>Kuf</w:t>
      </w:r>
      <w:proofErr w:type="spellEnd"/>
      <w:r>
        <w:rPr>
          <w:i/>
          <w:lang w:val="es-PE" w:eastAsia="es-ES"/>
        </w:rPr>
        <w:t xml:space="preserve"> de los dializadores”</w:t>
      </w:r>
      <w:r w:rsidR="00171E2B" w:rsidRPr="00DF63FB">
        <w:rPr>
          <w:i/>
        </w:rPr>
        <w:t>.</w:t>
      </w:r>
    </w:p>
    <w:p w:rsidR="00171E2B" w:rsidRDefault="00171E2B" w:rsidP="00171E2B">
      <w:pPr>
        <w:pStyle w:val="Textoindependiente"/>
        <w:widowControl w:val="0"/>
        <w:spacing w:after="0"/>
        <w:jc w:val="both"/>
      </w:pPr>
    </w:p>
    <w:p w:rsidR="00171E2B" w:rsidRPr="00D3190A" w:rsidRDefault="00171E2B" w:rsidP="00171E2B">
      <w:pPr>
        <w:widowControl w:val="0"/>
        <w:jc w:val="both"/>
        <w:rPr>
          <w:rFonts w:eastAsia="MS Mincho"/>
          <w:lang w:eastAsia="es-PE"/>
        </w:rPr>
      </w:pPr>
      <w:r>
        <w:t>De</w:t>
      </w:r>
      <w:r w:rsidRPr="00D3190A">
        <w:rPr>
          <w:rFonts w:eastAsia="MS Mincho"/>
          <w:lang w:eastAsia="es-PE"/>
        </w:rPr>
        <w:t xml:space="preserve"> lo antes expuesto se aprecia que la metodología establecida para analizar las muestras consistiría en una evaluación organoléptica</w:t>
      </w:r>
      <w:r w:rsidRPr="00D3190A">
        <w:rPr>
          <w:rFonts w:eastAsia="MS Mincho"/>
          <w:vertAlign w:val="superscript"/>
          <w:lang w:eastAsia="es-PE"/>
        </w:rPr>
        <w:footnoteReference w:id="1"/>
      </w:r>
      <w:r w:rsidRPr="00D3190A">
        <w:rPr>
          <w:rFonts w:eastAsia="MS Mincho"/>
          <w:lang w:eastAsia="es-PE"/>
        </w:rPr>
        <w:t xml:space="preserve">, la misma que si bien podría ser utilizada objetivamente para evaluar </w:t>
      </w:r>
      <w:r>
        <w:rPr>
          <w:rFonts w:eastAsia="MS Mincho"/>
          <w:lang w:eastAsia="es-PE"/>
        </w:rPr>
        <w:t xml:space="preserve">determinados aspectos como </w:t>
      </w:r>
      <w:r w:rsidRPr="00D3190A">
        <w:rPr>
          <w:rFonts w:eastAsia="MS Mincho"/>
          <w:lang w:eastAsia="es-PE"/>
        </w:rPr>
        <w:t>la</w:t>
      </w:r>
      <w:r w:rsidR="004304FC">
        <w:rPr>
          <w:rFonts w:eastAsia="MS Mincho"/>
          <w:lang w:eastAsia="es-PE"/>
        </w:rPr>
        <w:t xml:space="preserve"> flexibilidad o medición </w:t>
      </w:r>
      <w:r>
        <w:rPr>
          <w:rFonts w:eastAsia="MS Mincho"/>
          <w:lang w:eastAsia="es-PE"/>
        </w:rPr>
        <w:t>de</w:t>
      </w:r>
      <w:r w:rsidR="004304FC">
        <w:rPr>
          <w:rFonts w:eastAsia="MS Mincho"/>
          <w:lang w:eastAsia="es-PE"/>
        </w:rPr>
        <w:t xml:space="preserve"> </w:t>
      </w:r>
      <w:r>
        <w:rPr>
          <w:rFonts w:eastAsia="MS Mincho"/>
          <w:lang w:eastAsia="es-PE"/>
        </w:rPr>
        <w:t>l</w:t>
      </w:r>
      <w:r w:rsidR="004304FC">
        <w:rPr>
          <w:rFonts w:eastAsia="MS Mincho"/>
          <w:lang w:eastAsia="es-PE"/>
        </w:rPr>
        <w:t>os bienes</w:t>
      </w:r>
      <w:r w:rsidRPr="00D3190A">
        <w:rPr>
          <w:rFonts w:eastAsia="MS Mincho"/>
          <w:lang w:eastAsia="es-PE"/>
        </w:rPr>
        <w:t xml:space="preserve">; </w:t>
      </w:r>
      <w:r>
        <w:rPr>
          <w:rFonts w:eastAsia="MS Mincho"/>
          <w:lang w:eastAsia="es-PE"/>
        </w:rPr>
        <w:t>no resultaría igual de clara</w:t>
      </w:r>
      <w:r w:rsidRPr="00D3190A">
        <w:rPr>
          <w:rFonts w:eastAsia="MS Mincho"/>
          <w:lang w:eastAsia="es-PE"/>
        </w:rPr>
        <w:t xml:space="preserve"> para corroborar </w:t>
      </w:r>
      <w:r>
        <w:rPr>
          <w:rFonts w:eastAsia="MS Mincho"/>
          <w:lang w:eastAsia="es-PE"/>
        </w:rPr>
        <w:t>todas las características del producto</w:t>
      </w:r>
      <w:r w:rsidRPr="00D3190A">
        <w:rPr>
          <w:rFonts w:eastAsia="MS Mincho"/>
          <w:lang w:eastAsia="es-PE"/>
        </w:rPr>
        <w:t>. En atención a ello, con ocasión de la integración de las Bases deberá precisarse la siguiente información de forma clara</w:t>
      </w:r>
      <w:r>
        <w:rPr>
          <w:rFonts w:eastAsia="MS Mincho"/>
          <w:lang w:eastAsia="es-PE"/>
        </w:rPr>
        <w:t xml:space="preserve"> y</w:t>
      </w:r>
      <w:r w:rsidRPr="00D3190A">
        <w:rPr>
          <w:rFonts w:eastAsia="MS Mincho"/>
          <w:lang w:eastAsia="es-PE"/>
        </w:rPr>
        <w:t xml:space="preserve"> precisa: </w:t>
      </w:r>
      <w:r w:rsidRPr="00D3190A">
        <w:rPr>
          <w:rFonts w:eastAsia="MS Mincho"/>
          <w:b/>
          <w:u w:val="single"/>
          <w:lang w:eastAsia="es-PE"/>
        </w:rPr>
        <w:t>(i) la metodología que se utilizará; (ii) los mecanismos o pruebas a los que serán sometidas las muestras para determinar el cumplimiento de tales características; de lo contrario, deberá suprimirse la evaluación de tales aspectos</w:t>
      </w:r>
      <w:r w:rsidRPr="00D3190A">
        <w:rPr>
          <w:rFonts w:eastAsia="MS Mincho"/>
          <w:b/>
          <w:lang w:eastAsia="es-PE"/>
        </w:rPr>
        <w:t>.</w:t>
      </w:r>
    </w:p>
    <w:p w:rsidR="00171E2B" w:rsidRPr="00171E2B" w:rsidRDefault="00171E2B" w:rsidP="00A23F15">
      <w:pPr>
        <w:pStyle w:val="Prrafodelista"/>
        <w:widowControl w:val="0"/>
        <w:tabs>
          <w:tab w:val="left" w:pos="567"/>
        </w:tabs>
        <w:ind w:left="0"/>
        <w:contextualSpacing/>
        <w:jc w:val="both"/>
        <w:rPr>
          <w:iCs/>
          <w:sz w:val="24"/>
          <w:szCs w:val="24"/>
          <w:lang w:val="es-MX" w:eastAsia="es-PE"/>
        </w:rPr>
      </w:pPr>
    </w:p>
    <w:p w:rsidR="00C77276" w:rsidRPr="00C47CA4" w:rsidRDefault="00C77276" w:rsidP="00C77276">
      <w:pPr>
        <w:pStyle w:val="Textoindependiente2"/>
        <w:spacing w:after="0" w:line="240" w:lineRule="auto"/>
        <w:ind w:left="567"/>
        <w:jc w:val="both"/>
        <w:rPr>
          <w:b/>
        </w:rPr>
      </w:pPr>
    </w:p>
    <w:p w:rsidR="00C77276" w:rsidRPr="00412ABC" w:rsidRDefault="00C77276" w:rsidP="00C77276">
      <w:pPr>
        <w:pStyle w:val="Textoindependiente2"/>
        <w:numPr>
          <w:ilvl w:val="0"/>
          <w:numId w:val="3"/>
        </w:numPr>
        <w:spacing w:after="0" w:line="240" w:lineRule="auto"/>
        <w:ind w:left="567" w:hanging="567"/>
        <w:jc w:val="both"/>
        <w:rPr>
          <w:b/>
        </w:rPr>
      </w:pPr>
      <w:r w:rsidRPr="00412ABC">
        <w:rPr>
          <w:b/>
          <w:lang w:val="es-PE"/>
        </w:rPr>
        <w:t>CONCLUSIONES</w:t>
      </w:r>
    </w:p>
    <w:p w:rsidR="00C77276" w:rsidRPr="00412ABC" w:rsidRDefault="00C77276" w:rsidP="00C77276">
      <w:pPr>
        <w:widowControl w:val="0"/>
        <w:jc w:val="both"/>
        <w:rPr>
          <w:snapToGrid w:val="0"/>
          <w:color w:val="FF0000"/>
        </w:rPr>
      </w:pPr>
    </w:p>
    <w:p w:rsidR="00C77276" w:rsidRPr="00412ABC" w:rsidRDefault="00C77276" w:rsidP="00C77276">
      <w:pPr>
        <w:widowControl w:val="0"/>
        <w:numPr>
          <w:ilvl w:val="1"/>
          <w:numId w:val="2"/>
        </w:numPr>
        <w:ind w:left="567" w:hanging="567"/>
        <w:jc w:val="both"/>
      </w:pPr>
      <w:r w:rsidRPr="00412ABC">
        <w:rPr>
          <w:snapToGrid w:val="0"/>
        </w:rPr>
        <w:t xml:space="preserve">El </w:t>
      </w:r>
      <w:r w:rsidRPr="00412ABC">
        <w:rPr>
          <w:color w:val="000000"/>
          <w:lang w:val="es-ES" w:eastAsia="es-ES"/>
        </w:rPr>
        <w:t>Comité Especial deberá cumplir con lo dispuesto por este Organismo Supervisor al absolver las observaciones indicadas en el numeral 2 del presente Pronunciamiento.</w:t>
      </w:r>
    </w:p>
    <w:p w:rsidR="00C77276" w:rsidRPr="00412ABC" w:rsidRDefault="00C77276" w:rsidP="00C77276">
      <w:pPr>
        <w:widowControl w:val="0"/>
        <w:jc w:val="both"/>
      </w:pPr>
    </w:p>
    <w:p w:rsidR="00C77276" w:rsidRPr="00412ABC" w:rsidRDefault="00C77276" w:rsidP="00C77276">
      <w:pPr>
        <w:widowControl w:val="0"/>
        <w:numPr>
          <w:ilvl w:val="1"/>
          <w:numId w:val="2"/>
        </w:numPr>
        <w:ind w:left="567" w:hanging="567"/>
        <w:jc w:val="both"/>
      </w:pPr>
      <w:r w:rsidRPr="00412ABC">
        <w:rPr>
          <w:iCs/>
          <w:color w:val="000000"/>
        </w:rPr>
        <w:t>El Comité Especial deberá tener en cuenta lo indicado en el numeral 3 del presente Pronunciamiento a fin de efectuar las modificaciones a las Bases que hubiere a lugar, así como registrar en el SEACE la documentación solicitada.</w:t>
      </w:r>
    </w:p>
    <w:p w:rsidR="00C77276" w:rsidRPr="00412ABC" w:rsidRDefault="00C77276" w:rsidP="00C77276">
      <w:pPr>
        <w:widowControl w:val="0"/>
        <w:jc w:val="both"/>
      </w:pPr>
    </w:p>
    <w:p w:rsidR="00C77276" w:rsidRPr="00412ABC" w:rsidRDefault="00C77276" w:rsidP="00C77276">
      <w:pPr>
        <w:widowControl w:val="0"/>
        <w:numPr>
          <w:ilvl w:val="1"/>
          <w:numId w:val="2"/>
        </w:numPr>
        <w:ind w:left="567" w:hanging="567"/>
        <w:jc w:val="both"/>
      </w:pPr>
      <w:r w:rsidRPr="00412ABC">
        <w:rPr>
          <w:iCs/>
          <w:color w:val="000000"/>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C77276" w:rsidRPr="00412ABC" w:rsidRDefault="00C77276" w:rsidP="00C77276">
      <w:pPr>
        <w:widowControl w:val="0"/>
        <w:jc w:val="both"/>
        <w:rPr>
          <w:iCs/>
          <w:color w:val="000000"/>
        </w:rPr>
      </w:pPr>
    </w:p>
    <w:p w:rsidR="00C77276" w:rsidRPr="00412ABC" w:rsidRDefault="00C77276" w:rsidP="00C77276">
      <w:pPr>
        <w:widowControl w:val="0"/>
        <w:numPr>
          <w:ilvl w:val="1"/>
          <w:numId w:val="2"/>
        </w:numPr>
        <w:ind w:left="567" w:hanging="567"/>
        <w:jc w:val="both"/>
        <w:rPr>
          <w:iCs/>
          <w:color w:val="000000"/>
        </w:rPr>
      </w:pPr>
      <w:r w:rsidRPr="00412ABC">
        <w:lastRenderedPageBreak/>
        <w:t xml:space="preserve">Al momento de integrar las Bases el Comité Especial deberá modificar las fechas de registro de participantes, integración de Bases, presentación de propuestas y otorgamiento de la buena pro, para lo cual deberá considerar que, </w:t>
      </w:r>
      <w:r w:rsidRPr="00412ABC">
        <w:rPr>
          <w:iCs/>
        </w:rPr>
        <w:t>de conformidad con lo dispuesto por la Novena Disposición Complementaria Transitoria del Reglamento, en tanto se implemente en el SEACE la funcionalidad para que el registro de participantes sea electrónico</w:t>
      </w:r>
      <w:r w:rsidRPr="00412ABC">
        <w:t>,</w:t>
      </w:r>
      <w:r w:rsidRPr="00412ABC">
        <w:rPr>
          <w:iCs/>
        </w:rPr>
        <w:t xml:space="preserve"> las personas naturales y jurídicas que deseen participar en el presente proceso de selección podrán registrarse hasta un</w:t>
      </w:r>
      <w:r w:rsidRPr="00412ABC">
        <w:rPr>
          <w:iCs/>
          <w:color w:val="000000"/>
        </w:rPr>
        <w:t xml:space="preserve"> (1) día después de haber quedado integradas las Bases, y que, a tenor del artículo 24 del Reglamento, entre la integración de Bases y la presentación de propuestas no podrá mediar menos de </w:t>
      </w:r>
      <w:r>
        <w:rPr>
          <w:iCs/>
          <w:color w:val="000000"/>
        </w:rPr>
        <w:t>cinco (5</w:t>
      </w:r>
      <w:r w:rsidRPr="00412ABC">
        <w:rPr>
          <w:iCs/>
          <w:color w:val="000000"/>
        </w:rPr>
        <w:t xml:space="preserve">) días hábiles, computados a partir del día siguiente de la publicación de las  Bases Integradas en el SEACE.                     </w:t>
      </w:r>
    </w:p>
    <w:p w:rsidR="00C77276" w:rsidRPr="00412ABC" w:rsidRDefault="00C77276" w:rsidP="00C77276">
      <w:pPr>
        <w:pStyle w:val="Prrafodelista"/>
        <w:ind w:left="0"/>
        <w:jc w:val="both"/>
        <w:rPr>
          <w:sz w:val="24"/>
          <w:szCs w:val="24"/>
        </w:rPr>
      </w:pPr>
    </w:p>
    <w:p w:rsidR="00C77276" w:rsidRPr="00412ABC" w:rsidRDefault="00C77276" w:rsidP="00C77276">
      <w:pPr>
        <w:widowControl w:val="0"/>
        <w:numPr>
          <w:ilvl w:val="1"/>
          <w:numId w:val="2"/>
        </w:numPr>
        <w:ind w:left="567" w:hanging="567"/>
        <w:jc w:val="both"/>
      </w:pPr>
      <w:r w:rsidRPr="00412ABC">
        <w:rPr>
          <w:iCs/>
          <w:color w:val="000000"/>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C77276" w:rsidRPr="00412ABC" w:rsidRDefault="00C77276" w:rsidP="00C77276">
      <w:pPr>
        <w:widowControl w:val="0"/>
        <w:ind w:left="567"/>
        <w:jc w:val="both"/>
      </w:pPr>
    </w:p>
    <w:p w:rsidR="00C77276" w:rsidRPr="00412ABC" w:rsidRDefault="00C77276" w:rsidP="00C77276">
      <w:pPr>
        <w:widowControl w:val="0"/>
        <w:numPr>
          <w:ilvl w:val="1"/>
          <w:numId w:val="2"/>
        </w:numPr>
        <w:ind w:left="567" w:hanging="567"/>
        <w:jc w:val="both"/>
        <w:rPr>
          <w:iCs/>
          <w:color w:val="000000"/>
        </w:rPr>
      </w:pPr>
      <w:r w:rsidRPr="00412ABC">
        <w:rPr>
          <w:iCs/>
          <w:color w:val="000000"/>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C77276" w:rsidRPr="00412ABC" w:rsidRDefault="00C77276" w:rsidP="00C77276">
      <w:pPr>
        <w:pStyle w:val="Prrafodelista"/>
        <w:tabs>
          <w:tab w:val="left" w:pos="2785"/>
        </w:tabs>
        <w:ind w:left="0"/>
        <w:jc w:val="both"/>
        <w:rPr>
          <w:iCs/>
          <w:sz w:val="24"/>
          <w:szCs w:val="24"/>
        </w:rPr>
      </w:pPr>
      <w:r>
        <w:rPr>
          <w:iCs/>
          <w:sz w:val="24"/>
          <w:szCs w:val="24"/>
        </w:rPr>
        <w:tab/>
      </w:r>
    </w:p>
    <w:p w:rsidR="00C77276" w:rsidRPr="00412ABC" w:rsidRDefault="00C77276" w:rsidP="00C77276">
      <w:pPr>
        <w:widowControl w:val="0"/>
        <w:numPr>
          <w:ilvl w:val="1"/>
          <w:numId w:val="2"/>
        </w:numPr>
        <w:ind w:left="567" w:hanging="567"/>
        <w:jc w:val="both"/>
        <w:rPr>
          <w:iCs/>
          <w:color w:val="000000"/>
        </w:rPr>
      </w:pPr>
      <w:r w:rsidRPr="00412ABC">
        <w:rPr>
          <w:iCs/>
          <w:color w:val="000000"/>
        </w:rPr>
        <w:t xml:space="preserve">En caso la Entidad continúe con el proceso sin sujetarse a lo dispuesto en el presente Pronunciamiento, tal actuación constituirá un elemento a tomar en cuenta para la no emisión de </w:t>
      </w:r>
      <w:r w:rsidRPr="00412ABC">
        <w:rPr>
          <w:iCs/>
        </w:rPr>
        <w:t>las constancias necesarias para la suscripción del respectivo contrato;</w:t>
      </w:r>
      <w:r w:rsidRPr="00412ABC">
        <w:rPr>
          <w:iCs/>
          <w:color w:val="000000"/>
        </w:rPr>
        <w:t xml:space="preserve"> siendo que la dilación del proceso y los costos en los que podrían incurrir los postores y el ganador de la buena pro son de exclusiva responsabilidad de la Entidad.</w:t>
      </w:r>
    </w:p>
    <w:p w:rsidR="00C77276" w:rsidRPr="00412ABC" w:rsidRDefault="00C77276" w:rsidP="00C77276">
      <w:pPr>
        <w:keepNext/>
        <w:keepLines/>
        <w:widowControl w:val="0"/>
        <w:tabs>
          <w:tab w:val="left" w:pos="2660"/>
        </w:tabs>
        <w:jc w:val="center"/>
        <w:rPr>
          <w:b/>
          <w:color w:val="000000"/>
          <w:lang w:val="es-PE" w:eastAsia="es-PE"/>
        </w:rPr>
      </w:pPr>
    </w:p>
    <w:p w:rsidR="00177105" w:rsidRDefault="00177105" w:rsidP="00177105">
      <w:pPr>
        <w:widowControl w:val="0"/>
        <w:ind w:left="567"/>
        <w:jc w:val="right"/>
      </w:pPr>
    </w:p>
    <w:p w:rsidR="00177105" w:rsidRPr="00B26603" w:rsidRDefault="00177105" w:rsidP="00177105">
      <w:pPr>
        <w:widowControl w:val="0"/>
        <w:ind w:left="567"/>
        <w:jc w:val="right"/>
      </w:pPr>
      <w:r w:rsidRPr="00B26603">
        <w:t xml:space="preserve">Jesús María, </w:t>
      </w:r>
      <w:r w:rsidR="004248D7">
        <w:t>2</w:t>
      </w:r>
      <w:r w:rsidR="00476C7F">
        <w:t>6</w:t>
      </w:r>
      <w:r w:rsidRPr="00B26603">
        <w:t xml:space="preserve"> de </w:t>
      </w:r>
      <w:r w:rsidR="00476C7F">
        <w:t>Octubre</w:t>
      </w:r>
      <w:r w:rsidR="00DC5F86">
        <w:t xml:space="preserve"> </w:t>
      </w:r>
      <w:r w:rsidRPr="00B26603">
        <w:t xml:space="preserve"> de 2015</w:t>
      </w:r>
    </w:p>
    <w:p w:rsidR="00177105" w:rsidRDefault="00177105" w:rsidP="00177105">
      <w:pPr>
        <w:widowControl w:val="0"/>
        <w:ind w:left="1080"/>
        <w:jc w:val="right"/>
        <w:rPr>
          <w:b/>
          <w:bCs/>
        </w:rPr>
      </w:pPr>
    </w:p>
    <w:p w:rsidR="00177105" w:rsidRPr="00B26603" w:rsidRDefault="00177105" w:rsidP="00177105">
      <w:pPr>
        <w:widowControl w:val="0"/>
        <w:ind w:left="1080"/>
        <w:jc w:val="right"/>
        <w:rPr>
          <w:b/>
          <w:bCs/>
        </w:rPr>
      </w:pPr>
    </w:p>
    <w:p w:rsidR="00177105" w:rsidRPr="00B26603" w:rsidRDefault="00177105" w:rsidP="00177105">
      <w:pPr>
        <w:tabs>
          <w:tab w:val="left" w:pos="1701"/>
          <w:tab w:val="left" w:pos="2694"/>
        </w:tabs>
        <w:autoSpaceDE w:val="0"/>
        <w:autoSpaceDN w:val="0"/>
        <w:adjustRightInd w:val="0"/>
        <w:ind w:left="567"/>
        <w:jc w:val="center"/>
        <w:rPr>
          <w:bCs/>
          <w:color w:val="000000"/>
          <w:lang w:eastAsia="es-PE"/>
        </w:rPr>
      </w:pPr>
      <w:r>
        <w:rPr>
          <w:bCs/>
          <w:color w:val="000000"/>
          <w:lang w:eastAsia="es-PE"/>
        </w:rPr>
        <w:t xml:space="preserve">     </w:t>
      </w:r>
      <w:r w:rsidRPr="00B26603">
        <w:rPr>
          <w:bCs/>
          <w:color w:val="000000"/>
          <w:lang w:eastAsia="es-PE"/>
        </w:rPr>
        <w:t xml:space="preserve">Elaborado por: </w:t>
      </w:r>
      <w:r w:rsidRPr="00B26603">
        <w:rPr>
          <w:bCs/>
          <w:color w:val="000000"/>
          <w:lang w:eastAsia="es-PE"/>
        </w:rPr>
        <w:tab/>
      </w:r>
      <w:r w:rsidRPr="00B26603">
        <w:rPr>
          <w:bCs/>
          <w:color w:val="000000"/>
          <w:lang w:eastAsia="es-PE"/>
        </w:rPr>
        <w:tab/>
      </w:r>
      <w:r w:rsidRPr="00B26603">
        <w:rPr>
          <w:bCs/>
          <w:color w:val="000000"/>
          <w:lang w:eastAsia="es-PE"/>
        </w:rPr>
        <w:tab/>
        <w:t xml:space="preserve">  </w:t>
      </w:r>
      <w:r>
        <w:rPr>
          <w:bCs/>
          <w:color w:val="000000"/>
          <w:lang w:eastAsia="es-PE"/>
        </w:rPr>
        <w:t xml:space="preserve"> </w:t>
      </w:r>
      <w:r>
        <w:rPr>
          <w:bCs/>
          <w:color w:val="000000"/>
          <w:lang w:eastAsia="es-PE"/>
        </w:rPr>
        <w:tab/>
        <w:t>Ismael Caballero De La Cruz</w:t>
      </w:r>
    </w:p>
    <w:p w:rsidR="00177105" w:rsidRPr="00B26603" w:rsidRDefault="00177105" w:rsidP="00177105">
      <w:pPr>
        <w:tabs>
          <w:tab w:val="left" w:pos="1701"/>
          <w:tab w:val="left" w:pos="2694"/>
        </w:tabs>
        <w:autoSpaceDE w:val="0"/>
        <w:autoSpaceDN w:val="0"/>
        <w:adjustRightInd w:val="0"/>
        <w:ind w:left="567"/>
        <w:rPr>
          <w:bCs/>
          <w:color w:val="000000"/>
          <w:lang w:eastAsia="es-PE"/>
        </w:rPr>
      </w:pPr>
      <w:r>
        <w:rPr>
          <w:bCs/>
          <w:color w:val="000000"/>
          <w:lang w:eastAsia="es-PE"/>
        </w:rPr>
        <w:tab/>
      </w:r>
      <w:r w:rsidRPr="00B26603">
        <w:rPr>
          <w:bCs/>
          <w:color w:val="000000"/>
          <w:lang w:eastAsia="es-PE"/>
        </w:rPr>
        <w:t xml:space="preserve">Supervisado por: </w:t>
      </w:r>
      <w:r w:rsidRPr="00B26603">
        <w:rPr>
          <w:bCs/>
          <w:color w:val="000000"/>
          <w:lang w:eastAsia="es-PE"/>
        </w:rPr>
        <w:tab/>
      </w:r>
      <w:r w:rsidRPr="00B26603">
        <w:rPr>
          <w:bCs/>
          <w:color w:val="000000"/>
          <w:lang w:eastAsia="es-PE"/>
        </w:rPr>
        <w:tab/>
        <w:t xml:space="preserve">              Pamela Hawkins </w:t>
      </w:r>
      <w:proofErr w:type="spellStart"/>
      <w:r w:rsidRPr="00B26603">
        <w:rPr>
          <w:bCs/>
          <w:color w:val="000000"/>
          <w:lang w:eastAsia="es-PE"/>
        </w:rPr>
        <w:t>Tacchino</w:t>
      </w:r>
      <w:proofErr w:type="spellEnd"/>
    </w:p>
    <w:p w:rsidR="00177105" w:rsidRPr="00B26603" w:rsidRDefault="00177105" w:rsidP="00177105">
      <w:pPr>
        <w:tabs>
          <w:tab w:val="left" w:pos="1701"/>
          <w:tab w:val="left" w:pos="2694"/>
        </w:tabs>
        <w:autoSpaceDE w:val="0"/>
        <w:autoSpaceDN w:val="0"/>
        <w:adjustRightInd w:val="0"/>
        <w:ind w:left="567"/>
        <w:rPr>
          <w:bCs/>
          <w:color w:val="000000"/>
          <w:lang w:eastAsia="es-PE"/>
        </w:rPr>
      </w:pPr>
      <w:r>
        <w:rPr>
          <w:bCs/>
          <w:color w:val="000000"/>
          <w:lang w:eastAsia="es-PE"/>
        </w:rPr>
        <w:tab/>
      </w:r>
      <w:r w:rsidRPr="00B26603">
        <w:rPr>
          <w:bCs/>
          <w:color w:val="000000"/>
          <w:lang w:eastAsia="es-PE"/>
        </w:rPr>
        <w:t>Validado por:</w:t>
      </w:r>
      <w:r w:rsidRPr="00B26603">
        <w:rPr>
          <w:bCs/>
          <w:color w:val="000000"/>
          <w:lang w:eastAsia="es-PE"/>
        </w:rPr>
        <w:tab/>
      </w:r>
      <w:r w:rsidRPr="00B26603">
        <w:rPr>
          <w:bCs/>
          <w:color w:val="000000"/>
          <w:lang w:eastAsia="es-PE"/>
        </w:rPr>
        <w:tab/>
      </w:r>
      <w:r w:rsidRPr="00B26603">
        <w:rPr>
          <w:bCs/>
          <w:color w:val="000000"/>
          <w:lang w:eastAsia="es-PE"/>
        </w:rPr>
        <w:tab/>
        <w:t xml:space="preserve">  Laura </w:t>
      </w:r>
      <w:proofErr w:type="spellStart"/>
      <w:r w:rsidRPr="00B26603">
        <w:rPr>
          <w:bCs/>
          <w:color w:val="000000"/>
          <w:lang w:eastAsia="es-PE"/>
        </w:rPr>
        <w:t>Gutierrez</w:t>
      </w:r>
      <w:proofErr w:type="spellEnd"/>
      <w:r w:rsidRPr="00B26603">
        <w:rPr>
          <w:bCs/>
          <w:color w:val="000000"/>
          <w:lang w:eastAsia="es-PE"/>
        </w:rPr>
        <w:t xml:space="preserve"> Gonzales</w:t>
      </w:r>
    </w:p>
    <w:p w:rsidR="00C77276" w:rsidRPr="00177105" w:rsidRDefault="00C77276" w:rsidP="00177105">
      <w:pPr>
        <w:keepNext/>
        <w:keepLines/>
        <w:widowControl w:val="0"/>
        <w:tabs>
          <w:tab w:val="left" w:pos="2660"/>
        </w:tabs>
        <w:jc w:val="center"/>
        <w:rPr>
          <w:b/>
          <w:color w:val="000000"/>
          <w:lang w:eastAsia="es-PE"/>
        </w:rPr>
      </w:pPr>
    </w:p>
    <w:p w:rsidR="00C77276" w:rsidRDefault="00C77276" w:rsidP="00C77276">
      <w:pPr>
        <w:keepNext/>
        <w:keepLines/>
        <w:widowControl w:val="0"/>
        <w:tabs>
          <w:tab w:val="left" w:pos="2660"/>
        </w:tabs>
        <w:jc w:val="center"/>
        <w:rPr>
          <w:b/>
          <w:color w:val="000000"/>
          <w:lang w:val="es-PE" w:eastAsia="es-PE"/>
        </w:rPr>
      </w:pPr>
    </w:p>
    <w:p w:rsidR="00C77276" w:rsidRPr="00412ABC" w:rsidRDefault="00177105" w:rsidP="00177105">
      <w:pPr>
        <w:widowControl w:val="0"/>
        <w:jc w:val="center"/>
      </w:pPr>
      <w:r>
        <w:rPr>
          <w:noProof/>
          <w:lang w:val="es-PE" w:eastAsia="es-PE"/>
        </w:rPr>
        <w:drawing>
          <wp:inline distT="0" distB="0" distL="0" distR="0" wp14:anchorId="493AD14B" wp14:editId="707C1970">
            <wp:extent cx="2904490" cy="10858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4490" cy="1085850"/>
                    </a:xfrm>
                    <a:prstGeom prst="rect">
                      <a:avLst/>
                    </a:prstGeom>
                    <a:noFill/>
                  </pic:spPr>
                </pic:pic>
              </a:graphicData>
            </a:graphic>
          </wp:inline>
        </w:drawing>
      </w:r>
    </w:p>
    <w:p w:rsidR="00D765D4" w:rsidRDefault="00177105" w:rsidP="00177105">
      <w:pPr>
        <w:widowControl w:val="0"/>
        <w:jc w:val="both"/>
      </w:pPr>
      <w:r>
        <w:t>ICD</w:t>
      </w:r>
      <w:r w:rsidRPr="00B26603">
        <w:t xml:space="preserve">/. </w:t>
      </w:r>
    </w:p>
    <w:sectPr w:rsidR="00D765D4" w:rsidSect="00D765D4">
      <w:headerReference w:type="default" r:id="rId9"/>
      <w:pgSz w:w="12240" w:h="15840"/>
      <w:pgMar w:top="1361" w:right="1750" w:bottom="136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23D" w:rsidRDefault="006D323D" w:rsidP="00197ADF">
      <w:r>
        <w:separator/>
      </w:r>
    </w:p>
  </w:endnote>
  <w:endnote w:type="continuationSeparator" w:id="0">
    <w:p w:rsidR="006D323D" w:rsidRDefault="006D323D" w:rsidP="0019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23D" w:rsidRDefault="006D323D" w:rsidP="00197ADF">
      <w:r>
        <w:separator/>
      </w:r>
    </w:p>
  </w:footnote>
  <w:footnote w:type="continuationSeparator" w:id="0">
    <w:p w:rsidR="006D323D" w:rsidRDefault="006D323D" w:rsidP="00197ADF">
      <w:r>
        <w:continuationSeparator/>
      </w:r>
    </w:p>
  </w:footnote>
  <w:footnote w:id="1">
    <w:p w:rsidR="00171E2B" w:rsidRDefault="00171E2B" w:rsidP="00171E2B">
      <w:pPr>
        <w:pStyle w:val="Textonotapie"/>
        <w:jc w:val="both"/>
        <w:rPr>
          <w:rFonts w:eastAsia="MS Mincho"/>
          <w:lang w:eastAsia="es-ES"/>
        </w:rPr>
      </w:pPr>
      <w:r w:rsidRPr="00C603B3">
        <w:rPr>
          <w:rStyle w:val="Refdenotaalpie"/>
        </w:rPr>
        <w:footnoteRef/>
      </w:r>
      <w:r w:rsidRPr="00C603B3">
        <w:t xml:space="preserve"> </w:t>
      </w:r>
      <w:r>
        <w:rPr>
          <w:rFonts w:eastAsia="MS Mincho"/>
          <w:lang w:eastAsia="es-ES"/>
        </w:rPr>
        <w:t>C</w:t>
      </w:r>
      <w:r w:rsidRPr="0051104E">
        <w:rPr>
          <w:rFonts w:eastAsia="MS Mincho"/>
          <w:lang w:eastAsia="es-ES"/>
        </w:rPr>
        <w:t>abe precisar que un examen organoléptico consiste en la verificación de las características físicas de un producto a través de los órganos de los sentidos: tacto, vista, oído, olfato o gusto</w:t>
      </w:r>
      <w:r>
        <w:rPr>
          <w:rFonts w:eastAsia="MS Mincho"/>
          <w:lang w:eastAsia="es-ES"/>
        </w:rPr>
        <w:t>.</w:t>
      </w:r>
    </w:p>
    <w:p w:rsidR="00171E2B" w:rsidRPr="00C603B3" w:rsidRDefault="00171E2B" w:rsidP="00171E2B">
      <w:pPr>
        <w:pStyle w:val="Textonotapie"/>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23D" w:rsidRDefault="006D323D">
    <w:pPr>
      <w:pStyle w:val="Encabezado"/>
      <w:jc w:val="center"/>
    </w:pPr>
    <w:r>
      <w:fldChar w:fldCharType="begin"/>
    </w:r>
    <w:r>
      <w:instrText xml:space="preserve"> PAGE   \* MERGEFORMAT </w:instrText>
    </w:r>
    <w:r>
      <w:fldChar w:fldCharType="separate"/>
    </w:r>
    <w:r w:rsidR="00F27595">
      <w:rPr>
        <w:noProof/>
      </w:rPr>
      <w:t>8</w:t>
    </w:r>
    <w:r>
      <w:rPr>
        <w:noProof/>
      </w:rPr>
      <w:fldChar w:fldCharType="end"/>
    </w:r>
  </w:p>
  <w:p w:rsidR="006D323D" w:rsidRDefault="006D323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16E04"/>
    <w:multiLevelType w:val="hybridMultilevel"/>
    <w:tmpl w:val="0D12CA70"/>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91152C4"/>
    <w:multiLevelType w:val="multilevel"/>
    <w:tmpl w:val="C624F06E"/>
    <w:lvl w:ilvl="0">
      <w:start w:val="1"/>
      <w:numFmt w:val="decimal"/>
      <w:lvlText w:val="%1."/>
      <w:lvlJc w:val="left"/>
      <w:pPr>
        <w:ind w:left="720" w:hanging="360"/>
      </w:pPr>
      <w:rPr>
        <w:rFonts w:hint="default"/>
        <w:lang w:val="es-E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ABD0293"/>
    <w:multiLevelType w:val="hybridMultilevel"/>
    <w:tmpl w:val="06DCA6E6"/>
    <w:lvl w:ilvl="0" w:tplc="280A000B">
      <w:start w:val="1"/>
      <w:numFmt w:val="bullet"/>
      <w:lvlText w:val=""/>
      <w:lvlJc w:val="left"/>
      <w:pPr>
        <w:ind w:left="717" w:hanging="360"/>
      </w:pPr>
      <w:rPr>
        <w:rFonts w:ascii="Wingdings" w:hAnsi="Wingdings" w:hint="default"/>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3">
    <w:nsid w:val="1E9D2CFF"/>
    <w:multiLevelType w:val="hybridMultilevel"/>
    <w:tmpl w:val="C7244C8E"/>
    <w:lvl w:ilvl="0" w:tplc="9CA4C9B8">
      <w:start w:val="1"/>
      <w:numFmt w:val="bullet"/>
      <w:lvlText w:val=""/>
      <w:lvlJc w:val="right"/>
      <w:pPr>
        <w:ind w:left="1788" w:hanging="360"/>
      </w:pPr>
      <w:rPr>
        <w:rFonts w:ascii="Symbol" w:hAnsi="Symbo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4">
    <w:nsid w:val="22A0189E"/>
    <w:multiLevelType w:val="singleLevel"/>
    <w:tmpl w:val="0C0A0001"/>
    <w:lvl w:ilvl="0">
      <w:start w:val="1"/>
      <w:numFmt w:val="bullet"/>
      <w:lvlText w:val=""/>
      <w:lvlJc w:val="left"/>
      <w:pPr>
        <w:ind w:left="720" w:hanging="360"/>
      </w:pPr>
      <w:rPr>
        <w:rFonts w:ascii="Symbol" w:hAnsi="Symbol" w:hint="default"/>
      </w:rPr>
    </w:lvl>
  </w:abstractNum>
  <w:abstractNum w:abstractNumId="5">
    <w:nsid w:val="22EF5239"/>
    <w:multiLevelType w:val="hybridMultilevel"/>
    <w:tmpl w:val="8D80E1D8"/>
    <w:lvl w:ilvl="0" w:tplc="4FEA167A">
      <w:start w:val="20"/>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nsid w:val="248410A0"/>
    <w:multiLevelType w:val="hybridMultilevel"/>
    <w:tmpl w:val="2C92355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7B579ED"/>
    <w:multiLevelType w:val="hybridMultilevel"/>
    <w:tmpl w:val="8ABA6B3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28D06940"/>
    <w:multiLevelType w:val="hybridMultilevel"/>
    <w:tmpl w:val="023AB7C4"/>
    <w:lvl w:ilvl="0" w:tplc="280A0015">
      <w:start w:val="1"/>
      <w:numFmt w:val="upp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2B563297"/>
    <w:multiLevelType w:val="multilevel"/>
    <w:tmpl w:val="D276AA1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C54451C"/>
    <w:multiLevelType w:val="hybridMultilevel"/>
    <w:tmpl w:val="2D207340"/>
    <w:lvl w:ilvl="0" w:tplc="E2C40B54">
      <w:start w:val="1"/>
      <w:numFmt w:val="upperLetter"/>
      <w:lvlText w:val="%1)"/>
      <w:lvlJc w:val="left"/>
      <w:pPr>
        <w:ind w:left="1778" w:hanging="360"/>
      </w:pPr>
      <w:rPr>
        <w:rFonts w:hint="default"/>
        <w:b/>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1">
    <w:nsid w:val="2DDA505E"/>
    <w:multiLevelType w:val="hybridMultilevel"/>
    <w:tmpl w:val="D3D2DCC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34944E44"/>
    <w:multiLevelType w:val="hybridMultilevel"/>
    <w:tmpl w:val="1548AF42"/>
    <w:lvl w:ilvl="0" w:tplc="1CFE8ACC">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3E2F4C26"/>
    <w:multiLevelType w:val="hybridMultilevel"/>
    <w:tmpl w:val="C3869A08"/>
    <w:lvl w:ilvl="0" w:tplc="9CA4C9B8">
      <w:start w:val="1"/>
      <w:numFmt w:val="bullet"/>
      <w:lvlText w:val=""/>
      <w:lvlJc w:val="righ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14">
    <w:nsid w:val="4815208B"/>
    <w:multiLevelType w:val="hybridMultilevel"/>
    <w:tmpl w:val="395269BC"/>
    <w:lvl w:ilvl="0" w:tplc="89AE5ED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4D36554C"/>
    <w:multiLevelType w:val="multilevel"/>
    <w:tmpl w:val="62C82444"/>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682"/>
        </w:tabs>
        <w:ind w:left="682" w:hanging="540"/>
      </w:pPr>
      <w:rPr>
        <w:rFonts w:hint="default"/>
        <w:b/>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6">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7">
    <w:nsid w:val="51F44C6E"/>
    <w:multiLevelType w:val="hybridMultilevel"/>
    <w:tmpl w:val="EC7CE042"/>
    <w:lvl w:ilvl="0" w:tplc="F5BE2A3A">
      <w:start w:val="1"/>
      <w:numFmt w:val="upperLetter"/>
      <w:lvlText w:val="%1)"/>
      <w:lvlJc w:val="left"/>
      <w:pPr>
        <w:ind w:left="1004" w:hanging="360"/>
      </w:pPr>
    </w:lvl>
    <w:lvl w:ilvl="1" w:tplc="FD0428F2">
      <w:start w:val="1"/>
      <w:numFmt w:val="decimal"/>
      <w:lvlText w:val="%2."/>
      <w:lvlJc w:val="left"/>
      <w:pPr>
        <w:ind w:left="1784" w:hanging="420"/>
      </w:pPr>
      <w:rPr>
        <w:rFonts w:ascii="Times New Roman" w:eastAsia="Times New Roman" w:hAnsi="Times New Roman" w:cs="Times New Roman" w:hint="default"/>
      </w:rPr>
    </w:lvl>
    <w:lvl w:ilvl="2" w:tplc="0C0A001B">
      <w:start w:val="1"/>
      <w:numFmt w:val="lowerRoman"/>
      <w:lvlText w:val="%3."/>
      <w:lvlJc w:val="right"/>
      <w:pPr>
        <w:ind w:left="2444" w:hanging="180"/>
      </w:pPr>
    </w:lvl>
    <w:lvl w:ilvl="3" w:tplc="0C0A000F">
      <w:start w:val="1"/>
      <w:numFmt w:val="decimal"/>
      <w:lvlText w:val="%4."/>
      <w:lvlJc w:val="left"/>
      <w:pPr>
        <w:ind w:left="3164" w:hanging="360"/>
      </w:pPr>
    </w:lvl>
    <w:lvl w:ilvl="4" w:tplc="0C0A0019">
      <w:start w:val="1"/>
      <w:numFmt w:val="lowerLetter"/>
      <w:lvlText w:val="%5."/>
      <w:lvlJc w:val="left"/>
      <w:pPr>
        <w:ind w:left="3884" w:hanging="360"/>
      </w:pPr>
    </w:lvl>
    <w:lvl w:ilvl="5" w:tplc="0C0A001B">
      <w:start w:val="1"/>
      <w:numFmt w:val="lowerRoman"/>
      <w:lvlText w:val="%6."/>
      <w:lvlJc w:val="right"/>
      <w:pPr>
        <w:ind w:left="4604" w:hanging="180"/>
      </w:pPr>
    </w:lvl>
    <w:lvl w:ilvl="6" w:tplc="0C0A000F">
      <w:start w:val="1"/>
      <w:numFmt w:val="decimal"/>
      <w:lvlText w:val="%7."/>
      <w:lvlJc w:val="left"/>
      <w:pPr>
        <w:ind w:left="5324" w:hanging="360"/>
      </w:pPr>
    </w:lvl>
    <w:lvl w:ilvl="7" w:tplc="0C0A0019">
      <w:start w:val="1"/>
      <w:numFmt w:val="lowerLetter"/>
      <w:lvlText w:val="%8."/>
      <w:lvlJc w:val="left"/>
      <w:pPr>
        <w:ind w:left="6044" w:hanging="360"/>
      </w:pPr>
    </w:lvl>
    <w:lvl w:ilvl="8" w:tplc="0C0A001B">
      <w:start w:val="1"/>
      <w:numFmt w:val="lowerRoman"/>
      <w:lvlText w:val="%9."/>
      <w:lvlJc w:val="right"/>
      <w:pPr>
        <w:ind w:left="6764" w:hanging="180"/>
      </w:pPr>
    </w:lvl>
  </w:abstractNum>
  <w:abstractNum w:abstractNumId="18">
    <w:nsid w:val="56E131D5"/>
    <w:multiLevelType w:val="hybridMultilevel"/>
    <w:tmpl w:val="EA8487F2"/>
    <w:lvl w:ilvl="0" w:tplc="AB046804">
      <w:start w:val="1"/>
      <w:numFmt w:val="bullet"/>
      <w:lvlText w:val="-"/>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5BDD7635"/>
    <w:multiLevelType w:val="hybridMultilevel"/>
    <w:tmpl w:val="6680BCDA"/>
    <w:lvl w:ilvl="0" w:tplc="AB046804">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0590993"/>
    <w:multiLevelType w:val="multilevel"/>
    <w:tmpl w:val="25AE0D6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2">
    <w:nsid w:val="6208192D"/>
    <w:multiLevelType w:val="hybridMultilevel"/>
    <w:tmpl w:val="6EE4BA20"/>
    <w:lvl w:ilvl="0" w:tplc="D332E546">
      <w:start w:val="1"/>
      <w:numFmt w:val="bullet"/>
      <w:lvlText w:val="-"/>
      <w:lvlJc w:val="left"/>
      <w:pPr>
        <w:ind w:left="362" w:hanging="360"/>
      </w:pPr>
      <w:rPr>
        <w:rFonts w:ascii="Times New Roman" w:eastAsia="Times New Roman" w:hAnsi="Times New Roman" w:cs="Times New Roman" w:hint="default"/>
      </w:rPr>
    </w:lvl>
    <w:lvl w:ilvl="1" w:tplc="280A0003">
      <w:start w:val="1"/>
      <w:numFmt w:val="bullet"/>
      <w:lvlText w:val="o"/>
      <w:lvlJc w:val="left"/>
      <w:pPr>
        <w:ind w:left="1082" w:hanging="360"/>
      </w:pPr>
      <w:rPr>
        <w:rFonts w:ascii="Courier New" w:hAnsi="Courier New" w:cs="Courier New" w:hint="default"/>
      </w:rPr>
    </w:lvl>
    <w:lvl w:ilvl="2" w:tplc="280A0005">
      <w:start w:val="1"/>
      <w:numFmt w:val="bullet"/>
      <w:lvlText w:val=""/>
      <w:lvlJc w:val="left"/>
      <w:pPr>
        <w:ind w:left="1802" w:hanging="360"/>
      </w:pPr>
      <w:rPr>
        <w:rFonts w:ascii="Wingdings" w:hAnsi="Wingdings" w:hint="default"/>
      </w:rPr>
    </w:lvl>
    <w:lvl w:ilvl="3" w:tplc="280A0001" w:tentative="1">
      <w:start w:val="1"/>
      <w:numFmt w:val="bullet"/>
      <w:lvlText w:val=""/>
      <w:lvlJc w:val="left"/>
      <w:pPr>
        <w:ind w:left="2522" w:hanging="360"/>
      </w:pPr>
      <w:rPr>
        <w:rFonts w:ascii="Symbol" w:hAnsi="Symbol" w:hint="default"/>
      </w:rPr>
    </w:lvl>
    <w:lvl w:ilvl="4" w:tplc="280A0003" w:tentative="1">
      <w:start w:val="1"/>
      <w:numFmt w:val="bullet"/>
      <w:lvlText w:val="o"/>
      <w:lvlJc w:val="left"/>
      <w:pPr>
        <w:ind w:left="3242" w:hanging="360"/>
      </w:pPr>
      <w:rPr>
        <w:rFonts w:ascii="Courier New" w:hAnsi="Courier New" w:cs="Courier New" w:hint="default"/>
      </w:rPr>
    </w:lvl>
    <w:lvl w:ilvl="5" w:tplc="280A0005" w:tentative="1">
      <w:start w:val="1"/>
      <w:numFmt w:val="bullet"/>
      <w:lvlText w:val=""/>
      <w:lvlJc w:val="left"/>
      <w:pPr>
        <w:ind w:left="3962" w:hanging="360"/>
      </w:pPr>
      <w:rPr>
        <w:rFonts w:ascii="Wingdings" w:hAnsi="Wingdings" w:hint="default"/>
      </w:rPr>
    </w:lvl>
    <w:lvl w:ilvl="6" w:tplc="280A0001" w:tentative="1">
      <w:start w:val="1"/>
      <w:numFmt w:val="bullet"/>
      <w:lvlText w:val=""/>
      <w:lvlJc w:val="left"/>
      <w:pPr>
        <w:ind w:left="4682" w:hanging="360"/>
      </w:pPr>
      <w:rPr>
        <w:rFonts w:ascii="Symbol" w:hAnsi="Symbol" w:hint="default"/>
      </w:rPr>
    </w:lvl>
    <w:lvl w:ilvl="7" w:tplc="280A0003" w:tentative="1">
      <w:start w:val="1"/>
      <w:numFmt w:val="bullet"/>
      <w:lvlText w:val="o"/>
      <w:lvlJc w:val="left"/>
      <w:pPr>
        <w:ind w:left="5402" w:hanging="360"/>
      </w:pPr>
      <w:rPr>
        <w:rFonts w:ascii="Courier New" w:hAnsi="Courier New" w:cs="Courier New" w:hint="default"/>
      </w:rPr>
    </w:lvl>
    <w:lvl w:ilvl="8" w:tplc="280A0005" w:tentative="1">
      <w:start w:val="1"/>
      <w:numFmt w:val="bullet"/>
      <w:lvlText w:val=""/>
      <w:lvlJc w:val="left"/>
      <w:pPr>
        <w:ind w:left="6122" w:hanging="360"/>
      </w:pPr>
      <w:rPr>
        <w:rFonts w:ascii="Wingdings" w:hAnsi="Wingdings" w:hint="default"/>
      </w:rPr>
    </w:lvl>
  </w:abstractNum>
  <w:abstractNum w:abstractNumId="23">
    <w:nsid w:val="641D7E2A"/>
    <w:multiLevelType w:val="hybridMultilevel"/>
    <w:tmpl w:val="35BAA766"/>
    <w:lvl w:ilvl="0" w:tplc="671AE3A0">
      <w:start w:val="1"/>
      <w:numFmt w:val="bullet"/>
      <w:lvlText w:val="-"/>
      <w:lvlJc w:val="left"/>
      <w:pPr>
        <w:ind w:left="720" w:hanging="360"/>
      </w:pPr>
      <w:rPr>
        <w:rFonts w:hint="default"/>
        <w:lang w:val="es-MX"/>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6D83935"/>
    <w:multiLevelType w:val="hybridMultilevel"/>
    <w:tmpl w:val="66761DD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7332209A"/>
    <w:multiLevelType w:val="hybridMultilevel"/>
    <w:tmpl w:val="EB54B524"/>
    <w:lvl w:ilvl="0" w:tplc="BCA0EF0A">
      <w:numFmt w:val="bullet"/>
      <w:lvlText w:val=""/>
      <w:lvlJc w:val="left"/>
      <w:pPr>
        <w:ind w:left="2475" w:hanging="360"/>
      </w:pPr>
      <w:rPr>
        <w:rFonts w:ascii="Symbol" w:eastAsia="MS Mincho" w:hAnsi="Symbol" w:cs="Arial" w:hint="default"/>
      </w:rPr>
    </w:lvl>
    <w:lvl w:ilvl="1" w:tplc="280A0003" w:tentative="1">
      <w:start w:val="1"/>
      <w:numFmt w:val="bullet"/>
      <w:lvlText w:val="o"/>
      <w:lvlJc w:val="left"/>
      <w:pPr>
        <w:ind w:left="3195" w:hanging="360"/>
      </w:pPr>
      <w:rPr>
        <w:rFonts w:ascii="Courier New" w:hAnsi="Courier New" w:cs="Courier New" w:hint="default"/>
      </w:rPr>
    </w:lvl>
    <w:lvl w:ilvl="2" w:tplc="280A0005" w:tentative="1">
      <w:start w:val="1"/>
      <w:numFmt w:val="bullet"/>
      <w:lvlText w:val=""/>
      <w:lvlJc w:val="left"/>
      <w:pPr>
        <w:ind w:left="3915" w:hanging="360"/>
      </w:pPr>
      <w:rPr>
        <w:rFonts w:ascii="Wingdings" w:hAnsi="Wingdings" w:hint="default"/>
      </w:rPr>
    </w:lvl>
    <w:lvl w:ilvl="3" w:tplc="280A0001" w:tentative="1">
      <w:start w:val="1"/>
      <w:numFmt w:val="bullet"/>
      <w:lvlText w:val=""/>
      <w:lvlJc w:val="left"/>
      <w:pPr>
        <w:ind w:left="4635" w:hanging="360"/>
      </w:pPr>
      <w:rPr>
        <w:rFonts w:ascii="Symbol" w:hAnsi="Symbol" w:hint="default"/>
      </w:rPr>
    </w:lvl>
    <w:lvl w:ilvl="4" w:tplc="280A0003" w:tentative="1">
      <w:start w:val="1"/>
      <w:numFmt w:val="bullet"/>
      <w:lvlText w:val="o"/>
      <w:lvlJc w:val="left"/>
      <w:pPr>
        <w:ind w:left="5355" w:hanging="360"/>
      </w:pPr>
      <w:rPr>
        <w:rFonts w:ascii="Courier New" w:hAnsi="Courier New" w:cs="Courier New" w:hint="default"/>
      </w:rPr>
    </w:lvl>
    <w:lvl w:ilvl="5" w:tplc="280A0005" w:tentative="1">
      <w:start w:val="1"/>
      <w:numFmt w:val="bullet"/>
      <w:lvlText w:val=""/>
      <w:lvlJc w:val="left"/>
      <w:pPr>
        <w:ind w:left="6075" w:hanging="360"/>
      </w:pPr>
      <w:rPr>
        <w:rFonts w:ascii="Wingdings" w:hAnsi="Wingdings" w:hint="default"/>
      </w:rPr>
    </w:lvl>
    <w:lvl w:ilvl="6" w:tplc="280A0001" w:tentative="1">
      <w:start w:val="1"/>
      <w:numFmt w:val="bullet"/>
      <w:lvlText w:val=""/>
      <w:lvlJc w:val="left"/>
      <w:pPr>
        <w:ind w:left="6795" w:hanging="360"/>
      </w:pPr>
      <w:rPr>
        <w:rFonts w:ascii="Symbol" w:hAnsi="Symbol" w:hint="default"/>
      </w:rPr>
    </w:lvl>
    <w:lvl w:ilvl="7" w:tplc="280A0003" w:tentative="1">
      <w:start w:val="1"/>
      <w:numFmt w:val="bullet"/>
      <w:lvlText w:val="o"/>
      <w:lvlJc w:val="left"/>
      <w:pPr>
        <w:ind w:left="7515" w:hanging="360"/>
      </w:pPr>
      <w:rPr>
        <w:rFonts w:ascii="Courier New" w:hAnsi="Courier New" w:cs="Courier New" w:hint="default"/>
      </w:rPr>
    </w:lvl>
    <w:lvl w:ilvl="8" w:tplc="280A0005" w:tentative="1">
      <w:start w:val="1"/>
      <w:numFmt w:val="bullet"/>
      <w:lvlText w:val=""/>
      <w:lvlJc w:val="left"/>
      <w:pPr>
        <w:ind w:left="8235" w:hanging="360"/>
      </w:pPr>
      <w:rPr>
        <w:rFonts w:ascii="Wingdings" w:hAnsi="Wingdings" w:hint="default"/>
      </w:rPr>
    </w:lvl>
  </w:abstractNum>
  <w:abstractNum w:abstractNumId="26">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6697877"/>
    <w:multiLevelType w:val="hybridMultilevel"/>
    <w:tmpl w:val="8CB811D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4"/>
  </w:num>
  <w:num w:numId="5">
    <w:abstractNumId w:val="19"/>
  </w:num>
  <w:num w:numId="6">
    <w:abstractNumId w:val="4"/>
  </w:num>
  <w:num w:numId="7">
    <w:abstractNumId w:val="10"/>
  </w:num>
  <w:num w:numId="8">
    <w:abstractNumId w:val="11"/>
  </w:num>
  <w:num w:numId="9">
    <w:abstractNumId w:val="2"/>
  </w:num>
  <w:num w:numId="10">
    <w:abstractNumId w:val="15"/>
  </w:num>
  <w:num w:numId="11">
    <w:abstractNumId w:val="6"/>
  </w:num>
  <w:num w:numId="12">
    <w:abstractNumId w:val="18"/>
  </w:num>
  <w:num w:numId="13">
    <w:abstractNumId w:val="1"/>
  </w:num>
  <w:num w:numId="14">
    <w:abstractNumId w:val="23"/>
  </w:num>
  <w:num w:numId="15">
    <w:abstractNumId w:val="7"/>
  </w:num>
  <w:num w:numId="16">
    <w:abstractNumId w:val="0"/>
  </w:num>
  <w:num w:numId="17">
    <w:abstractNumId w:val="27"/>
  </w:num>
  <w:num w:numId="18">
    <w:abstractNumId w:val="25"/>
  </w:num>
  <w:num w:numId="19">
    <w:abstractNumId w:val="13"/>
  </w:num>
  <w:num w:numId="20">
    <w:abstractNumId w:val="17"/>
  </w:num>
  <w:num w:numId="21">
    <w:abstractNumId w:val="5"/>
  </w:num>
  <w:num w:numId="22">
    <w:abstractNumId w:val="3"/>
  </w:num>
  <w:num w:numId="23">
    <w:abstractNumId w:val="12"/>
  </w:num>
  <w:num w:numId="24">
    <w:abstractNumId w:val="22"/>
  </w:num>
  <w:num w:numId="25">
    <w:abstractNumId w:val="24"/>
  </w:num>
  <w:num w:numId="26">
    <w:abstractNumId w:val="8"/>
  </w:num>
  <w:num w:numId="2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276"/>
    <w:rsid w:val="000115D8"/>
    <w:rsid w:val="00014602"/>
    <w:rsid w:val="0002066A"/>
    <w:rsid w:val="00021759"/>
    <w:rsid w:val="0006206E"/>
    <w:rsid w:val="00081546"/>
    <w:rsid w:val="000B4EFD"/>
    <w:rsid w:val="000D60EC"/>
    <w:rsid w:val="00103F1B"/>
    <w:rsid w:val="00110866"/>
    <w:rsid w:val="00112D9D"/>
    <w:rsid w:val="00121852"/>
    <w:rsid w:val="00122672"/>
    <w:rsid w:val="00131ED5"/>
    <w:rsid w:val="00171E2B"/>
    <w:rsid w:val="00177105"/>
    <w:rsid w:val="001861BD"/>
    <w:rsid w:val="00197ADF"/>
    <w:rsid w:val="001A50EC"/>
    <w:rsid w:val="001E2D68"/>
    <w:rsid w:val="001F0EFB"/>
    <w:rsid w:val="001F5116"/>
    <w:rsid w:val="00250D44"/>
    <w:rsid w:val="002574FF"/>
    <w:rsid w:val="00287206"/>
    <w:rsid w:val="002A37C2"/>
    <w:rsid w:val="002A3980"/>
    <w:rsid w:val="002B4351"/>
    <w:rsid w:val="002B4B8B"/>
    <w:rsid w:val="002B51CB"/>
    <w:rsid w:val="002F07EA"/>
    <w:rsid w:val="002F0A13"/>
    <w:rsid w:val="00306B86"/>
    <w:rsid w:val="003175AF"/>
    <w:rsid w:val="0032219D"/>
    <w:rsid w:val="00325772"/>
    <w:rsid w:val="00333532"/>
    <w:rsid w:val="00341BB5"/>
    <w:rsid w:val="00342D51"/>
    <w:rsid w:val="00367901"/>
    <w:rsid w:val="00391EBF"/>
    <w:rsid w:val="003B6E69"/>
    <w:rsid w:val="003B74B3"/>
    <w:rsid w:val="003C2C9D"/>
    <w:rsid w:val="003C76C3"/>
    <w:rsid w:val="004248D7"/>
    <w:rsid w:val="004304FC"/>
    <w:rsid w:val="00476C7F"/>
    <w:rsid w:val="004905C9"/>
    <w:rsid w:val="004A3616"/>
    <w:rsid w:val="004B0BBF"/>
    <w:rsid w:val="004C7515"/>
    <w:rsid w:val="004E17EC"/>
    <w:rsid w:val="004E47A5"/>
    <w:rsid w:val="004E53A5"/>
    <w:rsid w:val="004E5A31"/>
    <w:rsid w:val="004F1A15"/>
    <w:rsid w:val="0051227C"/>
    <w:rsid w:val="00530D0D"/>
    <w:rsid w:val="00541361"/>
    <w:rsid w:val="005419F3"/>
    <w:rsid w:val="00543ED7"/>
    <w:rsid w:val="00550D08"/>
    <w:rsid w:val="005A0C9E"/>
    <w:rsid w:val="005A1C8F"/>
    <w:rsid w:val="005A7CF4"/>
    <w:rsid w:val="005B2533"/>
    <w:rsid w:val="005C5D00"/>
    <w:rsid w:val="005D05A3"/>
    <w:rsid w:val="005D13B6"/>
    <w:rsid w:val="005D5C8A"/>
    <w:rsid w:val="005E4356"/>
    <w:rsid w:val="005F3247"/>
    <w:rsid w:val="005F438F"/>
    <w:rsid w:val="006501DC"/>
    <w:rsid w:val="00652580"/>
    <w:rsid w:val="0067092E"/>
    <w:rsid w:val="00686F49"/>
    <w:rsid w:val="006A0D40"/>
    <w:rsid w:val="006C3CB8"/>
    <w:rsid w:val="006C404C"/>
    <w:rsid w:val="006C6873"/>
    <w:rsid w:val="006D0E25"/>
    <w:rsid w:val="006D323D"/>
    <w:rsid w:val="006D7639"/>
    <w:rsid w:val="006E678F"/>
    <w:rsid w:val="006F7573"/>
    <w:rsid w:val="006F771C"/>
    <w:rsid w:val="00725CDA"/>
    <w:rsid w:val="007427AB"/>
    <w:rsid w:val="007532C8"/>
    <w:rsid w:val="007864B3"/>
    <w:rsid w:val="007B1086"/>
    <w:rsid w:val="007B6342"/>
    <w:rsid w:val="007C7D2F"/>
    <w:rsid w:val="00815D36"/>
    <w:rsid w:val="00836F96"/>
    <w:rsid w:val="00840A46"/>
    <w:rsid w:val="00841FBD"/>
    <w:rsid w:val="00882F68"/>
    <w:rsid w:val="00892201"/>
    <w:rsid w:val="008A258B"/>
    <w:rsid w:val="008B0DB2"/>
    <w:rsid w:val="008E1D12"/>
    <w:rsid w:val="009058F7"/>
    <w:rsid w:val="00906AC9"/>
    <w:rsid w:val="0091011D"/>
    <w:rsid w:val="0091075B"/>
    <w:rsid w:val="00934A69"/>
    <w:rsid w:val="00942873"/>
    <w:rsid w:val="009429C8"/>
    <w:rsid w:val="0096056E"/>
    <w:rsid w:val="00962854"/>
    <w:rsid w:val="00964541"/>
    <w:rsid w:val="00980388"/>
    <w:rsid w:val="0098109F"/>
    <w:rsid w:val="00981342"/>
    <w:rsid w:val="009A59BE"/>
    <w:rsid w:val="009A70BC"/>
    <w:rsid w:val="009C43F8"/>
    <w:rsid w:val="009E14FF"/>
    <w:rsid w:val="009E7602"/>
    <w:rsid w:val="009F369F"/>
    <w:rsid w:val="00A14109"/>
    <w:rsid w:val="00A23F15"/>
    <w:rsid w:val="00A25924"/>
    <w:rsid w:val="00A3054C"/>
    <w:rsid w:val="00A377D8"/>
    <w:rsid w:val="00A54B4E"/>
    <w:rsid w:val="00AA679E"/>
    <w:rsid w:val="00AB526D"/>
    <w:rsid w:val="00AD6178"/>
    <w:rsid w:val="00AE4C9B"/>
    <w:rsid w:val="00B0161E"/>
    <w:rsid w:val="00B01985"/>
    <w:rsid w:val="00B10168"/>
    <w:rsid w:val="00B1128A"/>
    <w:rsid w:val="00B30BCA"/>
    <w:rsid w:val="00B35946"/>
    <w:rsid w:val="00B403C6"/>
    <w:rsid w:val="00B408E0"/>
    <w:rsid w:val="00B538AF"/>
    <w:rsid w:val="00B53A3F"/>
    <w:rsid w:val="00BA1B11"/>
    <w:rsid w:val="00BB158A"/>
    <w:rsid w:val="00BC133C"/>
    <w:rsid w:val="00BD7264"/>
    <w:rsid w:val="00BE1009"/>
    <w:rsid w:val="00BE3A5D"/>
    <w:rsid w:val="00BE3CEE"/>
    <w:rsid w:val="00BE57E0"/>
    <w:rsid w:val="00BF7F43"/>
    <w:rsid w:val="00C30261"/>
    <w:rsid w:val="00C66FA0"/>
    <w:rsid w:val="00C77276"/>
    <w:rsid w:val="00C80DC1"/>
    <w:rsid w:val="00CB07F7"/>
    <w:rsid w:val="00CB2D9F"/>
    <w:rsid w:val="00CF09D6"/>
    <w:rsid w:val="00CF4B5D"/>
    <w:rsid w:val="00D44DAA"/>
    <w:rsid w:val="00D533F4"/>
    <w:rsid w:val="00D53896"/>
    <w:rsid w:val="00D765D4"/>
    <w:rsid w:val="00DA03FA"/>
    <w:rsid w:val="00DC0172"/>
    <w:rsid w:val="00DC5F86"/>
    <w:rsid w:val="00DC6A4D"/>
    <w:rsid w:val="00DD285D"/>
    <w:rsid w:val="00DE6B3A"/>
    <w:rsid w:val="00DF286F"/>
    <w:rsid w:val="00E167C6"/>
    <w:rsid w:val="00E30E07"/>
    <w:rsid w:val="00E339B8"/>
    <w:rsid w:val="00E428B3"/>
    <w:rsid w:val="00E469DE"/>
    <w:rsid w:val="00EA009F"/>
    <w:rsid w:val="00EA0FD4"/>
    <w:rsid w:val="00EA4928"/>
    <w:rsid w:val="00EA7A43"/>
    <w:rsid w:val="00EB08CD"/>
    <w:rsid w:val="00EF0261"/>
    <w:rsid w:val="00EF23BB"/>
    <w:rsid w:val="00F2476A"/>
    <w:rsid w:val="00F27595"/>
    <w:rsid w:val="00F80238"/>
    <w:rsid w:val="00FA0224"/>
    <w:rsid w:val="00FA3EDA"/>
    <w:rsid w:val="00FA7065"/>
    <w:rsid w:val="00FB79F4"/>
    <w:rsid w:val="00FC4871"/>
    <w:rsid w:val="00FC7671"/>
    <w:rsid w:val="00FE3B1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829DEF-0924-4E6E-819A-F37EAEB9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276"/>
    <w:pPr>
      <w:spacing w:after="0" w:line="240" w:lineRule="auto"/>
    </w:pPr>
    <w:rPr>
      <w:rFonts w:ascii="Times New Roman" w:eastAsia="Times New Roman" w:hAnsi="Times New Roman" w:cs="Times New Roman"/>
      <w:sz w:val="24"/>
      <w:szCs w:val="24"/>
      <w:lang w:val="es-MX" w:eastAsia="es-MX"/>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2"/>
      <w:szCs w:val="26"/>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basedOn w:val="Fuentedeprrafopredete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Párrafo de lista1"/>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basedOn w:val="Fuentedeprrafopredete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Theme="minorHAnsi" w:eastAsiaTheme="minorHAnsi" w:hAnsiTheme="minorHAnsi" w:cstheme="minorBidi"/>
      <w:color w:val="000000"/>
      <w:sz w:val="22"/>
      <w:szCs w:val="22"/>
      <w:lang w:val="es-PE" w:eastAsia="en-US"/>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f"/>
    <w:basedOn w:val="Normal"/>
    <w:link w:val="TextonotapieCar"/>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Car2 Car1"/>
    <w:basedOn w:val="Fuentedeprrafopredete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uiPriority w:val="99"/>
    <w:rsid w:val="00197ADF"/>
    <w:rPr>
      <w:vertAlign w:val="superscript"/>
    </w:rPr>
  </w:style>
  <w:style w:type="table" w:styleId="Tablaconcuadrcula">
    <w:name w:val="Table Grid"/>
    <w:basedOn w:val="Tablanormal"/>
    <w:uiPriority w:val="59"/>
    <w:rsid w:val="007532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5Car">
    <w:name w:val="Título 5 Car"/>
    <w:basedOn w:val="Fuentedeprrafopredete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spacing w:after="0" w:line="240" w:lineRule="auto"/>
    </w:pPr>
    <w:rPr>
      <w:rFonts w:ascii="Arial" w:eastAsia="Calibri" w:hAnsi="Arial" w:cs="Arial"/>
      <w:color w:val="000000"/>
      <w:sz w:val="24"/>
      <w:szCs w:val="24"/>
      <w:lang w:eastAsia="es-PE"/>
    </w:rPr>
  </w:style>
  <w:style w:type="paragraph" w:styleId="NormalWeb">
    <w:name w:val="Normal (Web)"/>
    <w:basedOn w:val="Normal"/>
    <w:unhideWhenUsed/>
    <w:rsid w:val="00DF286F"/>
    <w:pPr>
      <w:spacing w:before="100" w:beforeAutospacing="1" w:after="119"/>
    </w:pPr>
    <w:rPr>
      <w:lang w:val="es-PE" w:eastAsia="es-PE"/>
    </w:rPr>
  </w:style>
  <w:style w:type="paragraph" w:styleId="Textodeglobo">
    <w:name w:val="Balloon Text"/>
    <w:basedOn w:val="Normal"/>
    <w:link w:val="TextodegloboCar"/>
    <w:uiPriority w:val="99"/>
    <w:semiHidden/>
    <w:unhideWhenUsed/>
    <w:rsid w:val="00325772"/>
    <w:rPr>
      <w:rFonts w:ascii="Arial" w:hAnsi="Arial" w:cs="Arial"/>
      <w:sz w:val="18"/>
      <w:szCs w:val="18"/>
    </w:rPr>
  </w:style>
  <w:style w:type="character" w:customStyle="1" w:styleId="TextodegloboCar">
    <w:name w:val="Texto de globo Car"/>
    <w:basedOn w:val="Fuentedeprrafopredeter"/>
    <w:link w:val="Textodeglobo"/>
    <w:uiPriority w:val="99"/>
    <w:semiHidden/>
    <w:rsid w:val="00325772"/>
    <w:rPr>
      <w:rFonts w:ascii="Arial" w:eastAsia="Times New Roman" w:hAnsi="Arial" w:cs="Arial"/>
      <w:sz w:val="18"/>
      <w:szCs w:val="18"/>
      <w:lang w:val="es-MX" w:eastAsia="es-MX"/>
    </w:rPr>
  </w:style>
  <w:style w:type="paragraph" w:styleId="Sinespaciado">
    <w:name w:val="No Spacing"/>
    <w:uiPriority w:val="1"/>
    <w:qFormat/>
    <w:rsid w:val="008B0DB2"/>
    <w:pPr>
      <w:spacing w:after="0" w:line="240" w:lineRule="auto"/>
    </w:pPr>
    <w:rPr>
      <w:rFonts w:ascii="Times New Roman" w:eastAsia="Times New Roman" w:hAnsi="Times New Roman" w:cs="Times New Roman"/>
      <w:sz w:val="24"/>
      <w:szCs w:val="24"/>
      <w:lang w:val="es-MX" w:eastAsia="es-MX"/>
    </w:rPr>
  </w:style>
  <w:style w:type="paragraph" w:customStyle="1" w:styleId="Normaltimes">
    <w:name w:val="Normal+times"/>
    <w:basedOn w:val="Normal"/>
    <w:link w:val="NormaltimesCar"/>
    <w:rsid w:val="00541361"/>
    <w:rPr>
      <w:szCs w:val="20"/>
    </w:rPr>
  </w:style>
  <w:style w:type="character" w:customStyle="1" w:styleId="NormaltimesCar">
    <w:name w:val="Normal+times Car"/>
    <w:link w:val="Normaltimes"/>
    <w:rsid w:val="00541361"/>
    <w:rPr>
      <w:rFonts w:ascii="Times New Roman" w:eastAsia="Times New Roman" w:hAnsi="Times New Roman" w:cs="Times New Roman"/>
      <w:sz w:val="24"/>
      <w:szCs w:val="20"/>
      <w:lang w:val="es-MX" w:eastAsia="es-MX"/>
    </w:rPr>
  </w:style>
  <w:style w:type="paragraph" w:styleId="Textoindependiente">
    <w:name w:val="Body Text"/>
    <w:basedOn w:val="Normal"/>
    <w:link w:val="TextoindependienteCar"/>
    <w:uiPriority w:val="99"/>
    <w:semiHidden/>
    <w:unhideWhenUsed/>
    <w:rsid w:val="00171E2B"/>
    <w:pPr>
      <w:spacing w:after="120"/>
    </w:pPr>
  </w:style>
  <w:style w:type="character" w:customStyle="1" w:styleId="TextoindependienteCar">
    <w:name w:val="Texto independiente Car"/>
    <w:basedOn w:val="Fuentedeprrafopredeter"/>
    <w:link w:val="Textoindependiente"/>
    <w:uiPriority w:val="99"/>
    <w:semiHidden/>
    <w:rsid w:val="00171E2B"/>
    <w:rPr>
      <w:rFonts w:ascii="Times New Roman" w:eastAsia="Times New Roman"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FD4E-3BBE-4EA6-8724-57ECF56BD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8</Pages>
  <Words>3289</Words>
  <Characters>18094</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lespinoza</dc:creator>
  <cp:lastModifiedBy>Juan Ismael Caballero de la Cruz</cp:lastModifiedBy>
  <cp:revision>12</cp:revision>
  <cp:lastPrinted>2015-10-26T22:32:00Z</cp:lastPrinted>
  <dcterms:created xsi:type="dcterms:W3CDTF">2015-10-22T18:22:00Z</dcterms:created>
  <dcterms:modified xsi:type="dcterms:W3CDTF">2015-10-26T23:28:00Z</dcterms:modified>
</cp:coreProperties>
</file>