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8DC" w:rsidRPr="00A34D05" w:rsidRDefault="00A458DC" w:rsidP="00A458DC">
      <w:pPr>
        <w:widowControl w:val="0"/>
        <w:ind w:right="283"/>
        <w:jc w:val="center"/>
        <w:rPr>
          <w:b/>
          <w:u w:val="single"/>
        </w:rPr>
      </w:pPr>
    </w:p>
    <w:p w:rsidR="00E16290" w:rsidRPr="00A34D05" w:rsidRDefault="00E16290" w:rsidP="00A458DC">
      <w:pPr>
        <w:widowControl w:val="0"/>
        <w:ind w:right="283"/>
        <w:jc w:val="center"/>
        <w:rPr>
          <w:b/>
          <w:u w:val="single"/>
        </w:rPr>
      </w:pPr>
      <w:r w:rsidRPr="00A34D05">
        <w:rPr>
          <w:b/>
          <w:u w:val="single"/>
        </w:rPr>
        <w:t xml:space="preserve">PRONUNCIAMIENTO Nº </w:t>
      </w:r>
      <w:r w:rsidR="007454F4">
        <w:rPr>
          <w:b/>
          <w:u w:val="single"/>
        </w:rPr>
        <w:t>1380</w:t>
      </w:r>
      <w:r w:rsidRPr="00A34D05">
        <w:rPr>
          <w:b/>
          <w:u w:val="single"/>
        </w:rPr>
        <w:t>-2015/DSU</w:t>
      </w:r>
    </w:p>
    <w:p w:rsidR="00E16290" w:rsidRPr="00A34D05" w:rsidRDefault="00E16290" w:rsidP="00A458DC">
      <w:pPr>
        <w:widowControl w:val="0"/>
        <w:tabs>
          <w:tab w:val="left" w:pos="1980"/>
        </w:tabs>
        <w:ind w:right="283"/>
        <w:jc w:val="both"/>
      </w:pPr>
    </w:p>
    <w:p w:rsidR="00A458DC" w:rsidRPr="00A34D05" w:rsidRDefault="00A458DC" w:rsidP="00A458DC">
      <w:pPr>
        <w:widowControl w:val="0"/>
        <w:tabs>
          <w:tab w:val="left" w:pos="1980"/>
        </w:tabs>
        <w:ind w:right="283"/>
        <w:jc w:val="both"/>
      </w:pPr>
    </w:p>
    <w:p w:rsidR="00E16290" w:rsidRPr="00A34D05" w:rsidRDefault="00E16290" w:rsidP="00A458DC">
      <w:pPr>
        <w:widowControl w:val="0"/>
        <w:tabs>
          <w:tab w:val="left" w:pos="1980"/>
        </w:tabs>
        <w:ind w:left="2552" w:right="283" w:hanging="2552"/>
        <w:jc w:val="both"/>
      </w:pPr>
      <w:r w:rsidRPr="00A34D05">
        <w:t>Entidad:</w:t>
      </w:r>
      <w:r w:rsidRPr="00A34D05">
        <w:tab/>
      </w:r>
      <w:r w:rsidRPr="00A34D05">
        <w:tab/>
        <w:t>Autoridad Nacional del Agua</w:t>
      </w:r>
    </w:p>
    <w:p w:rsidR="00E16290" w:rsidRPr="00A34D05" w:rsidRDefault="00E16290" w:rsidP="00A458DC">
      <w:pPr>
        <w:widowControl w:val="0"/>
        <w:tabs>
          <w:tab w:val="left" w:pos="1980"/>
        </w:tabs>
        <w:ind w:left="2552" w:right="283" w:hanging="2552"/>
        <w:jc w:val="both"/>
      </w:pPr>
    </w:p>
    <w:p w:rsidR="00E16290" w:rsidRPr="00A34D05" w:rsidRDefault="00E16290" w:rsidP="00A458DC">
      <w:pPr>
        <w:ind w:left="2552" w:right="283" w:hanging="2552"/>
        <w:jc w:val="both"/>
      </w:pPr>
      <w:r w:rsidRPr="00A34D05">
        <w:t>Referencia:</w:t>
      </w:r>
      <w:r w:rsidRPr="00A34D05">
        <w:tab/>
        <w:t>Adjudicación Directa Pública Nº 4-2015-ANA-1</w:t>
      </w:r>
      <w:r w:rsidR="000279D5" w:rsidRPr="00A34D05">
        <w:t xml:space="preserve">, </w:t>
      </w:r>
      <w:r w:rsidRPr="00A34D05">
        <w:t xml:space="preserve">convocada para la Contratación del </w:t>
      </w:r>
      <w:r w:rsidR="000279D5" w:rsidRPr="00A34D05">
        <w:t>“</w:t>
      </w:r>
      <w:r w:rsidRPr="00A34D05">
        <w:t>Servicio de Seguridad de la Plataforma de Correo Electrónico de la Autoridad Nacional del Agua</w:t>
      </w:r>
      <w:r w:rsidR="000279D5" w:rsidRPr="00A34D05">
        <w:t>”</w:t>
      </w:r>
      <w:r w:rsidRPr="00A34D05">
        <w:t>.</w:t>
      </w:r>
    </w:p>
    <w:p w:rsidR="00E16290" w:rsidRPr="00A34D05" w:rsidRDefault="00E16290" w:rsidP="00A458DC">
      <w:pPr>
        <w:widowControl w:val="0"/>
        <w:pBdr>
          <w:bottom w:val="single" w:sz="6" w:space="1" w:color="auto"/>
        </w:pBdr>
        <w:ind w:right="283"/>
        <w:jc w:val="both"/>
      </w:pPr>
    </w:p>
    <w:p w:rsidR="00E16290" w:rsidRPr="00A34D05" w:rsidRDefault="00E16290" w:rsidP="00A458DC">
      <w:pPr>
        <w:widowControl w:val="0"/>
        <w:ind w:right="283"/>
        <w:jc w:val="both"/>
      </w:pPr>
    </w:p>
    <w:p w:rsidR="00E16290" w:rsidRPr="00A34D05" w:rsidRDefault="00E16290" w:rsidP="00A458DC">
      <w:pPr>
        <w:widowControl w:val="0"/>
        <w:numPr>
          <w:ilvl w:val="0"/>
          <w:numId w:val="1"/>
        </w:numPr>
        <w:tabs>
          <w:tab w:val="clear" w:pos="360"/>
          <w:tab w:val="num" w:pos="567"/>
        </w:tabs>
        <w:ind w:left="567" w:right="283" w:hanging="567"/>
        <w:jc w:val="both"/>
        <w:rPr>
          <w:b/>
        </w:rPr>
      </w:pPr>
      <w:r w:rsidRPr="00A34D05">
        <w:rPr>
          <w:b/>
        </w:rPr>
        <w:t xml:space="preserve">ANTECEDENTES </w:t>
      </w:r>
    </w:p>
    <w:p w:rsidR="00E16290" w:rsidRPr="00A34D05" w:rsidRDefault="00E16290" w:rsidP="00A458DC">
      <w:pPr>
        <w:widowControl w:val="0"/>
        <w:ind w:left="567" w:right="283"/>
        <w:jc w:val="both"/>
        <w:rPr>
          <w:b/>
        </w:rPr>
      </w:pPr>
      <w:r w:rsidRPr="00A34D05">
        <w:rPr>
          <w:b/>
        </w:rPr>
        <w:t xml:space="preserve">                                                                                                                                                                                                                                                                                                    </w:t>
      </w:r>
    </w:p>
    <w:p w:rsidR="00E16290" w:rsidRPr="00A34D05" w:rsidRDefault="000D31E2" w:rsidP="00A458DC">
      <w:pPr>
        <w:pStyle w:val="WW-Sangra3detindependiente"/>
        <w:suppressAutoHyphens w:val="0"/>
        <w:ind w:left="0" w:right="283" w:firstLine="0"/>
        <w:rPr>
          <w:szCs w:val="24"/>
        </w:rPr>
      </w:pPr>
      <w:r>
        <w:rPr>
          <w:noProof/>
          <w:lang w:val="es-PE" w:eastAsia="es-PE"/>
        </w:rPr>
        <w:drawing>
          <wp:anchor distT="0" distB="0" distL="114300" distR="114300" simplePos="0" relativeHeight="251679744" behindDoc="0" locked="0" layoutInCell="1" allowOverlap="1" wp14:anchorId="61B184E8" wp14:editId="724495B7">
            <wp:simplePos x="0" y="0"/>
            <wp:positionH relativeFrom="leftMargin">
              <wp:posOffset>178435</wp:posOffset>
            </wp:positionH>
            <wp:positionV relativeFrom="paragraph">
              <wp:posOffset>478790</wp:posOffset>
            </wp:positionV>
            <wp:extent cx="836930" cy="2655570"/>
            <wp:effectExtent l="0" t="0" r="1270" b="0"/>
            <wp:wrapNone/>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l="2" r="3368" b="26192"/>
                    <a:stretch>
                      <a:fillRect/>
                    </a:stretch>
                  </pic:blipFill>
                  <pic:spPr bwMode="auto">
                    <a:xfrm>
                      <a:off x="0" y="0"/>
                      <a:ext cx="836930" cy="2655570"/>
                    </a:xfrm>
                    <a:prstGeom prst="rect">
                      <a:avLst/>
                    </a:prstGeom>
                    <a:noFill/>
                    <a:ln w="9525">
                      <a:noFill/>
                      <a:miter lim="800000"/>
                      <a:headEnd/>
                      <a:tailEnd/>
                    </a:ln>
                  </pic:spPr>
                </pic:pic>
              </a:graphicData>
            </a:graphic>
          </wp:anchor>
        </w:drawing>
      </w:r>
      <w:r w:rsidR="00E16290" w:rsidRPr="00A34D05">
        <w:rPr>
          <w:szCs w:val="24"/>
        </w:rPr>
        <w:t xml:space="preserve">Mediante Oficio N° 01-2015-ANA-CEP-ADP N° 004-2015-ANA, recibida el 07.10.2015, subsanada mediante el Oficio N° 02-2015-ANA-CEP-ADP N° 004-2015-ANA, recibida el 13.10.2015, el Presidente del Comité Especial a cargo del proceso de selección de la referencia remitió al Organismo Supervisor de las Contrataciones del Estado (OSCE), las </w:t>
      </w:r>
      <w:r w:rsidR="000279D5" w:rsidRPr="00A34D05">
        <w:rPr>
          <w:szCs w:val="24"/>
        </w:rPr>
        <w:t>cuatro</w:t>
      </w:r>
      <w:r w:rsidR="00E16290" w:rsidRPr="00A34D05">
        <w:rPr>
          <w:szCs w:val="24"/>
        </w:rPr>
        <w:t xml:space="preserve"> (</w:t>
      </w:r>
      <w:r w:rsidR="000279D5" w:rsidRPr="00A34D05">
        <w:rPr>
          <w:szCs w:val="24"/>
        </w:rPr>
        <w:t>4</w:t>
      </w:r>
      <w:r w:rsidR="00E16290" w:rsidRPr="00A34D05">
        <w:rPr>
          <w:szCs w:val="24"/>
        </w:rPr>
        <w:t xml:space="preserve">) observaciones formuladas por el participante </w:t>
      </w:r>
      <w:r w:rsidR="000279D5" w:rsidRPr="00A34D05">
        <w:rPr>
          <w:b/>
          <w:szCs w:val="24"/>
        </w:rPr>
        <w:t>TELEFÓNICA DEL PERÚ S.A.A.</w:t>
      </w:r>
      <w:r w:rsidR="00E16290" w:rsidRPr="00A34D05">
        <w:rPr>
          <w:szCs w:val="24"/>
        </w:rPr>
        <w:t>, así como el informe técnico respectivo, en cumplimiento de lo dispuesto por el artículo 28 del Decreto Legislativo Nº 1017, que aprueba la Ley de Contrataciones del Estado, en adelante la Ley, y el artículo 58</w:t>
      </w:r>
      <w:r w:rsidR="0052151C">
        <w:rPr>
          <w:szCs w:val="24"/>
        </w:rPr>
        <w:t>°</w:t>
      </w:r>
      <w:r w:rsidR="00E16290" w:rsidRPr="00A34D05">
        <w:rPr>
          <w:szCs w:val="24"/>
        </w:rPr>
        <w:t xml:space="preserve"> de su Reglamento, aprobado por Decreto Supremo Nº 184-2008-EF, en adelante el Reglamento.</w:t>
      </w:r>
    </w:p>
    <w:p w:rsidR="00E16290" w:rsidRPr="00A34D05" w:rsidRDefault="00E16290" w:rsidP="00A458DC">
      <w:pPr>
        <w:pStyle w:val="WW-Textoindependiente2"/>
        <w:widowControl w:val="0"/>
        <w:tabs>
          <w:tab w:val="left" w:pos="426"/>
        </w:tabs>
        <w:ind w:right="283"/>
        <w:rPr>
          <w:rFonts w:ascii="Times New Roman" w:hAnsi="Times New Roman"/>
          <w:b/>
          <w:caps/>
          <w:lang w:val="es-ES_tradnl"/>
        </w:rPr>
      </w:pPr>
    </w:p>
    <w:p w:rsidR="00E16290" w:rsidRPr="00A34D05" w:rsidRDefault="000D31E2" w:rsidP="00A458DC">
      <w:pPr>
        <w:pStyle w:val="WW-Sangra3detindependiente"/>
        <w:suppressAutoHyphens w:val="0"/>
        <w:ind w:left="0" w:right="283" w:firstLine="0"/>
        <w:rPr>
          <w:szCs w:val="24"/>
        </w:rPr>
      </w:pPr>
      <w:r>
        <w:rPr>
          <w:noProof/>
          <w:lang w:val="es-PE" w:eastAsia="es-PE"/>
        </w:rPr>
        <w:drawing>
          <wp:anchor distT="0" distB="0" distL="114300" distR="114300" simplePos="0" relativeHeight="251671552" behindDoc="1" locked="0" layoutInCell="1" allowOverlap="1" wp14:anchorId="4986E02A" wp14:editId="5652992D">
            <wp:simplePos x="0" y="0"/>
            <wp:positionH relativeFrom="page">
              <wp:posOffset>101600</wp:posOffset>
            </wp:positionH>
            <wp:positionV relativeFrom="paragraph">
              <wp:posOffset>1084580</wp:posOffset>
            </wp:positionV>
            <wp:extent cx="960120" cy="990600"/>
            <wp:effectExtent l="0" t="0" r="0" b="0"/>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20000"/>
                    </a:blip>
                    <a:srcRect t="73276" r="4127"/>
                    <a:stretch>
                      <a:fillRect/>
                    </a:stretch>
                  </pic:blipFill>
                  <pic:spPr bwMode="auto">
                    <a:xfrm>
                      <a:off x="0" y="0"/>
                      <a:ext cx="960120" cy="990600"/>
                    </a:xfrm>
                    <a:prstGeom prst="rect">
                      <a:avLst/>
                    </a:prstGeom>
                    <a:noFill/>
                    <a:ln w="9525">
                      <a:noFill/>
                      <a:miter lim="800000"/>
                      <a:headEnd/>
                      <a:tailEnd/>
                    </a:ln>
                  </pic:spPr>
                </pic:pic>
              </a:graphicData>
            </a:graphic>
          </wp:anchor>
        </w:drawing>
      </w:r>
      <w:r w:rsidR="00E16290" w:rsidRPr="00A34D05">
        <w:rPr>
          <w:szCs w:val="24"/>
        </w:rPr>
        <w:t>Resulta importante resaltar que, atendiendo a lo dispuesto por el citado artículo 58</w:t>
      </w:r>
      <w:r w:rsidR="00BA0391" w:rsidRPr="00A34D05">
        <w:rPr>
          <w:szCs w:val="24"/>
        </w:rPr>
        <w:t>°</w:t>
      </w:r>
      <w:r w:rsidR="00E16290" w:rsidRPr="00A34D05">
        <w:rPr>
          <w:szCs w:val="24"/>
        </w:rPr>
        <w:t xml:space="preserve">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como contrarias a la normativa; o, c) el acogimiento de las observaciones formuladas por un participante distinto al solicitante, cuando este último manifieste que considera tal acogimiento como contrario a la normativa, siempre que el solicitante se haya registrado como tal hasta el vencimiento del plazo para formular observaciones.</w:t>
      </w:r>
    </w:p>
    <w:p w:rsidR="00E16290" w:rsidRPr="00A34D05" w:rsidRDefault="00E16290" w:rsidP="00A458DC">
      <w:pPr>
        <w:pStyle w:val="WW-Sangra3detindependiente"/>
        <w:suppressAutoHyphens w:val="0"/>
        <w:ind w:left="0" w:right="283" w:firstLine="0"/>
        <w:rPr>
          <w:szCs w:val="24"/>
        </w:rPr>
      </w:pPr>
    </w:p>
    <w:p w:rsidR="00E16290" w:rsidRPr="00A34D05" w:rsidRDefault="007E487F" w:rsidP="00A458DC">
      <w:pPr>
        <w:pStyle w:val="WW-Sangra3detindependiente"/>
        <w:suppressAutoHyphens w:val="0"/>
        <w:ind w:left="0" w:right="283" w:firstLine="0"/>
        <w:rPr>
          <w:rFonts w:eastAsia="MS Mincho"/>
          <w:szCs w:val="24"/>
          <w:lang w:eastAsia="es-ES"/>
        </w:rPr>
      </w:pPr>
      <w:r w:rsidRPr="00A34D05">
        <w:rPr>
          <w:szCs w:val="24"/>
          <w:lang w:val="es-PE" w:eastAsia="es-ES"/>
        </w:rPr>
        <w:t>En ese sentido, d</w:t>
      </w:r>
      <w:proofErr w:type="spellStart"/>
      <w:r w:rsidR="00E16290" w:rsidRPr="00A34D05">
        <w:rPr>
          <w:rFonts w:eastAsia="MS Mincho"/>
          <w:szCs w:val="24"/>
          <w:lang w:eastAsia="es-ES"/>
        </w:rPr>
        <w:t>e</w:t>
      </w:r>
      <w:proofErr w:type="spellEnd"/>
      <w:r w:rsidR="00E16290" w:rsidRPr="00A34D05">
        <w:rPr>
          <w:rFonts w:eastAsia="MS Mincho"/>
          <w:szCs w:val="24"/>
          <w:lang w:eastAsia="es-ES"/>
        </w:rPr>
        <w:t xml:space="preserve"> la revisión del pliego absolutorio de </w:t>
      </w:r>
      <w:r w:rsidR="00BA0391" w:rsidRPr="00A34D05">
        <w:rPr>
          <w:rFonts w:eastAsia="MS Mincho"/>
          <w:szCs w:val="24"/>
          <w:lang w:eastAsia="es-ES"/>
        </w:rPr>
        <w:t xml:space="preserve">consultas y </w:t>
      </w:r>
      <w:r w:rsidR="00E16290" w:rsidRPr="00A34D05">
        <w:rPr>
          <w:rFonts w:eastAsia="MS Mincho"/>
          <w:szCs w:val="24"/>
          <w:lang w:eastAsia="es-ES"/>
        </w:rPr>
        <w:t>observaciones, se aprecia que la</w:t>
      </w:r>
      <w:r w:rsidR="006C3291" w:rsidRPr="00A34D05">
        <w:rPr>
          <w:rFonts w:eastAsia="MS Mincho"/>
          <w:szCs w:val="24"/>
          <w:lang w:eastAsia="es-ES"/>
        </w:rPr>
        <w:t>s denominadas Observacio</w:t>
      </w:r>
      <w:r w:rsidR="00E16290" w:rsidRPr="00A34D05">
        <w:rPr>
          <w:rFonts w:eastAsia="MS Mincho"/>
          <w:szCs w:val="24"/>
          <w:lang w:eastAsia="es-ES"/>
        </w:rPr>
        <w:t>n</w:t>
      </w:r>
      <w:r w:rsidR="006C3291" w:rsidRPr="00A34D05">
        <w:rPr>
          <w:rFonts w:eastAsia="MS Mincho"/>
          <w:szCs w:val="24"/>
          <w:lang w:eastAsia="es-ES"/>
        </w:rPr>
        <w:t>es</w:t>
      </w:r>
      <w:r w:rsidR="00E16290" w:rsidRPr="00A34D05">
        <w:rPr>
          <w:rFonts w:eastAsia="MS Mincho"/>
          <w:szCs w:val="24"/>
          <w:lang w:eastAsia="es-ES"/>
        </w:rPr>
        <w:t xml:space="preserve"> Nº 1</w:t>
      </w:r>
      <w:r w:rsidR="006C3291" w:rsidRPr="00A34D05">
        <w:rPr>
          <w:rFonts w:eastAsia="MS Mincho"/>
          <w:szCs w:val="24"/>
          <w:lang w:eastAsia="es-ES"/>
        </w:rPr>
        <w:t>,</w:t>
      </w:r>
      <w:r w:rsidR="006C3291" w:rsidRPr="00A34D05">
        <w:rPr>
          <w:szCs w:val="24"/>
        </w:rPr>
        <w:t xml:space="preserve"> N° 3 y N° 4</w:t>
      </w:r>
      <w:r w:rsidR="00E16290" w:rsidRPr="00A34D05">
        <w:rPr>
          <w:rFonts w:eastAsia="MS Mincho"/>
          <w:szCs w:val="24"/>
          <w:lang w:eastAsia="es-ES"/>
        </w:rPr>
        <w:t xml:space="preserve"> corresponde</w:t>
      </w:r>
      <w:r w:rsidR="006C3291" w:rsidRPr="00A34D05">
        <w:rPr>
          <w:rFonts w:eastAsia="MS Mincho"/>
          <w:szCs w:val="24"/>
          <w:lang w:eastAsia="es-ES"/>
        </w:rPr>
        <w:t>n</w:t>
      </w:r>
      <w:r w:rsidR="00E16290" w:rsidRPr="00A34D05">
        <w:rPr>
          <w:rFonts w:eastAsia="MS Mincho"/>
          <w:szCs w:val="24"/>
          <w:lang w:eastAsia="es-ES"/>
        </w:rPr>
        <w:t xml:space="preserve"> </w:t>
      </w:r>
      <w:r w:rsidR="000A75D3" w:rsidRPr="00A34D05">
        <w:rPr>
          <w:rFonts w:eastAsia="MS Mincho"/>
          <w:szCs w:val="24"/>
          <w:lang w:eastAsia="es-ES"/>
        </w:rPr>
        <w:t>a solicitud</w:t>
      </w:r>
      <w:r w:rsidR="006C3291" w:rsidRPr="00A34D05">
        <w:rPr>
          <w:rFonts w:eastAsia="MS Mincho"/>
          <w:szCs w:val="24"/>
          <w:lang w:eastAsia="es-ES"/>
        </w:rPr>
        <w:t>es</w:t>
      </w:r>
      <w:r w:rsidR="000A75D3" w:rsidRPr="00A34D05">
        <w:rPr>
          <w:rFonts w:eastAsia="MS Mincho"/>
          <w:szCs w:val="24"/>
          <w:lang w:eastAsia="es-ES"/>
        </w:rPr>
        <w:t xml:space="preserve"> de información</w:t>
      </w:r>
      <w:r w:rsidR="006C3291" w:rsidRPr="00A34D05">
        <w:rPr>
          <w:rFonts w:eastAsia="MS Mincho"/>
          <w:szCs w:val="24"/>
          <w:lang w:eastAsia="es-ES"/>
        </w:rPr>
        <w:t xml:space="preserve"> y/o modificación, por lo que en estricto configuran como consultas; por lo que </w:t>
      </w:r>
      <w:r w:rsidR="00E16290" w:rsidRPr="00A34D05">
        <w:rPr>
          <w:rFonts w:eastAsia="MS Mincho"/>
          <w:szCs w:val="24"/>
          <w:lang w:eastAsia="es-ES"/>
        </w:rPr>
        <w:t>este Organismo Supervisor no se pronunciará respecto</w:t>
      </w:r>
      <w:r w:rsidR="006C3291" w:rsidRPr="00A34D05">
        <w:rPr>
          <w:rFonts w:eastAsia="MS Mincho"/>
          <w:szCs w:val="24"/>
          <w:lang w:eastAsia="es-ES"/>
        </w:rPr>
        <w:t xml:space="preserve"> de ellas</w:t>
      </w:r>
      <w:r w:rsidR="00E16290" w:rsidRPr="00A34D05">
        <w:rPr>
          <w:rFonts w:eastAsia="MS Mincho"/>
          <w:szCs w:val="24"/>
          <w:lang w:eastAsia="es-ES"/>
        </w:rPr>
        <w:t>.</w:t>
      </w:r>
    </w:p>
    <w:p w:rsidR="007E487F" w:rsidRPr="00A34D05" w:rsidRDefault="007E487F" w:rsidP="00A458DC">
      <w:pPr>
        <w:pStyle w:val="WW-Sangra3detindependiente"/>
        <w:suppressAutoHyphens w:val="0"/>
        <w:ind w:left="0" w:right="283" w:firstLine="0"/>
        <w:rPr>
          <w:rFonts w:eastAsia="MS Mincho"/>
          <w:szCs w:val="24"/>
          <w:lang w:eastAsia="es-ES"/>
        </w:rPr>
      </w:pPr>
    </w:p>
    <w:p w:rsidR="00375054" w:rsidRPr="00A34D05" w:rsidRDefault="006C3291" w:rsidP="00ED4DC3">
      <w:pPr>
        <w:pStyle w:val="WW-Sangra3detindependiente"/>
        <w:suppressAutoHyphens w:val="0"/>
        <w:ind w:left="1" w:right="283"/>
        <w:rPr>
          <w:szCs w:val="24"/>
          <w:lang w:val="es-ES"/>
        </w:rPr>
      </w:pPr>
      <w:r w:rsidRPr="00A34D05">
        <w:rPr>
          <w:szCs w:val="24"/>
        </w:rPr>
        <w:t>Adicionalmente</w:t>
      </w:r>
      <w:r w:rsidR="00375054" w:rsidRPr="00A34D05">
        <w:rPr>
          <w:szCs w:val="24"/>
        </w:rPr>
        <w:t xml:space="preserve">, de la revisión de la solicitud de elevación de observaciones del participante </w:t>
      </w:r>
      <w:r w:rsidR="00375054" w:rsidRPr="00A34D05">
        <w:rPr>
          <w:b/>
          <w:szCs w:val="24"/>
        </w:rPr>
        <w:t>TELEFÓNICA DEL PERÚ S.A.A.</w:t>
      </w:r>
      <w:r w:rsidR="00375054" w:rsidRPr="00A34D05">
        <w:rPr>
          <w:szCs w:val="24"/>
        </w:rPr>
        <w:t xml:space="preserve">, se advierte que </w:t>
      </w:r>
      <w:r w:rsidRPr="00A34D05">
        <w:rPr>
          <w:szCs w:val="24"/>
        </w:rPr>
        <w:t>solicita la elevación de la respuesta a</w:t>
      </w:r>
      <w:r w:rsidR="00375054" w:rsidRPr="00A34D05">
        <w:rPr>
          <w:szCs w:val="24"/>
        </w:rPr>
        <w:t xml:space="preserve"> la Consulta N° 2 del participante </w:t>
      </w:r>
      <w:r w:rsidR="00375054" w:rsidRPr="00A34D05">
        <w:rPr>
          <w:rFonts w:eastAsia="MS Mincho"/>
          <w:szCs w:val="24"/>
          <w:lang w:eastAsia="es-PE"/>
        </w:rPr>
        <w:t xml:space="preserve">ASVITEL S.R.L., </w:t>
      </w:r>
      <w:r w:rsidRPr="00A34D05">
        <w:rPr>
          <w:rFonts w:eastAsia="MS Mincho"/>
          <w:szCs w:val="24"/>
          <w:lang w:eastAsia="es-PE"/>
        </w:rPr>
        <w:t>supuesto no previsto e</w:t>
      </w:r>
      <w:r w:rsidR="00375054" w:rsidRPr="00A34D05">
        <w:rPr>
          <w:szCs w:val="24"/>
          <w:lang w:val="es-ES"/>
        </w:rPr>
        <w:t>n el citado artículo 58° del Reglamento,</w:t>
      </w:r>
      <w:r w:rsidR="00ED4DC3" w:rsidRPr="00A34D05">
        <w:rPr>
          <w:szCs w:val="24"/>
          <w:lang w:val="es-ES"/>
        </w:rPr>
        <w:t xml:space="preserve"> por lo que</w:t>
      </w:r>
      <w:r w:rsidR="00375054" w:rsidRPr="00A34D05">
        <w:rPr>
          <w:szCs w:val="24"/>
          <w:lang w:val="es-ES"/>
        </w:rPr>
        <w:t xml:space="preserve"> no corresponde a este </w:t>
      </w:r>
      <w:r w:rsidR="00375054" w:rsidRPr="00A34D05">
        <w:rPr>
          <w:szCs w:val="24"/>
          <w:lang w:val="es-ES"/>
        </w:rPr>
        <w:lastRenderedPageBreak/>
        <w:t xml:space="preserve">Organismo Supervisor emitir pronunciamiento </w:t>
      </w:r>
      <w:r w:rsidRPr="00A34D05">
        <w:rPr>
          <w:szCs w:val="24"/>
          <w:lang w:val="es-ES"/>
        </w:rPr>
        <w:t xml:space="preserve">al </w:t>
      </w:r>
      <w:r w:rsidR="00375054" w:rsidRPr="00A34D05">
        <w:rPr>
          <w:szCs w:val="24"/>
          <w:lang w:val="es-ES"/>
        </w:rPr>
        <w:t>respecto.</w:t>
      </w:r>
    </w:p>
    <w:p w:rsidR="007E487F" w:rsidRPr="00A34D05" w:rsidRDefault="007E487F" w:rsidP="00A458DC">
      <w:pPr>
        <w:widowControl w:val="0"/>
        <w:ind w:left="1" w:right="283" w:firstLine="1"/>
        <w:jc w:val="both"/>
        <w:rPr>
          <w:lang w:val="es-ES"/>
        </w:rPr>
      </w:pPr>
    </w:p>
    <w:p w:rsidR="00E16290" w:rsidRPr="00A34D05" w:rsidRDefault="00E16290" w:rsidP="00A458DC">
      <w:pPr>
        <w:pStyle w:val="WW-Sangra3detindependiente"/>
        <w:suppressAutoHyphens w:val="0"/>
        <w:ind w:left="0" w:right="283" w:firstLine="0"/>
        <w:rPr>
          <w:szCs w:val="24"/>
          <w:lang w:val="es-PE"/>
        </w:rPr>
      </w:pPr>
      <w:r w:rsidRPr="00A34D05">
        <w:rPr>
          <w:rFonts w:eastAsia="MS Mincho"/>
          <w:szCs w:val="24"/>
          <w:lang w:eastAsia="es-ES"/>
        </w:rPr>
        <w:t>Sin perjuicio de las observaciones de oficio que se formulen respecto al contenido de las Bases, conforme con el inciso a) del artículo 58</w:t>
      </w:r>
      <w:r w:rsidR="00BA0391" w:rsidRPr="00A34D05">
        <w:rPr>
          <w:rFonts w:eastAsia="MS Mincho"/>
          <w:szCs w:val="24"/>
          <w:lang w:eastAsia="es-ES"/>
        </w:rPr>
        <w:t>°</w:t>
      </w:r>
      <w:r w:rsidRPr="00A34D05">
        <w:rPr>
          <w:rFonts w:eastAsia="MS Mincho"/>
          <w:szCs w:val="24"/>
          <w:lang w:eastAsia="es-ES"/>
        </w:rPr>
        <w:t xml:space="preserve"> de la Ley.</w:t>
      </w:r>
    </w:p>
    <w:p w:rsidR="00E16290" w:rsidRPr="00A34D05" w:rsidRDefault="00E16290" w:rsidP="00A458DC">
      <w:pPr>
        <w:pStyle w:val="WW-Sangra3detindependiente"/>
        <w:tabs>
          <w:tab w:val="left" w:pos="7938"/>
        </w:tabs>
        <w:suppressAutoHyphens w:val="0"/>
        <w:ind w:left="0" w:right="283" w:firstLine="0"/>
        <w:rPr>
          <w:szCs w:val="24"/>
          <w:lang w:val="es-ES"/>
        </w:rPr>
      </w:pPr>
    </w:p>
    <w:p w:rsidR="00E16290" w:rsidRPr="00A34D05" w:rsidRDefault="00E16290" w:rsidP="00A458DC">
      <w:pPr>
        <w:widowControl w:val="0"/>
        <w:numPr>
          <w:ilvl w:val="0"/>
          <w:numId w:val="1"/>
        </w:numPr>
        <w:tabs>
          <w:tab w:val="clear" w:pos="360"/>
          <w:tab w:val="num" w:pos="502"/>
          <w:tab w:val="left" w:pos="7938"/>
        </w:tabs>
        <w:ind w:left="567" w:right="283" w:hanging="567"/>
        <w:jc w:val="both"/>
        <w:rPr>
          <w:b/>
        </w:rPr>
      </w:pPr>
      <w:r w:rsidRPr="00A34D05">
        <w:rPr>
          <w:b/>
        </w:rPr>
        <w:t>OBSERVACIONES</w:t>
      </w:r>
    </w:p>
    <w:p w:rsidR="00E16290" w:rsidRPr="00A34D05" w:rsidRDefault="00E16290" w:rsidP="00A458DC">
      <w:pPr>
        <w:widowControl w:val="0"/>
        <w:tabs>
          <w:tab w:val="left" w:pos="567"/>
          <w:tab w:val="left" w:pos="4253"/>
          <w:tab w:val="left" w:pos="7938"/>
        </w:tabs>
        <w:ind w:left="4248" w:right="283" w:hanging="4248"/>
        <w:jc w:val="both"/>
        <w:rPr>
          <w:b/>
          <w:lang w:val="es-PE"/>
        </w:rPr>
      </w:pPr>
    </w:p>
    <w:p w:rsidR="00E16290" w:rsidRPr="00A34D05" w:rsidRDefault="00E16290" w:rsidP="00A458DC">
      <w:pPr>
        <w:widowControl w:val="0"/>
        <w:tabs>
          <w:tab w:val="left" w:pos="4253"/>
        </w:tabs>
        <w:ind w:left="4253" w:right="283" w:hanging="4253"/>
        <w:jc w:val="both"/>
        <w:rPr>
          <w:b/>
          <w:lang w:val="es-PE"/>
        </w:rPr>
      </w:pPr>
      <w:r w:rsidRPr="00A34D05">
        <w:rPr>
          <w:b/>
          <w:lang w:val="es-PE"/>
        </w:rPr>
        <w:t>Observación Nº 2:</w:t>
      </w:r>
      <w:r w:rsidRPr="00A34D05">
        <w:rPr>
          <w:b/>
          <w:lang w:val="es-PE"/>
        </w:rPr>
        <w:tab/>
        <w:t xml:space="preserve">Contra el </w:t>
      </w:r>
      <w:r w:rsidR="00363455" w:rsidRPr="00A34D05">
        <w:rPr>
          <w:b/>
          <w:lang w:val="es-PE"/>
        </w:rPr>
        <w:t>factor de evaluación “A. Experiencia en la Actividad”</w:t>
      </w:r>
    </w:p>
    <w:p w:rsidR="00E16290" w:rsidRPr="00A34D05" w:rsidRDefault="000D31E2" w:rsidP="00A458DC">
      <w:pPr>
        <w:widowControl w:val="0"/>
        <w:ind w:right="283"/>
        <w:jc w:val="both"/>
        <w:rPr>
          <w:lang w:val="es-PE"/>
        </w:rPr>
      </w:pPr>
      <w:r>
        <w:rPr>
          <w:noProof/>
          <w:lang w:val="es-PE" w:eastAsia="es-PE"/>
        </w:rPr>
        <w:drawing>
          <wp:anchor distT="0" distB="0" distL="114300" distR="114300" simplePos="0" relativeHeight="251681792" behindDoc="0" locked="0" layoutInCell="1" allowOverlap="1" wp14:anchorId="23BDD212" wp14:editId="4430BE1A">
            <wp:simplePos x="0" y="0"/>
            <wp:positionH relativeFrom="leftMargin">
              <wp:posOffset>269875</wp:posOffset>
            </wp:positionH>
            <wp:positionV relativeFrom="paragraph">
              <wp:posOffset>16510</wp:posOffset>
            </wp:positionV>
            <wp:extent cx="836930" cy="2655570"/>
            <wp:effectExtent l="0" t="0" r="1270" b="0"/>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l="2" r="3368" b="26192"/>
                    <a:stretch>
                      <a:fillRect/>
                    </a:stretch>
                  </pic:blipFill>
                  <pic:spPr bwMode="auto">
                    <a:xfrm>
                      <a:off x="0" y="0"/>
                      <a:ext cx="836930" cy="2655570"/>
                    </a:xfrm>
                    <a:prstGeom prst="rect">
                      <a:avLst/>
                    </a:prstGeom>
                    <a:noFill/>
                    <a:ln w="9525">
                      <a:noFill/>
                      <a:miter lim="800000"/>
                      <a:headEnd/>
                      <a:tailEnd/>
                    </a:ln>
                  </pic:spPr>
                </pic:pic>
              </a:graphicData>
            </a:graphic>
          </wp:anchor>
        </w:drawing>
      </w:r>
    </w:p>
    <w:p w:rsidR="00E16290" w:rsidRPr="00A34D05" w:rsidRDefault="00E16290" w:rsidP="00A458DC">
      <w:pPr>
        <w:widowControl w:val="0"/>
        <w:ind w:right="283"/>
        <w:jc w:val="both"/>
        <w:rPr>
          <w:i/>
          <w:lang w:val="es-PE"/>
        </w:rPr>
      </w:pPr>
      <w:r w:rsidRPr="00A34D05">
        <w:rPr>
          <w:lang w:val="es-PE"/>
        </w:rPr>
        <w:t>El par</w:t>
      </w:r>
      <w:r w:rsidR="00363455" w:rsidRPr="00A34D05">
        <w:rPr>
          <w:lang w:val="es-PE"/>
        </w:rPr>
        <w:t xml:space="preserve">ticipante señala que </w:t>
      </w:r>
      <w:r w:rsidR="00363455" w:rsidRPr="00A34D05">
        <w:rPr>
          <w:i/>
          <w:lang w:val="es-PE"/>
        </w:rPr>
        <w:t>“si bien el periodo de evaluación establecido por el Comité Especial</w:t>
      </w:r>
      <w:r w:rsidR="009B1E3A" w:rsidRPr="00A34D05">
        <w:rPr>
          <w:i/>
          <w:lang w:val="es-PE"/>
        </w:rPr>
        <w:t xml:space="preserve"> (cinco años) y el monto máximo acumulado (5 veces el valor referencial), se encuentran dentro del límite previsto por la normativa de contrataciones, tales parámetros resultan restrictivos si se tiene en cuenta los montos considerables que deben acreditar los postores para obtener puntajes competitivos en el presente factor de evaluación. En efecto, el valor referencial de este proceso de selección asciende a </w:t>
      </w:r>
      <w:r w:rsidR="00477AC2" w:rsidRPr="00A34D05">
        <w:rPr>
          <w:i/>
          <w:lang w:val="es-PE"/>
        </w:rPr>
        <w:t xml:space="preserve">                          </w:t>
      </w:r>
      <w:r w:rsidR="009B1E3A" w:rsidRPr="00A34D05">
        <w:rPr>
          <w:i/>
          <w:lang w:val="es-PE"/>
        </w:rPr>
        <w:t>S/. 309,750.00, lo que implica que los postores que permiten acceder al máximo puntaje deberán acreditar por lo menos una facturación de S/. 1 548,750.00.</w:t>
      </w:r>
    </w:p>
    <w:p w:rsidR="009B1E3A" w:rsidRPr="00A34D05" w:rsidRDefault="009B1E3A" w:rsidP="00A458DC">
      <w:pPr>
        <w:widowControl w:val="0"/>
        <w:ind w:right="283"/>
        <w:jc w:val="both"/>
        <w:rPr>
          <w:i/>
          <w:lang w:val="es-PE"/>
        </w:rPr>
      </w:pPr>
    </w:p>
    <w:p w:rsidR="009B1E3A" w:rsidRPr="00A34D05" w:rsidRDefault="000D31E2" w:rsidP="00A458DC">
      <w:pPr>
        <w:widowControl w:val="0"/>
        <w:ind w:right="283"/>
        <w:jc w:val="both"/>
        <w:rPr>
          <w:i/>
          <w:lang w:val="es-PE"/>
        </w:rPr>
      </w:pPr>
      <w:r>
        <w:rPr>
          <w:noProof/>
          <w:lang w:val="es-PE" w:eastAsia="es-PE"/>
        </w:rPr>
        <w:drawing>
          <wp:anchor distT="0" distB="0" distL="114300" distR="114300" simplePos="0" relativeHeight="251673600" behindDoc="1" locked="0" layoutInCell="1" allowOverlap="1" wp14:anchorId="137D4D7B" wp14:editId="49121743">
            <wp:simplePos x="0" y="0"/>
            <wp:positionH relativeFrom="leftMargin">
              <wp:align>right</wp:align>
            </wp:positionH>
            <wp:positionV relativeFrom="paragraph">
              <wp:posOffset>827405</wp:posOffset>
            </wp:positionV>
            <wp:extent cx="960120" cy="990600"/>
            <wp:effectExtent l="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20000"/>
                    </a:blip>
                    <a:srcRect t="73276" r="4127"/>
                    <a:stretch>
                      <a:fillRect/>
                    </a:stretch>
                  </pic:blipFill>
                  <pic:spPr bwMode="auto">
                    <a:xfrm>
                      <a:off x="0" y="0"/>
                      <a:ext cx="960120" cy="990600"/>
                    </a:xfrm>
                    <a:prstGeom prst="rect">
                      <a:avLst/>
                    </a:prstGeom>
                    <a:noFill/>
                    <a:ln w="9525">
                      <a:noFill/>
                      <a:miter lim="800000"/>
                      <a:headEnd/>
                      <a:tailEnd/>
                    </a:ln>
                  </pic:spPr>
                </pic:pic>
              </a:graphicData>
            </a:graphic>
          </wp:anchor>
        </w:drawing>
      </w:r>
      <w:r w:rsidR="009B1E3A" w:rsidRPr="00A34D05">
        <w:rPr>
          <w:i/>
          <w:lang w:val="es-PE"/>
        </w:rPr>
        <w:t>Debe considerarse además que, la Ley de Contrataciones del Estado, impone un límite de 10 servicios que se pueden acreditar por cliente, por lo que establecer adicionalmente un monto máximo de 5 veces el valor referencial en un periodo tan reducido de cinco años para acreditar las contrataciones, implica una doble limitación que imposibilita a los postores participar de forma competitiva en el presente proceso de selección”.</w:t>
      </w:r>
    </w:p>
    <w:p w:rsidR="00477AC2" w:rsidRPr="00A34D05" w:rsidRDefault="00477AC2" w:rsidP="00A458DC">
      <w:pPr>
        <w:widowControl w:val="0"/>
        <w:ind w:right="283"/>
        <w:jc w:val="both"/>
        <w:rPr>
          <w:i/>
          <w:lang w:val="es-PE"/>
        </w:rPr>
      </w:pPr>
    </w:p>
    <w:p w:rsidR="00477AC2" w:rsidRPr="00A34D05" w:rsidRDefault="00477AC2" w:rsidP="00A458DC">
      <w:pPr>
        <w:widowControl w:val="0"/>
        <w:ind w:right="283"/>
        <w:jc w:val="both"/>
        <w:rPr>
          <w:lang w:val="es-PE"/>
        </w:rPr>
      </w:pPr>
      <w:r w:rsidRPr="00A34D05">
        <w:rPr>
          <w:lang w:val="es-PE"/>
        </w:rPr>
        <w:t xml:space="preserve">En atención al Principio de Libre Concurrencia y Competencia, y a fin de promover la mayor participación de postores, solicita que </w:t>
      </w:r>
      <w:r w:rsidR="005E20D4" w:rsidRPr="00A34D05">
        <w:rPr>
          <w:i/>
          <w:lang w:val="es-PE"/>
        </w:rPr>
        <w:t>“</w:t>
      </w:r>
      <w:r w:rsidRPr="00A34D05">
        <w:rPr>
          <w:i/>
          <w:lang w:val="es-PE"/>
        </w:rPr>
        <w:t xml:space="preserve">se acepte como válido la experiencia en prestaciones que comprendan la experiencia en ventas y/o servicio directos en seguridad informática, donde se hayan incluido algunos de los siguientes componentes: UTM, Firewalls, Sistema de prevención de intrusos, concentradores VPN, </w:t>
      </w:r>
      <w:proofErr w:type="spellStart"/>
      <w:r w:rsidRPr="00A34D05">
        <w:rPr>
          <w:i/>
          <w:lang w:val="es-PE"/>
        </w:rPr>
        <w:t>AntiDDS</w:t>
      </w:r>
      <w:proofErr w:type="spellEnd"/>
      <w:r w:rsidRPr="00A34D05">
        <w:rPr>
          <w:i/>
          <w:lang w:val="es-PE"/>
        </w:rPr>
        <w:t xml:space="preserve">, </w:t>
      </w:r>
      <w:proofErr w:type="spellStart"/>
      <w:r w:rsidRPr="00A34D05">
        <w:rPr>
          <w:i/>
          <w:lang w:val="es-PE"/>
        </w:rPr>
        <w:t>Antispam</w:t>
      </w:r>
      <w:proofErr w:type="spellEnd"/>
      <w:r w:rsidRPr="00A34D05">
        <w:rPr>
          <w:i/>
          <w:lang w:val="es-PE"/>
        </w:rPr>
        <w:t xml:space="preserve">. Antimalware, </w:t>
      </w:r>
      <w:proofErr w:type="spellStart"/>
      <w:r w:rsidRPr="00A34D05">
        <w:rPr>
          <w:i/>
          <w:lang w:val="es-PE"/>
        </w:rPr>
        <w:t>correlacionador</w:t>
      </w:r>
      <w:proofErr w:type="spellEnd"/>
      <w:r w:rsidRPr="00A34D05">
        <w:rPr>
          <w:i/>
          <w:lang w:val="es-PE"/>
        </w:rPr>
        <w:t xml:space="preserve"> de eventos, web aplicación Firewall, Web </w:t>
      </w:r>
      <w:proofErr w:type="spellStart"/>
      <w:r w:rsidRPr="00A34D05">
        <w:rPr>
          <w:i/>
          <w:lang w:val="es-PE"/>
        </w:rPr>
        <w:t>Fitening</w:t>
      </w:r>
      <w:proofErr w:type="spellEnd"/>
      <w:r w:rsidR="005E20D4" w:rsidRPr="00A34D05">
        <w:rPr>
          <w:i/>
          <w:lang w:val="es-PE"/>
        </w:rPr>
        <w:t>, balanceador de enlaces y servidores, administradores de acho de banda, aceleradores de aplicación”</w:t>
      </w:r>
      <w:r w:rsidR="005E20D4" w:rsidRPr="00A34D05">
        <w:rPr>
          <w:lang w:val="es-PE"/>
        </w:rPr>
        <w:t>.</w:t>
      </w:r>
    </w:p>
    <w:p w:rsidR="00FE0D56" w:rsidRPr="00A34D05" w:rsidRDefault="00FE0D56" w:rsidP="00A458DC">
      <w:pPr>
        <w:widowControl w:val="0"/>
        <w:ind w:right="283"/>
        <w:jc w:val="both"/>
        <w:rPr>
          <w:lang w:val="es-PE"/>
        </w:rPr>
      </w:pPr>
    </w:p>
    <w:p w:rsidR="00E16290" w:rsidRPr="00A34D05" w:rsidRDefault="00E16290" w:rsidP="00A458DC">
      <w:pPr>
        <w:widowControl w:val="0"/>
        <w:tabs>
          <w:tab w:val="left" w:pos="0"/>
        </w:tabs>
        <w:ind w:right="283"/>
        <w:jc w:val="both"/>
        <w:rPr>
          <w:b/>
          <w:lang w:val="es-PE"/>
        </w:rPr>
      </w:pPr>
      <w:r w:rsidRPr="00A34D05">
        <w:rPr>
          <w:b/>
          <w:lang w:val="es-PE"/>
        </w:rPr>
        <w:t>Pronunciamiento</w:t>
      </w:r>
    </w:p>
    <w:p w:rsidR="005E20D4" w:rsidRPr="00A34D05" w:rsidRDefault="005E20D4" w:rsidP="00A458DC">
      <w:pPr>
        <w:tabs>
          <w:tab w:val="left" w:pos="8505"/>
        </w:tabs>
        <w:autoSpaceDE w:val="0"/>
        <w:autoSpaceDN w:val="0"/>
        <w:adjustRightInd w:val="0"/>
        <w:ind w:right="283"/>
        <w:jc w:val="both"/>
        <w:rPr>
          <w:rFonts w:eastAsia="MS Mincho"/>
          <w:lang w:eastAsia="es-PE"/>
        </w:rPr>
      </w:pPr>
    </w:p>
    <w:p w:rsidR="005E20D4" w:rsidRPr="00A34D05" w:rsidRDefault="005E20D4" w:rsidP="00A458DC">
      <w:pPr>
        <w:tabs>
          <w:tab w:val="left" w:pos="8505"/>
        </w:tabs>
        <w:autoSpaceDE w:val="0"/>
        <w:autoSpaceDN w:val="0"/>
        <w:adjustRightInd w:val="0"/>
        <w:ind w:right="283"/>
        <w:jc w:val="both"/>
        <w:rPr>
          <w:rFonts w:eastAsia="MS Mincho"/>
          <w:lang w:eastAsia="es-PE"/>
        </w:rPr>
      </w:pPr>
      <w:r w:rsidRPr="00A34D05">
        <w:rPr>
          <w:rFonts w:eastAsia="MS Mincho"/>
          <w:lang w:eastAsia="es-PE"/>
        </w:rPr>
        <w:t xml:space="preserve">De la revisión del pliego de absolución de </w:t>
      </w:r>
      <w:r w:rsidR="007C4079" w:rsidRPr="00A34D05">
        <w:rPr>
          <w:rFonts w:eastAsia="MS Mincho"/>
          <w:lang w:eastAsia="es-PE"/>
        </w:rPr>
        <w:t xml:space="preserve">consultas y </w:t>
      </w:r>
      <w:r w:rsidRPr="00A34D05">
        <w:rPr>
          <w:rFonts w:eastAsia="MS Mincho"/>
          <w:lang w:eastAsia="es-PE"/>
        </w:rPr>
        <w:t xml:space="preserve">observaciones, el Comité Especial </w:t>
      </w:r>
      <w:r w:rsidR="007C4079" w:rsidRPr="00A34D05">
        <w:rPr>
          <w:rFonts w:eastAsia="MS Mincho"/>
          <w:lang w:eastAsia="es-PE"/>
        </w:rPr>
        <w:t xml:space="preserve">al absolver la Observación N° 1 del participante ASVITEL S.R.L. </w:t>
      </w:r>
      <w:r w:rsidRPr="00A34D05">
        <w:rPr>
          <w:rFonts w:eastAsia="MS Mincho"/>
          <w:lang w:eastAsia="es-PE"/>
        </w:rPr>
        <w:t>indicó lo siguiente:</w:t>
      </w:r>
    </w:p>
    <w:p w:rsidR="005E20D4" w:rsidRPr="00A34D05" w:rsidRDefault="000D31E2" w:rsidP="00A458DC">
      <w:pPr>
        <w:tabs>
          <w:tab w:val="left" w:pos="8505"/>
        </w:tabs>
        <w:autoSpaceDE w:val="0"/>
        <w:autoSpaceDN w:val="0"/>
        <w:adjustRightInd w:val="0"/>
        <w:ind w:left="567" w:right="283"/>
        <w:jc w:val="both"/>
        <w:rPr>
          <w:rFonts w:eastAsia="MS Mincho"/>
          <w:lang w:eastAsia="es-PE"/>
        </w:rPr>
      </w:pPr>
      <w:r>
        <w:rPr>
          <w:noProof/>
          <w:lang w:val="es-PE" w:eastAsia="es-PE"/>
        </w:rPr>
        <w:lastRenderedPageBreak/>
        <w:drawing>
          <wp:anchor distT="0" distB="0" distL="114300" distR="114300" simplePos="0" relativeHeight="251683840" behindDoc="0" locked="0" layoutInCell="1" allowOverlap="1" wp14:anchorId="20FF7E75" wp14:editId="04A318D6">
            <wp:simplePos x="0" y="0"/>
            <wp:positionH relativeFrom="column">
              <wp:posOffset>-957465</wp:posOffset>
            </wp:positionH>
            <wp:positionV relativeFrom="paragraph">
              <wp:posOffset>1329401</wp:posOffset>
            </wp:positionV>
            <wp:extent cx="836930" cy="2655570"/>
            <wp:effectExtent l="19050" t="0" r="1270"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l="2" r="3368" b="26192"/>
                    <a:stretch>
                      <a:fillRect/>
                    </a:stretch>
                  </pic:blipFill>
                  <pic:spPr bwMode="auto">
                    <a:xfrm>
                      <a:off x="0" y="0"/>
                      <a:ext cx="836930" cy="2655570"/>
                    </a:xfrm>
                    <a:prstGeom prst="rect">
                      <a:avLst/>
                    </a:prstGeom>
                    <a:noFill/>
                    <a:ln w="9525">
                      <a:noFill/>
                      <a:miter lim="800000"/>
                      <a:headEnd/>
                      <a:tailEnd/>
                    </a:ln>
                  </pic:spPr>
                </pic:pic>
              </a:graphicData>
            </a:graphic>
          </wp:anchor>
        </w:drawing>
      </w:r>
      <w:r w:rsidR="007C4079" w:rsidRPr="00A34D05">
        <w:rPr>
          <w:rFonts w:eastAsia="MS Mincho"/>
          <w:noProof/>
          <w:lang w:val="es-PE" w:eastAsia="es-PE"/>
        </w:rPr>
        <w:drawing>
          <wp:inline distT="0" distB="0" distL="0" distR="0" wp14:anchorId="45DF740F" wp14:editId="28743439">
            <wp:extent cx="4800600" cy="296091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9678" cy="2966514"/>
                    </a:xfrm>
                    <a:prstGeom prst="rect">
                      <a:avLst/>
                    </a:prstGeom>
                    <a:noFill/>
                    <a:ln>
                      <a:noFill/>
                    </a:ln>
                  </pic:spPr>
                </pic:pic>
              </a:graphicData>
            </a:graphic>
          </wp:inline>
        </w:drawing>
      </w:r>
    </w:p>
    <w:p w:rsidR="005E20D4" w:rsidRPr="00A34D05" w:rsidRDefault="005E20D4" w:rsidP="00A458DC">
      <w:pPr>
        <w:tabs>
          <w:tab w:val="left" w:pos="8505"/>
        </w:tabs>
        <w:autoSpaceDE w:val="0"/>
        <w:autoSpaceDN w:val="0"/>
        <w:adjustRightInd w:val="0"/>
        <w:ind w:left="567" w:right="283"/>
        <w:jc w:val="both"/>
        <w:rPr>
          <w:bCs/>
        </w:rPr>
      </w:pPr>
      <w:r w:rsidRPr="00A34D05">
        <w:rPr>
          <w:rFonts w:eastAsia="MS Mincho"/>
          <w:i/>
          <w:lang w:eastAsia="es-PE"/>
        </w:rPr>
        <w:t xml:space="preserve"> </w:t>
      </w:r>
    </w:p>
    <w:p w:rsidR="005E20D4" w:rsidRPr="00A34D05" w:rsidRDefault="000D31E2" w:rsidP="00A458DC">
      <w:pPr>
        <w:widowControl w:val="0"/>
        <w:ind w:right="283"/>
        <w:jc w:val="both"/>
        <w:rPr>
          <w:bCs/>
        </w:rPr>
      </w:pPr>
      <w:r>
        <w:rPr>
          <w:noProof/>
          <w:lang w:val="es-PE" w:eastAsia="es-PE"/>
        </w:rPr>
        <w:drawing>
          <wp:anchor distT="0" distB="0" distL="114300" distR="114300" simplePos="0" relativeHeight="251675648" behindDoc="1" locked="0" layoutInCell="1" allowOverlap="1" wp14:anchorId="4485C16B" wp14:editId="5A59FBBD">
            <wp:simplePos x="0" y="0"/>
            <wp:positionH relativeFrom="leftMargin">
              <wp:posOffset>159385</wp:posOffset>
            </wp:positionH>
            <wp:positionV relativeFrom="paragraph">
              <wp:posOffset>792480</wp:posOffset>
            </wp:positionV>
            <wp:extent cx="960120" cy="990600"/>
            <wp:effectExtent l="0" t="0" r="0" b="0"/>
            <wp:wrapNone/>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20000"/>
                    </a:blip>
                    <a:srcRect t="73276" r="4127"/>
                    <a:stretch>
                      <a:fillRect/>
                    </a:stretch>
                  </pic:blipFill>
                  <pic:spPr bwMode="auto">
                    <a:xfrm>
                      <a:off x="0" y="0"/>
                      <a:ext cx="960120" cy="990600"/>
                    </a:xfrm>
                    <a:prstGeom prst="rect">
                      <a:avLst/>
                    </a:prstGeom>
                    <a:noFill/>
                    <a:ln w="9525">
                      <a:noFill/>
                      <a:miter lim="800000"/>
                      <a:headEnd/>
                      <a:tailEnd/>
                    </a:ln>
                  </pic:spPr>
                </pic:pic>
              </a:graphicData>
            </a:graphic>
          </wp:anchor>
        </w:drawing>
      </w:r>
      <w:r w:rsidR="005E20D4" w:rsidRPr="00A34D05">
        <w:rPr>
          <w:bCs/>
        </w:rPr>
        <w:t xml:space="preserve">Sobre el particular, cabe indicar que de conformidad con el artículo 43º del Reglamento, </w:t>
      </w:r>
      <w:r w:rsidR="005E20D4" w:rsidRPr="00A34D05">
        <w:rPr>
          <w:bCs/>
          <w:u w:val="single"/>
        </w:rPr>
        <w:t>constituye facultad exclusiva del Comité Especial la determinación de los factores de evaluación, así como de los puntajes que se le asignará a cada uno de ellos y los criterios para su asignación, los cuales deberán ser objetivos y congruentes con el objeto de la convocatoria</w:t>
      </w:r>
      <w:r w:rsidR="005E20D4" w:rsidRPr="00A34D05">
        <w:rPr>
          <w:bCs/>
        </w:rPr>
        <w:t>, debiendo sujetarse a criterios de razonabilidad y proporcionalidad, en atención a que superen o mejoren los requerimientos técnicos mínimos, en estricta observancia de los principios que regulan la contratación pública vigente.</w:t>
      </w:r>
      <w:r w:rsidRPr="000D31E2">
        <w:rPr>
          <w:noProof/>
          <w:lang w:val="es-PE" w:eastAsia="es-PE"/>
        </w:rPr>
        <w:t xml:space="preserve"> </w:t>
      </w:r>
    </w:p>
    <w:p w:rsidR="007C4079" w:rsidRPr="00A34D05" w:rsidRDefault="007C4079" w:rsidP="00A458DC">
      <w:pPr>
        <w:widowControl w:val="0"/>
        <w:ind w:right="283"/>
        <w:jc w:val="both"/>
        <w:rPr>
          <w:bCs/>
        </w:rPr>
      </w:pPr>
    </w:p>
    <w:p w:rsidR="007C4079" w:rsidRPr="00A34D05" w:rsidRDefault="007C6969" w:rsidP="00A458DC">
      <w:pPr>
        <w:widowControl w:val="0"/>
        <w:tabs>
          <w:tab w:val="left" w:pos="8505"/>
        </w:tabs>
        <w:ind w:right="283"/>
        <w:jc w:val="both"/>
      </w:pPr>
      <w:r w:rsidRPr="00A34D05">
        <w:rPr>
          <w:rFonts w:eastAsia="MS Mincho"/>
          <w:lang w:eastAsia="es-PE"/>
        </w:rPr>
        <w:t>En el presente caso</w:t>
      </w:r>
      <w:r w:rsidR="005E20D4" w:rsidRPr="00A34D05">
        <w:rPr>
          <w:rFonts w:eastAsia="MS Mincho"/>
          <w:lang w:eastAsia="es-PE"/>
        </w:rPr>
        <w:t xml:space="preserve">, </w:t>
      </w:r>
      <w:r w:rsidR="007C4079" w:rsidRPr="00A34D05">
        <w:t xml:space="preserve">de la revisión </w:t>
      </w:r>
      <w:r w:rsidR="001B22D5" w:rsidRPr="00A34D05">
        <w:rPr>
          <w:rFonts w:eastAsia="MS Mincho"/>
          <w:lang w:eastAsia="es-PE"/>
        </w:rPr>
        <w:t>del pliego de absolución de consultas y observaciones</w:t>
      </w:r>
      <w:r w:rsidR="001B22D5" w:rsidRPr="00A34D05">
        <w:t xml:space="preserve"> se advierte que, en atención a la absolución de la</w:t>
      </w:r>
      <w:r w:rsidR="001B22D5" w:rsidRPr="00A34D05">
        <w:rPr>
          <w:rFonts w:eastAsia="MS Mincho"/>
          <w:lang w:eastAsia="es-PE"/>
        </w:rPr>
        <w:t xml:space="preserve"> Observación N° 1 del participante ASVITEL S.R.L.,</w:t>
      </w:r>
      <w:r w:rsidR="001B22D5" w:rsidRPr="00A34D05">
        <w:t xml:space="preserve"> la Entidad ha dispuesto modificar el factor de evaluación “A. Experiencia en la Actividad”</w:t>
      </w:r>
      <w:r w:rsidR="0076053D" w:rsidRPr="00A34D05">
        <w:t xml:space="preserve">, disponiendo que el monto máximo acumulado sea equivalente a tres (3) veces el valor referencial, y que se considere como experiencia en la actividad los equipos de seguridad UTM, </w:t>
      </w:r>
      <w:proofErr w:type="spellStart"/>
      <w:r w:rsidR="0076053D" w:rsidRPr="00A34D05">
        <w:t>Antispam</w:t>
      </w:r>
      <w:proofErr w:type="spellEnd"/>
      <w:r w:rsidR="0076053D" w:rsidRPr="00A34D05">
        <w:t>, Firewall y Servicios de Seguridad Gestionada</w:t>
      </w:r>
      <w:r w:rsidR="007C4079" w:rsidRPr="00A34D05">
        <w:t>.</w:t>
      </w:r>
    </w:p>
    <w:p w:rsidR="007C6969" w:rsidRPr="00A34D05" w:rsidRDefault="007C6969" w:rsidP="00A458DC">
      <w:pPr>
        <w:widowControl w:val="0"/>
        <w:tabs>
          <w:tab w:val="left" w:pos="8505"/>
        </w:tabs>
        <w:ind w:right="283"/>
        <w:jc w:val="both"/>
      </w:pPr>
    </w:p>
    <w:p w:rsidR="007C6969" w:rsidRPr="00A34D05" w:rsidRDefault="007C6969" w:rsidP="00A458DC">
      <w:pPr>
        <w:widowControl w:val="0"/>
        <w:tabs>
          <w:tab w:val="left" w:pos="8505"/>
        </w:tabs>
        <w:ind w:right="283"/>
        <w:jc w:val="both"/>
        <w:rPr>
          <w:lang w:val="es-ES"/>
        </w:rPr>
      </w:pPr>
      <w:r w:rsidRPr="00A34D05">
        <w:t xml:space="preserve">En ese sentido, considerando que el Comité Especial ha </w:t>
      </w:r>
      <w:r w:rsidR="00FA3874">
        <w:t>precisado</w:t>
      </w:r>
      <w:r w:rsidRPr="00A34D05">
        <w:t xml:space="preserve"> las prestaciones que servirían para acreditar la experiencia del postor y </w:t>
      </w:r>
      <w:r w:rsidR="00FA3874">
        <w:t xml:space="preserve">que </w:t>
      </w:r>
      <w:r w:rsidRPr="00A34D05">
        <w:t xml:space="preserve">lo que solicita el participante es modificar conforme su interés particular, este Organismo Supervisor ha decidido </w:t>
      </w:r>
      <w:r w:rsidRPr="00A34D05">
        <w:rPr>
          <w:b/>
        </w:rPr>
        <w:t xml:space="preserve">NO ACOGER </w:t>
      </w:r>
      <w:r w:rsidRPr="00A34D05">
        <w:t>la presente observación.</w:t>
      </w:r>
    </w:p>
    <w:p w:rsidR="005E20D4" w:rsidRPr="00A34D05" w:rsidRDefault="005E20D4" w:rsidP="00A458DC">
      <w:pPr>
        <w:widowControl w:val="0"/>
        <w:tabs>
          <w:tab w:val="left" w:pos="8505"/>
        </w:tabs>
        <w:ind w:right="283"/>
        <w:jc w:val="both"/>
        <w:rPr>
          <w:rFonts w:eastAsia="MS Mincho"/>
          <w:lang w:val="es-ES" w:eastAsia="es-PE"/>
        </w:rPr>
      </w:pPr>
    </w:p>
    <w:p w:rsidR="00E16290" w:rsidRPr="00A34D05" w:rsidRDefault="00E16290" w:rsidP="00A458DC">
      <w:pPr>
        <w:widowControl w:val="0"/>
        <w:numPr>
          <w:ilvl w:val="0"/>
          <w:numId w:val="1"/>
        </w:numPr>
        <w:tabs>
          <w:tab w:val="clear" w:pos="360"/>
          <w:tab w:val="num" w:pos="567"/>
          <w:tab w:val="left" w:pos="7938"/>
        </w:tabs>
        <w:ind w:left="567" w:right="283" w:hanging="567"/>
        <w:jc w:val="both"/>
      </w:pPr>
      <w:r w:rsidRPr="00A34D05">
        <w:rPr>
          <w:b/>
          <w:lang w:val="es-PE"/>
        </w:rPr>
        <w:t>CONTENIDO DE LAS BASES CONTRARIO A LA NORMATIVA SOBRE CONTRATACIONES DEL ESTADO</w:t>
      </w:r>
    </w:p>
    <w:p w:rsidR="00E16290" w:rsidRPr="00A34D05" w:rsidRDefault="00E16290" w:rsidP="00A458DC">
      <w:pPr>
        <w:widowControl w:val="0"/>
        <w:tabs>
          <w:tab w:val="left" w:pos="540"/>
          <w:tab w:val="left" w:pos="7938"/>
        </w:tabs>
        <w:ind w:right="283"/>
        <w:jc w:val="both"/>
        <w:rPr>
          <w:b/>
        </w:rPr>
      </w:pPr>
      <w:r w:rsidRPr="00A34D05">
        <w:t xml:space="preserve"> </w:t>
      </w:r>
    </w:p>
    <w:p w:rsidR="00E16290" w:rsidRPr="00A34D05" w:rsidRDefault="00E16290" w:rsidP="00A458DC">
      <w:pPr>
        <w:widowControl w:val="0"/>
        <w:tabs>
          <w:tab w:val="left" w:pos="540"/>
          <w:tab w:val="left" w:pos="7938"/>
        </w:tabs>
        <w:ind w:right="283"/>
        <w:jc w:val="both"/>
      </w:pPr>
      <w:r w:rsidRPr="00A34D05">
        <w:t xml:space="preserve">En ejercicio de su función de velar por el cumplimiento de la normativa vigente en materia de contrataciones del Estado, conforme a lo señalado en el inciso a) del artículo </w:t>
      </w:r>
      <w:r w:rsidRPr="00A34D05">
        <w:lastRenderedPageBreak/>
        <w:t>58</w:t>
      </w:r>
      <w:r w:rsidR="0076053D" w:rsidRPr="00A34D05">
        <w:t>°</w:t>
      </w:r>
      <w:r w:rsidRPr="00A34D05">
        <w:t xml:space="preserve"> de la Ley, este Organismo Supervisor ha procedido a realizar la revisión de las Bases remitidas, habiendo detectado el siguiente contenido contrario a la Ley y el Reglamento.</w:t>
      </w:r>
    </w:p>
    <w:p w:rsidR="00D57296" w:rsidRPr="00A34D05" w:rsidRDefault="00D57296" w:rsidP="00A458DC">
      <w:pPr>
        <w:widowControl w:val="0"/>
        <w:tabs>
          <w:tab w:val="left" w:pos="540"/>
          <w:tab w:val="left" w:pos="7938"/>
        </w:tabs>
        <w:ind w:right="283"/>
        <w:jc w:val="both"/>
      </w:pPr>
    </w:p>
    <w:p w:rsidR="00D57296" w:rsidRPr="00A34D05" w:rsidRDefault="00D57296" w:rsidP="00A458DC">
      <w:pPr>
        <w:pStyle w:val="NormalWeb"/>
        <w:widowControl w:val="0"/>
        <w:tabs>
          <w:tab w:val="left" w:pos="567"/>
        </w:tabs>
        <w:suppressAutoHyphens/>
        <w:spacing w:before="0" w:beforeAutospacing="0" w:after="0" w:afterAutospacing="0"/>
        <w:ind w:right="283"/>
        <w:jc w:val="both"/>
        <w:rPr>
          <w:b/>
          <w:iCs/>
        </w:rPr>
      </w:pPr>
      <w:r w:rsidRPr="00A34D05">
        <w:rPr>
          <w:b/>
          <w:iCs/>
        </w:rPr>
        <w:t xml:space="preserve">3.1 </w:t>
      </w:r>
      <w:r w:rsidRPr="00A34D05">
        <w:rPr>
          <w:b/>
          <w:iCs/>
        </w:rPr>
        <w:tab/>
        <w:t>Resumen Ejecutivo</w:t>
      </w:r>
    </w:p>
    <w:p w:rsidR="00E16290" w:rsidRPr="00A34D05" w:rsidRDefault="00E16290" w:rsidP="00A458DC">
      <w:pPr>
        <w:widowControl w:val="0"/>
        <w:tabs>
          <w:tab w:val="left" w:pos="540"/>
          <w:tab w:val="left" w:pos="7938"/>
        </w:tabs>
        <w:ind w:right="283"/>
        <w:jc w:val="both"/>
      </w:pPr>
    </w:p>
    <w:p w:rsidR="00D57296" w:rsidRPr="00A34D05" w:rsidRDefault="000D31E2" w:rsidP="00A458DC">
      <w:pPr>
        <w:pStyle w:val="Prrafodelista"/>
        <w:widowControl w:val="0"/>
        <w:ind w:left="0" w:right="283"/>
        <w:jc w:val="both"/>
        <w:rPr>
          <w:sz w:val="24"/>
          <w:szCs w:val="24"/>
          <w:lang w:val="es-PE"/>
        </w:rPr>
      </w:pPr>
      <w:r>
        <w:rPr>
          <w:noProof/>
          <w:lang w:val="es-PE" w:eastAsia="es-PE"/>
        </w:rPr>
        <w:drawing>
          <wp:anchor distT="0" distB="0" distL="114300" distR="114300" simplePos="0" relativeHeight="251677696" behindDoc="0" locked="0" layoutInCell="1" allowOverlap="1" wp14:anchorId="5A245621" wp14:editId="3F092720">
            <wp:simplePos x="0" y="0"/>
            <wp:positionH relativeFrom="column">
              <wp:posOffset>-984250</wp:posOffset>
            </wp:positionH>
            <wp:positionV relativeFrom="paragraph">
              <wp:posOffset>309880</wp:posOffset>
            </wp:positionV>
            <wp:extent cx="836930" cy="2655570"/>
            <wp:effectExtent l="19050" t="0" r="1270" b="0"/>
            <wp:wrapNone/>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l="2" r="3368" b="26192"/>
                    <a:stretch>
                      <a:fillRect/>
                    </a:stretch>
                  </pic:blipFill>
                  <pic:spPr bwMode="auto">
                    <a:xfrm>
                      <a:off x="0" y="0"/>
                      <a:ext cx="836930" cy="2655570"/>
                    </a:xfrm>
                    <a:prstGeom prst="rect">
                      <a:avLst/>
                    </a:prstGeom>
                    <a:noFill/>
                    <a:ln w="9525">
                      <a:noFill/>
                      <a:miter lim="800000"/>
                      <a:headEnd/>
                      <a:tailEnd/>
                    </a:ln>
                  </pic:spPr>
                </pic:pic>
              </a:graphicData>
            </a:graphic>
          </wp:anchor>
        </w:drawing>
      </w:r>
      <w:r w:rsidR="007C6969" w:rsidRPr="00A34D05">
        <w:rPr>
          <w:sz w:val="24"/>
          <w:szCs w:val="24"/>
          <w:lang w:val="es-PE"/>
        </w:rPr>
        <w:t>E</w:t>
      </w:r>
      <w:r w:rsidR="00D57296" w:rsidRPr="00A34D05">
        <w:rPr>
          <w:sz w:val="24"/>
          <w:szCs w:val="24"/>
          <w:lang w:val="es-PE"/>
        </w:rPr>
        <w:t xml:space="preserve">n el Resumen Ejecutivo publicado en el SEACE conjuntamente con las Bases el </w:t>
      </w:r>
      <w:r w:rsidR="00D57296" w:rsidRPr="00A34D05">
        <w:rPr>
          <w:sz w:val="24"/>
          <w:szCs w:val="24"/>
          <w:u w:val="single"/>
          <w:lang w:val="es-PE"/>
        </w:rPr>
        <w:t>23.09.2015</w:t>
      </w:r>
      <w:r w:rsidR="00D57296" w:rsidRPr="00A34D05">
        <w:rPr>
          <w:sz w:val="24"/>
          <w:szCs w:val="24"/>
          <w:lang w:val="es-PE"/>
        </w:rPr>
        <w:t xml:space="preserve"> no ha seguido estrictamente las disposiciones previstas en la Directiva N° 004-2013-OSCE/CD en referencia al Formato del Resumen Ejecutivo del estudio de posibilidades que ofrece el mercado conforme al instructivo publicado para el llenado de dicho formato, toda vez que se ha advertido lo siguiente:</w:t>
      </w:r>
    </w:p>
    <w:p w:rsidR="00D57296" w:rsidRPr="00A34D05" w:rsidRDefault="00D57296" w:rsidP="00A458DC">
      <w:pPr>
        <w:pStyle w:val="Prrafodelista"/>
        <w:widowControl w:val="0"/>
        <w:ind w:left="0" w:right="283"/>
        <w:jc w:val="both"/>
        <w:rPr>
          <w:sz w:val="24"/>
          <w:szCs w:val="24"/>
          <w:lang w:val="es-PE"/>
        </w:rPr>
      </w:pPr>
    </w:p>
    <w:p w:rsidR="00E86F58" w:rsidRPr="00A34D05" w:rsidRDefault="00D57296" w:rsidP="00A458DC">
      <w:pPr>
        <w:ind w:left="426" w:right="283" w:hanging="426"/>
        <w:jc w:val="both"/>
      </w:pPr>
      <w:r w:rsidRPr="00A34D05">
        <w:t>-</w:t>
      </w:r>
      <w:r w:rsidRPr="00A34D05">
        <w:tab/>
      </w:r>
      <w:r w:rsidR="00E86F58" w:rsidRPr="00A34D05">
        <w:t>En el numeral 1.3 se advierte que se consignó como objeto del proceso “bienes”; sin embargo, de la revisión de la ficha del proceso de selección materia de análisis registrado en el SEACE, se aprecia que el objeto de contratación es un “servicio”.</w:t>
      </w:r>
    </w:p>
    <w:p w:rsidR="00E86F58" w:rsidRPr="00A34D05" w:rsidRDefault="00E86F58" w:rsidP="00A458DC">
      <w:pPr>
        <w:ind w:left="426" w:right="283" w:hanging="426"/>
        <w:jc w:val="both"/>
      </w:pPr>
    </w:p>
    <w:p w:rsidR="00E86F58" w:rsidRPr="00A34D05" w:rsidRDefault="00E86F58" w:rsidP="00A458DC">
      <w:pPr>
        <w:pStyle w:val="Prrafodelista"/>
        <w:numPr>
          <w:ilvl w:val="0"/>
          <w:numId w:val="4"/>
        </w:numPr>
        <w:ind w:left="426" w:right="283" w:hanging="426"/>
        <w:jc w:val="both"/>
        <w:rPr>
          <w:sz w:val="24"/>
          <w:szCs w:val="24"/>
        </w:rPr>
      </w:pPr>
      <w:r w:rsidRPr="00A34D05">
        <w:rPr>
          <w:sz w:val="24"/>
          <w:szCs w:val="24"/>
        </w:rPr>
        <w:t>En el numeral 3.2.5 se señaló que se utilizó “otras fuentes” para la determinación del valor referencial, conforme al Cuadro Comparativo; sin embargo, de la revisión de dicho formato no se aprecia qué otras fuentes se habrían utilizado.</w:t>
      </w:r>
    </w:p>
    <w:p w:rsidR="00D57296" w:rsidRPr="00A34D05" w:rsidRDefault="00D57296" w:rsidP="00A458DC">
      <w:pPr>
        <w:pStyle w:val="Prrafodelista"/>
        <w:widowControl w:val="0"/>
        <w:ind w:left="720" w:right="283"/>
        <w:jc w:val="both"/>
        <w:rPr>
          <w:sz w:val="24"/>
          <w:szCs w:val="24"/>
          <w:lang w:val="es-PE"/>
        </w:rPr>
      </w:pPr>
    </w:p>
    <w:p w:rsidR="00E86F58" w:rsidRPr="00A34D05" w:rsidRDefault="000D31E2" w:rsidP="00A458DC">
      <w:pPr>
        <w:ind w:left="426" w:right="283" w:hanging="426"/>
        <w:jc w:val="both"/>
      </w:pPr>
      <w:r>
        <w:rPr>
          <w:noProof/>
          <w:lang w:val="es-PE" w:eastAsia="es-PE"/>
        </w:rPr>
        <w:drawing>
          <wp:anchor distT="0" distB="0" distL="114300" distR="114300" simplePos="0" relativeHeight="251669504" behindDoc="1" locked="0" layoutInCell="1" allowOverlap="1" wp14:anchorId="2EFB323A" wp14:editId="75C2B6DB">
            <wp:simplePos x="0" y="0"/>
            <wp:positionH relativeFrom="leftMargin">
              <wp:align>right</wp:align>
            </wp:positionH>
            <wp:positionV relativeFrom="paragraph">
              <wp:posOffset>424815</wp:posOffset>
            </wp:positionV>
            <wp:extent cx="960120" cy="990600"/>
            <wp:effectExtent l="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20000"/>
                    </a:blip>
                    <a:srcRect t="73276" r="4127"/>
                    <a:stretch>
                      <a:fillRect/>
                    </a:stretch>
                  </pic:blipFill>
                  <pic:spPr bwMode="auto">
                    <a:xfrm>
                      <a:off x="0" y="0"/>
                      <a:ext cx="960120" cy="990600"/>
                    </a:xfrm>
                    <a:prstGeom prst="rect">
                      <a:avLst/>
                    </a:prstGeom>
                    <a:noFill/>
                    <a:ln w="9525">
                      <a:noFill/>
                      <a:miter lim="800000"/>
                      <a:headEnd/>
                      <a:tailEnd/>
                    </a:ln>
                  </pic:spPr>
                </pic:pic>
              </a:graphicData>
            </a:graphic>
          </wp:anchor>
        </w:drawing>
      </w:r>
      <w:r w:rsidR="00D57296" w:rsidRPr="00A34D05">
        <w:t>-</w:t>
      </w:r>
      <w:r w:rsidR="00D57296" w:rsidRPr="00A34D05">
        <w:tab/>
      </w:r>
      <w:r w:rsidR="00E86F58" w:rsidRPr="00A34D05">
        <w:t>En el numeral 4.1 se señaló que la fecha de culminación del estudio de posibilidades que ofrece el mercado sería el 19.08.2015; sin embargo, en el numeral 1.3 y 1.4 del Capítulo I de la Sección Específica de las Bases se señala que el valor referencial fue calculado al mes de agosto de 2015 y que el expediente de contratación  fue aprobado el 08.09.2015, respectivamente.</w:t>
      </w:r>
    </w:p>
    <w:p w:rsidR="00D57296" w:rsidRPr="00A34D05" w:rsidRDefault="00D57296" w:rsidP="00A458DC">
      <w:pPr>
        <w:pStyle w:val="Prrafodelista"/>
        <w:widowControl w:val="0"/>
        <w:ind w:left="720" w:right="283"/>
        <w:jc w:val="both"/>
        <w:rPr>
          <w:sz w:val="24"/>
          <w:szCs w:val="24"/>
          <w:lang w:val="es-PE"/>
        </w:rPr>
      </w:pPr>
    </w:p>
    <w:p w:rsidR="00D57296" w:rsidRPr="00A34D05" w:rsidRDefault="00D57296" w:rsidP="00A458DC">
      <w:pPr>
        <w:pStyle w:val="Prrafodelista"/>
        <w:widowControl w:val="0"/>
        <w:ind w:left="0" w:right="283"/>
        <w:jc w:val="both"/>
        <w:rPr>
          <w:b/>
          <w:sz w:val="24"/>
          <w:szCs w:val="24"/>
          <w:lang w:val="es-PE"/>
        </w:rPr>
      </w:pPr>
      <w:r w:rsidRPr="00A34D05">
        <w:rPr>
          <w:sz w:val="24"/>
          <w:szCs w:val="24"/>
          <w:lang w:val="es-PE"/>
        </w:rPr>
        <w:t xml:space="preserve">En ese sentido, </w:t>
      </w:r>
      <w:r w:rsidRPr="00A34D05">
        <w:rPr>
          <w:sz w:val="24"/>
          <w:szCs w:val="24"/>
          <w:lang w:val="es-ES_tradnl"/>
        </w:rPr>
        <w:t xml:space="preserve">con ocasión de la integración de las Bases, </w:t>
      </w:r>
      <w:r w:rsidRPr="00A34D05">
        <w:rPr>
          <w:b/>
          <w:sz w:val="24"/>
          <w:szCs w:val="24"/>
          <w:u w:val="single"/>
          <w:lang w:val="es-ES_tradnl"/>
        </w:rPr>
        <w:t xml:space="preserve">deberá registrarse en el Sistema Electrónico de Contrataciones del Estado (SEACE) </w:t>
      </w:r>
      <w:r w:rsidR="007C6969" w:rsidRPr="00A34D05">
        <w:rPr>
          <w:b/>
          <w:sz w:val="24"/>
          <w:szCs w:val="24"/>
          <w:u w:val="single"/>
          <w:lang w:val="es-ES_tradnl"/>
        </w:rPr>
        <w:t>u</w:t>
      </w:r>
      <w:r w:rsidRPr="00A34D05">
        <w:rPr>
          <w:b/>
          <w:sz w:val="24"/>
          <w:szCs w:val="24"/>
          <w:u w:val="single"/>
          <w:lang w:val="es-ES_tradnl"/>
        </w:rPr>
        <w:t>n nuevo Formato del Resumen Ejecutivo</w:t>
      </w:r>
      <w:r w:rsidRPr="00A34D05">
        <w:rPr>
          <w:sz w:val="24"/>
          <w:szCs w:val="24"/>
          <w:lang w:val="es-ES_tradnl"/>
        </w:rPr>
        <w:t xml:space="preserve"> a través del cual se complete toda la información requerida </w:t>
      </w:r>
      <w:r w:rsidR="007C6969" w:rsidRPr="00A34D05">
        <w:rPr>
          <w:sz w:val="24"/>
          <w:szCs w:val="24"/>
          <w:lang w:val="es-ES_tradnl"/>
        </w:rPr>
        <w:t>en</w:t>
      </w:r>
      <w:r w:rsidRPr="00A34D05">
        <w:rPr>
          <w:sz w:val="24"/>
          <w:szCs w:val="24"/>
          <w:lang w:val="es-ES_tradnl"/>
        </w:rPr>
        <w:t xml:space="preserve"> la Directiva N° 004-2013-OSCE/CD</w:t>
      </w:r>
      <w:r w:rsidRPr="00A34D05">
        <w:rPr>
          <w:sz w:val="24"/>
          <w:szCs w:val="24"/>
          <w:lang w:val="es-PE"/>
        </w:rPr>
        <w:t>.</w:t>
      </w:r>
    </w:p>
    <w:p w:rsidR="00D57296" w:rsidRPr="00A34D05" w:rsidRDefault="00D57296" w:rsidP="00A458DC">
      <w:pPr>
        <w:pStyle w:val="Prrafodelista"/>
        <w:widowControl w:val="0"/>
        <w:ind w:left="0" w:right="283"/>
        <w:jc w:val="both"/>
        <w:rPr>
          <w:b/>
          <w:sz w:val="24"/>
          <w:szCs w:val="24"/>
          <w:lang w:val="es-PE"/>
        </w:rPr>
      </w:pPr>
    </w:p>
    <w:p w:rsidR="00D57296" w:rsidRPr="00A34D05" w:rsidRDefault="00D57296" w:rsidP="00A458DC">
      <w:pPr>
        <w:pStyle w:val="Prrafodelista"/>
        <w:widowControl w:val="0"/>
        <w:ind w:left="0" w:right="283"/>
        <w:jc w:val="both"/>
        <w:rPr>
          <w:sz w:val="24"/>
          <w:szCs w:val="24"/>
          <w:lang w:val="es-PE"/>
        </w:rPr>
      </w:pPr>
      <w:r w:rsidRPr="00A34D05">
        <w:rPr>
          <w:sz w:val="24"/>
          <w:szCs w:val="24"/>
          <w:lang w:val="es-PE"/>
        </w:rPr>
        <w:t xml:space="preserve">Asimismo, </w:t>
      </w:r>
      <w:r w:rsidRPr="00A34D05">
        <w:rPr>
          <w:b/>
          <w:sz w:val="24"/>
          <w:szCs w:val="24"/>
          <w:u w:val="single"/>
          <w:lang w:val="es-PE"/>
        </w:rPr>
        <w:t>deberá aclararse</w:t>
      </w:r>
      <w:r w:rsidRPr="00A34D05">
        <w:rPr>
          <w:sz w:val="24"/>
          <w:szCs w:val="24"/>
          <w:lang w:val="es-PE"/>
        </w:rPr>
        <w:t xml:space="preserve"> la información referida a las fechas de aprobación del expediente de contratación, elaboración del estudio de posibilidades que ofrece el mercado y determinación del valor referencial.</w:t>
      </w:r>
    </w:p>
    <w:p w:rsidR="00D57296" w:rsidRPr="00A34D05" w:rsidRDefault="00D57296" w:rsidP="00A458DC">
      <w:pPr>
        <w:pStyle w:val="Prrafodelista"/>
        <w:widowControl w:val="0"/>
        <w:ind w:left="0" w:right="283"/>
        <w:jc w:val="both"/>
        <w:rPr>
          <w:sz w:val="24"/>
          <w:szCs w:val="24"/>
          <w:lang w:val="es-PE"/>
        </w:rPr>
      </w:pPr>
    </w:p>
    <w:p w:rsidR="00D57296" w:rsidRPr="00A34D05" w:rsidRDefault="00D57296" w:rsidP="00A458DC">
      <w:pPr>
        <w:pStyle w:val="Prrafodelista"/>
        <w:widowControl w:val="0"/>
        <w:ind w:left="0" w:right="283"/>
        <w:jc w:val="both"/>
        <w:rPr>
          <w:sz w:val="24"/>
          <w:szCs w:val="24"/>
          <w:lang w:val="es-ES_tradnl"/>
        </w:rPr>
      </w:pPr>
      <w:r w:rsidRPr="00A34D05">
        <w:rPr>
          <w:sz w:val="24"/>
          <w:szCs w:val="24"/>
          <w:lang w:val="es-ES_tradnl"/>
        </w:rPr>
        <w:t xml:space="preserve">Debe tenerse en cuenta que </w:t>
      </w:r>
      <w:r w:rsidRPr="00A34D05">
        <w:rPr>
          <w:sz w:val="24"/>
          <w:szCs w:val="24"/>
          <w:lang w:val="es-PE"/>
        </w:rPr>
        <w:t>la información consignada en el Resumen Ejecutivo tiene carácter de declaración jurada y se encuentra sujeto a rendición de cuentas por parte de la dependencia técnica encargada, en caso de corresponder, ante el Titular de la Entidad, la Contraloría General de la República, Ministerio Público, Poder Judicial y/o ante otros organismo competentes.</w:t>
      </w:r>
    </w:p>
    <w:p w:rsidR="00D57296" w:rsidRPr="00A34D05" w:rsidRDefault="00D57296" w:rsidP="00A458DC">
      <w:pPr>
        <w:pStyle w:val="Prrafodelista"/>
        <w:widowControl w:val="0"/>
        <w:ind w:left="0" w:right="283"/>
        <w:jc w:val="both"/>
        <w:rPr>
          <w:sz w:val="24"/>
          <w:szCs w:val="24"/>
          <w:lang w:val="es-ES_tradnl"/>
        </w:rPr>
      </w:pPr>
    </w:p>
    <w:p w:rsidR="00D57296" w:rsidRPr="00A34D05" w:rsidRDefault="00D57296" w:rsidP="00A458DC">
      <w:pPr>
        <w:pStyle w:val="Prrafodelista"/>
        <w:widowControl w:val="0"/>
        <w:ind w:left="0" w:right="283"/>
        <w:jc w:val="both"/>
        <w:rPr>
          <w:sz w:val="24"/>
          <w:szCs w:val="24"/>
          <w:lang w:val="es-ES_tradnl"/>
        </w:rPr>
      </w:pPr>
      <w:r w:rsidRPr="00A34D05">
        <w:rPr>
          <w:sz w:val="24"/>
          <w:szCs w:val="24"/>
          <w:lang w:val="es-ES_tradnl"/>
        </w:rPr>
        <w:t>Finalmente, la Entidad deberá impartir las directrices que resulten necesarias a fin de evitar situaciones similares en futuros procesos de selección.</w:t>
      </w:r>
    </w:p>
    <w:p w:rsidR="00E16290" w:rsidRPr="00A34D05" w:rsidRDefault="00E16290" w:rsidP="00A458DC">
      <w:pPr>
        <w:widowControl w:val="0"/>
        <w:tabs>
          <w:tab w:val="left" w:pos="540"/>
          <w:tab w:val="left" w:pos="7938"/>
        </w:tabs>
        <w:ind w:right="283"/>
        <w:jc w:val="both"/>
        <w:rPr>
          <w:lang w:val="es-ES_tradnl"/>
        </w:rPr>
      </w:pPr>
    </w:p>
    <w:p w:rsidR="007C6969" w:rsidRPr="00A34D05" w:rsidRDefault="007C6969" w:rsidP="00A458DC">
      <w:pPr>
        <w:widowControl w:val="0"/>
        <w:tabs>
          <w:tab w:val="left" w:pos="540"/>
          <w:tab w:val="left" w:pos="7938"/>
        </w:tabs>
        <w:ind w:right="283"/>
        <w:jc w:val="both"/>
        <w:rPr>
          <w:lang w:val="es-ES_tradnl"/>
        </w:rPr>
      </w:pPr>
    </w:p>
    <w:p w:rsidR="00E16290" w:rsidRPr="00A34D05" w:rsidRDefault="00095C3A" w:rsidP="007C6969">
      <w:pPr>
        <w:widowControl w:val="0"/>
        <w:tabs>
          <w:tab w:val="left" w:pos="540"/>
          <w:tab w:val="left" w:pos="7938"/>
        </w:tabs>
        <w:ind w:right="283"/>
        <w:jc w:val="both"/>
        <w:rPr>
          <w:b/>
        </w:rPr>
      </w:pPr>
      <w:r w:rsidRPr="00A34D05">
        <w:rPr>
          <w:b/>
        </w:rPr>
        <w:lastRenderedPageBreak/>
        <w:t>3.2</w:t>
      </w:r>
      <w:r w:rsidRPr="00A34D05">
        <w:rPr>
          <w:b/>
        </w:rPr>
        <w:tab/>
      </w:r>
      <w:r w:rsidRPr="00A34D05">
        <w:rPr>
          <w:rFonts w:eastAsia="Calibri"/>
          <w:b/>
          <w:bCs/>
          <w:lang w:val="es-ES" w:eastAsia="es-ES"/>
        </w:rPr>
        <w:t>Límites del valor referencial</w:t>
      </w:r>
    </w:p>
    <w:p w:rsidR="00095C3A" w:rsidRPr="00A34D05" w:rsidRDefault="00095C3A" w:rsidP="00A458DC">
      <w:pPr>
        <w:widowControl w:val="0"/>
        <w:tabs>
          <w:tab w:val="left" w:pos="540"/>
          <w:tab w:val="left" w:pos="7938"/>
        </w:tabs>
        <w:ind w:right="283"/>
        <w:jc w:val="both"/>
      </w:pPr>
    </w:p>
    <w:p w:rsidR="00095C3A" w:rsidRPr="00A34D05" w:rsidRDefault="00095C3A" w:rsidP="00A458DC">
      <w:pPr>
        <w:widowControl w:val="0"/>
        <w:tabs>
          <w:tab w:val="left" w:pos="540"/>
          <w:tab w:val="left" w:pos="7938"/>
        </w:tabs>
        <w:ind w:right="283"/>
        <w:jc w:val="both"/>
        <w:rPr>
          <w:rFonts w:eastAsia="Calibri"/>
          <w:lang w:val="es-ES" w:eastAsia="es-ES"/>
        </w:rPr>
      </w:pPr>
      <w:r w:rsidRPr="00A34D05">
        <w:rPr>
          <w:rFonts w:eastAsia="Calibri"/>
        </w:rPr>
        <w:t xml:space="preserve">De la revisión del numeral 1.3 de la Sección Específica de las Bases, se advierte que  se </w:t>
      </w:r>
      <w:r w:rsidRPr="00A34D05">
        <w:rPr>
          <w:rFonts w:eastAsia="Calibri"/>
          <w:lang w:val="es-ES" w:eastAsia="es-ES"/>
        </w:rPr>
        <w:t>ha calculado de manera errónea el límite superior del valor referencial, toda vez que se ha consignado “Sin IGV”.</w:t>
      </w:r>
    </w:p>
    <w:p w:rsidR="00095C3A" w:rsidRPr="00A34D05" w:rsidRDefault="00095C3A" w:rsidP="00A458DC">
      <w:pPr>
        <w:widowControl w:val="0"/>
        <w:tabs>
          <w:tab w:val="left" w:pos="540"/>
          <w:tab w:val="left" w:pos="7938"/>
        </w:tabs>
        <w:ind w:right="283"/>
        <w:jc w:val="both"/>
        <w:rPr>
          <w:rFonts w:eastAsia="Calibri"/>
          <w:lang w:val="es-ES" w:eastAsia="es-ES"/>
        </w:rPr>
      </w:pPr>
    </w:p>
    <w:p w:rsidR="00095C3A" w:rsidRPr="00A34D05" w:rsidRDefault="00095C3A" w:rsidP="00A458DC">
      <w:pPr>
        <w:widowControl w:val="0"/>
        <w:tabs>
          <w:tab w:val="left" w:pos="540"/>
          <w:tab w:val="left" w:pos="7938"/>
        </w:tabs>
        <w:ind w:right="283"/>
        <w:jc w:val="both"/>
        <w:rPr>
          <w:lang w:val="es-PE"/>
        </w:rPr>
      </w:pPr>
      <w:r w:rsidRPr="00A34D05">
        <w:rPr>
          <w:rFonts w:eastAsia="Calibri"/>
          <w:lang w:val="es-ES" w:eastAsia="es-ES"/>
        </w:rPr>
        <w:t xml:space="preserve">En ese sentido, </w:t>
      </w:r>
      <w:r w:rsidRPr="00A34D05">
        <w:rPr>
          <w:b/>
          <w:u w:val="single"/>
          <w:lang w:val="es-PE"/>
        </w:rPr>
        <w:t>deberá verificarse si resulta aplicable en el presente caso la Ley de Promoción de la Inversión en la Amazonía, Ley Nº 27037, referida al beneficio de la exoneración del IGV, y, en dicho supuesto, deberá desagregarse el límite superior del valor referencial sin IGV.</w:t>
      </w:r>
    </w:p>
    <w:p w:rsidR="00095C3A" w:rsidRPr="00A34D05" w:rsidRDefault="00095C3A" w:rsidP="00A458DC">
      <w:pPr>
        <w:widowControl w:val="0"/>
        <w:tabs>
          <w:tab w:val="left" w:pos="540"/>
          <w:tab w:val="left" w:pos="7938"/>
        </w:tabs>
        <w:ind w:right="283"/>
        <w:jc w:val="both"/>
        <w:rPr>
          <w:lang w:val="es-PE"/>
        </w:rPr>
      </w:pPr>
    </w:p>
    <w:p w:rsidR="00095C3A" w:rsidRPr="00A34D05" w:rsidRDefault="00A76EDE" w:rsidP="00A458DC">
      <w:pPr>
        <w:widowControl w:val="0"/>
        <w:tabs>
          <w:tab w:val="left" w:pos="540"/>
          <w:tab w:val="left" w:pos="7938"/>
        </w:tabs>
        <w:ind w:right="283"/>
        <w:jc w:val="both"/>
        <w:rPr>
          <w:b/>
        </w:rPr>
      </w:pPr>
      <w:r w:rsidRPr="00A34D05">
        <w:rPr>
          <w:b/>
        </w:rPr>
        <w:t>3.3</w:t>
      </w:r>
      <w:r w:rsidRPr="00A34D05">
        <w:rPr>
          <w:b/>
        </w:rPr>
        <w:tab/>
        <w:t>Del pliego absolutorio de consultas y observaciones</w:t>
      </w:r>
    </w:p>
    <w:p w:rsidR="00A76EDE" w:rsidRPr="00A34D05" w:rsidRDefault="000D31E2" w:rsidP="00A458DC">
      <w:pPr>
        <w:widowControl w:val="0"/>
        <w:tabs>
          <w:tab w:val="left" w:pos="540"/>
          <w:tab w:val="left" w:pos="7938"/>
        </w:tabs>
        <w:ind w:right="283"/>
        <w:jc w:val="both"/>
      </w:pPr>
      <w:r>
        <w:rPr>
          <w:noProof/>
          <w:lang w:val="es-PE" w:eastAsia="es-PE"/>
        </w:rPr>
        <w:drawing>
          <wp:anchor distT="0" distB="0" distL="114300" distR="114300" simplePos="0" relativeHeight="251661312" behindDoc="0" locked="0" layoutInCell="1" allowOverlap="1" wp14:anchorId="66751C49" wp14:editId="35CB00D9">
            <wp:simplePos x="0" y="0"/>
            <wp:positionH relativeFrom="column">
              <wp:posOffset>-1075055</wp:posOffset>
            </wp:positionH>
            <wp:positionV relativeFrom="paragraph">
              <wp:posOffset>184150</wp:posOffset>
            </wp:positionV>
            <wp:extent cx="836930" cy="2655570"/>
            <wp:effectExtent l="19050" t="0" r="1270"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l="2" r="3368" b="26192"/>
                    <a:stretch>
                      <a:fillRect/>
                    </a:stretch>
                  </pic:blipFill>
                  <pic:spPr bwMode="auto">
                    <a:xfrm>
                      <a:off x="0" y="0"/>
                      <a:ext cx="836930" cy="2655570"/>
                    </a:xfrm>
                    <a:prstGeom prst="rect">
                      <a:avLst/>
                    </a:prstGeom>
                    <a:noFill/>
                    <a:ln w="9525">
                      <a:noFill/>
                      <a:miter lim="800000"/>
                      <a:headEnd/>
                      <a:tailEnd/>
                    </a:ln>
                  </pic:spPr>
                </pic:pic>
              </a:graphicData>
            </a:graphic>
          </wp:anchor>
        </w:drawing>
      </w:r>
    </w:p>
    <w:p w:rsidR="00A76EDE" w:rsidRPr="00A34D05" w:rsidRDefault="00A76EDE" w:rsidP="00A458DC">
      <w:pPr>
        <w:widowControl w:val="0"/>
        <w:tabs>
          <w:tab w:val="left" w:pos="540"/>
          <w:tab w:val="left" w:pos="7938"/>
        </w:tabs>
        <w:ind w:right="283"/>
        <w:jc w:val="both"/>
        <w:rPr>
          <w:rFonts w:eastAsia="MS Mincho"/>
          <w:i/>
          <w:lang w:eastAsia="es-PE"/>
        </w:rPr>
      </w:pPr>
      <w:r w:rsidRPr="00A34D05">
        <w:t xml:space="preserve">De la revisión de la Consulta N° 2 del participante </w:t>
      </w:r>
      <w:r w:rsidRPr="00A34D05">
        <w:rPr>
          <w:rFonts w:eastAsia="MS Mincho"/>
          <w:lang w:eastAsia="es-PE"/>
        </w:rPr>
        <w:t xml:space="preserve">ASVITEL S.R.L. se advierte que el Comité Especial modificó de oficio el perfil del Jefe de Proyectos, señalando que se </w:t>
      </w:r>
      <w:r w:rsidR="00E55FDE" w:rsidRPr="00A34D05">
        <w:rPr>
          <w:rFonts w:eastAsia="MS Mincho"/>
          <w:lang w:eastAsia="es-PE"/>
        </w:rPr>
        <w:t xml:space="preserve">deberá </w:t>
      </w:r>
      <w:r w:rsidRPr="00A34D05">
        <w:rPr>
          <w:rFonts w:eastAsia="MS Mincho"/>
          <w:lang w:eastAsia="es-PE"/>
        </w:rPr>
        <w:t>acreditar</w:t>
      </w:r>
      <w:r w:rsidR="00E55FDE" w:rsidRPr="00A34D05">
        <w:rPr>
          <w:rFonts w:eastAsia="MS Mincho"/>
          <w:lang w:eastAsia="es-PE"/>
        </w:rPr>
        <w:t xml:space="preserve"> </w:t>
      </w:r>
      <w:r w:rsidR="00E55FDE" w:rsidRPr="00A34D05">
        <w:rPr>
          <w:rFonts w:eastAsia="MS Mincho"/>
          <w:i/>
          <w:lang w:eastAsia="es-PE"/>
        </w:rPr>
        <w:t>“Estudios concluidos en sistema de gestión de seguridad de la información”.</w:t>
      </w:r>
    </w:p>
    <w:p w:rsidR="00E55FDE" w:rsidRPr="00A34D05" w:rsidRDefault="00E55FDE" w:rsidP="00A458DC">
      <w:pPr>
        <w:widowControl w:val="0"/>
        <w:tabs>
          <w:tab w:val="left" w:pos="540"/>
          <w:tab w:val="left" w:pos="7938"/>
        </w:tabs>
        <w:ind w:right="283"/>
        <w:jc w:val="both"/>
        <w:rPr>
          <w:rFonts w:eastAsia="MS Mincho"/>
          <w:i/>
          <w:lang w:eastAsia="es-PE"/>
        </w:rPr>
      </w:pPr>
    </w:p>
    <w:p w:rsidR="00A76EDE" w:rsidRPr="00A34D05" w:rsidRDefault="00A26C4E" w:rsidP="00F25A04">
      <w:pPr>
        <w:widowControl w:val="0"/>
        <w:tabs>
          <w:tab w:val="left" w:pos="540"/>
          <w:tab w:val="left" w:pos="7938"/>
        </w:tabs>
        <w:ind w:right="283"/>
        <w:jc w:val="both"/>
      </w:pPr>
      <w:r w:rsidRPr="00A34D05">
        <w:t xml:space="preserve">En ese sentido, </w:t>
      </w:r>
      <w:r w:rsidR="001F6334">
        <w:t>considerando que incluir el referido requisito en esta etapa del proceso podría restringir la competencia al no haber</w:t>
      </w:r>
      <w:r w:rsidR="007454F4">
        <w:t>se</w:t>
      </w:r>
      <w:r w:rsidR="001F6334">
        <w:t xml:space="preserve"> considerado en el estudio de posibilidades que ofrece el mercado, deberá dejarse sin efecto la inclusión de dicho requisito en las Bases integradas</w:t>
      </w:r>
      <w:r w:rsidR="00046178">
        <w:t>.</w:t>
      </w:r>
    </w:p>
    <w:p w:rsidR="00340261" w:rsidRPr="00A34D05" w:rsidRDefault="00340261" w:rsidP="00A458DC">
      <w:pPr>
        <w:widowControl w:val="0"/>
        <w:tabs>
          <w:tab w:val="left" w:pos="540"/>
          <w:tab w:val="left" w:pos="7938"/>
        </w:tabs>
        <w:ind w:right="283"/>
        <w:jc w:val="both"/>
      </w:pPr>
    </w:p>
    <w:p w:rsidR="00E16290" w:rsidRPr="00A34D05" w:rsidRDefault="00E16290" w:rsidP="00A458DC">
      <w:pPr>
        <w:widowControl w:val="0"/>
        <w:numPr>
          <w:ilvl w:val="0"/>
          <w:numId w:val="1"/>
        </w:numPr>
        <w:tabs>
          <w:tab w:val="clear" w:pos="360"/>
          <w:tab w:val="num" w:pos="502"/>
          <w:tab w:val="left" w:pos="7938"/>
        </w:tabs>
        <w:ind w:left="567" w:right="283" w:hanging="567"/>
        <w:jc w:val="both"/>
        <w:rPr>
          <w:b/>
        </w:rPr>
      </w:pPr>
      <w:r w:rsidRPr="00A34D05">
        <w:rPr>
          <w:b/>
          <w:lang w:val="es-PE"/>
        </w:rPr>
        <w:t>CONCLUSIONES</w:t>
      </w:r>
    </w:p>
    <w:p w:rsidR="00E16290" w:rsidRPr="00A34D05" w:rsidRDefault="00E16290" w:rsidP="00A458DC">
      <w:pPr>
        <w:pStyle w:val="Prrafodelista"/>
        <w:widowControl w:val="0"/>
        <w:tabs>
          <w:tab w:val="left" w:pos="540"/>
          <w:tab w:val="left" w:pos="7938"/>
        </w:tabs>
        <w:ind w:left="0" w:right="283"/>
        <w:contextualSpacing/>
        <w:jc w:val="both"/>
        <w:rPr>
          <w:sz w:val="24"/>
          <w:szCs w:val="24"/>
          <w:lang w:val="es-PE"/>
        </w:rPr>
      </w:pPr>
    </w:p>
    <w:p w:rsidR="00A458DC" w:rsidRPr="00A34D05" w:rsidRDefault="00A458DC" w:rsidP="00A458DC">
      <w:pPr>
        <w:widowControl w:val="0"/>
        <w:ind w:right="283"/>
        <w:jc w:val="both"/>
        <w:rPr>
          <w:snapToGrid w:val="0"/>
        </w:rPr>
      </w:pPr>
      <w:r w:rsidRPr="00A34D05">
        <w:rPr>
          <w:snapToGrid w:val="0"/>
        </w:rPr>
        <w:t>En virtud de lo expuesto, este Organismo Supervisor ha dispuesto:</w:t>
      </w:r>
    </w:p>
    <w:p w:rsidR="00A458DC" w:rsidRPr="00A34D05" w:rsidRDefault="00A458DC" w:rsidP="00A458DC">
      <w:pPr>
        <w:widowControl w:val="0"/>
        <w:ind w:right="283"/>
        <w:jc w:val="both"/>
        <w:rPr>
          <w:snapToGrid w:val="0"/>
        </w:rPr>
      </w:pPr>
    </w:p>
    <w:p w:rsidR="00A458DC" w:rsidRPr="00A34D05" w:rsidRDefault="000D31E2" w:rsidP="00A458DC">
      <w:pPr>
        <w:widowControl w:val="0"/>
        <w:numPr>
          <w:ilvl w:val="1"/>
          <w:numId w:val="5"/>
        </w:numPr>
        <w:ind w:left="567" w:right="283" w:hanging="567"/>
        <w:jc w:val="both"/>
      </w:pPr>
      <w:r>
        <w:rPr>
          <w:noProof/>
          <w:lang w:val="es-PE" w:eastAsia="es-PE"/>
        </w:rPr>
        <w:drawing>
          <wp:anchor distT="0" distB="0" distL="114300" distR="114300" simplePos="0" relativeHeight="251667456" behindDoc="1" locked="0" layoutInCell="1" allowOverlap="1" wp14:anchorId="329FB1BB" wp14:editId="3372194B">
            <wp:simplePos x="0" y="0"/>
            <wp:positionH relativeFrom="page">
              <wp:posOffset>152400</wp:posOffset>
            </wp:positionH>
            <wp:positionV relativeFrom="paragraph">
              <wp:posOffset>153670</wp:posOffset>
            </wp:positionV>
            <wp:extent cx="960120" cy="990600"/>
            <wp:effectExtent l="0" t="0" r="0"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20000"/>
                    </a:blip>
                    <a:srcRect t="73276" r="4127"/>
                    <a:stretch>
                      <a:fillRect/>
                    </a:stretch>
                  </pic:blipFill>
                  <pic:spPr bwMode="auto">
                    <a:xfrm>
                      <a:off x="0" y="0"/>
                      <a:ext cx="960120" cy="990600"/>
                    </a:xfrm>
                    <a:prstGeom prst="rect">
                      <a:avLst/>
                    </a:prstGeom>
                    <a:noFill/>
                    <a:ln w="9525">
                      <a:noFill/>
                      <a:miter lim="800000"/>
                      <a:headEnd/>
                      <a:tailEnd/>
                    </a:ln>
                  </pic:spPr>
                </pic:pic>
              </a:graphicData>
            </a:graphic>
          </wp:anchor>
        </w:drawing>
      </w:r>
      <w:r w:rsidR="00A458DC" w:rsidRPr="00A34D05">
        <w:rPr>
          <w:snapToGrid w:val="0"/>
        </w:rPr>
        <w:t xml:space="preserve">El </w:t>
      </w:r>
      <w:r w:rsidR="00A458DC" w:rsidRPr="00A34D05">
        <w:t>Comité Especial deberá cumplir con lo dispuesto por este Organismo Supervisor al absolver las observaciones indicadas en el numeral 2 del presente Pronunciamiento.</w:t>
      </w:r>
    </w:p>
    <w:p w:rsidR="00A458DC" w:rsidRPr="00A34D05" w:rsidRDefault="00A458DC" w:rsidP="00A458DC">
      <w:pPr>
        <w:widowControl w:val="0"/>
        <w:ind w:left="567" w:right="283"/>
        <w:jc w:val="both"/>
      </w:pPr>
    </w:p>
    <w:p w:rsidR="00A458DC" w:rsidRPr="00A34D05" w:rsidRDefault="00A458DC" w:rsidP="00A458DC">
      <w:pPr>
        <w:widowControl w:val="0"/>
        <w:numPr>
          <w:ilvl w:val="1"/>
          <w:numId w:val="5"/>
        </w:numPr>
        <w:ind w:left="567" w:right="283" w:hanging="567"/>
        <w:jc w:val="both"/>
      </w:pPr>
      <w:r w:rsidRPr="00A34D05">
        <w:rPr>
          <w:iCs/>
        </w:rPr>
        <w:t>El Comité Especial deberá tener en cuenta lo indicado en el numeral 3 del presente Pronunciamiento a fin de efectuar las modificaciones a las Bases que hubiere a lugar, así como registrar en el SEACE la documentación solicitada.</w:t>
      </w:r>
    </w:p>
    <w:p w:rsidR="00A458DC" w:rsidRPr="00A34D05" w:rsidRDefault="00A458DC" w:rsidP="00A458DC">
      <w:pPr>
        <w:widowControl w:val="0"/>
        <w:ind w:left="567" w:right="283"/>
        <w:jc w:val="both"/>
      </w:pPr>
    </w:p>
    <w:p w:rsidR="00A458DC" w:rsidRPr="00A34D05" w:rsidRDefault="00A458DC" w:rsidP="00A458DC">
      <w:pPr>
        <w:widowControl w:val="0"/>
        <w:numPr>
          <w:ilvl w:val="1"/>
          <w:numId w:val="5"/>
        </w:numPr>
        <w:ind w:left="567" w:right="283" w:hanging="567"/>
        <w:jc w:val="both"/>
      </w:pPr>
      <w:r w:rsidRPr="00A34D05">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A458DC" w:rsidRPr="00A34D05" w:rsidRDefault="00A458DC" w:rsidP="00A458DC">
      <w:pPr>
        <w:widowControl w:val="0"/>
        <w:ind w:left="567" w:right="283"/>
        <w:jc w:val="both"/>
      </w:pPr>
    </w:p>
    <w:p w:rsidR="00A458DC" w:rsidRPr="00A34D05" w:rsidRDefault="00A458DC" w:rsidP="00A458DC">
      <w:pPr>
        <w:widowControl w:val="0"/>
        <w:numPr>
          <w:ilvl w:val="1"/>
          <w:numId w:val="5"/>
        </w:numPr>
        <w:ind w:left="567" w:right="283" w:hanging="567"/>
        <w:jc w:val="both"/>
      </w:pPr>
      <w:r w:rsidRPr="00A34D05">
        <w:rPr>
          <w:iCs/>
        </w:rPr>
        <w:t xml:space="preserve">Al momento de integrar las Bases el Comité Especial deberá modificar las fechas de registro de participantes, integración de Bases, presentación de propuestas y otorgamiento de la buena pro, para lo cual deberá considerar que, de conformidad </w:t>
      </w:r>
      <w:r w:rsidRPr="00A34D05">
        <w:rPr>
          <w:iCs/>
        </w:rPr>
        <w:lastRenderedPageBreak/>
        <w:t>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w:t>
      </w:r>
      <w:r w:rsidRPr="00A34D05">
        <w:t xml:space="preserve"> (1) día después de haber quedado integradas las Bases, y que, a tenor del artículo 24º del Reglamento, entre la integración de Bases y la presentación de propuestas </w:t>
      </w:r>
      <w:r w:rsidR="000D31E2">
        <w:rPr>
          <w:noProof/>
          <w:lang w:val="es-PE" w:eastAsia="es-PE"/>
        </w:rPr>
        <w:drawing>
          <wp:anchor distT="0" distB="0" distL="114300" distR="114300" simplePos="0" relativeHeight="251663360" behindDoc="0" locked="0" layoutInCell="1" allowOverlap="1" wp14:anchorId="58F555EB" wp14:editId="56EE09BD">
            <wp:simplePos x="0" y="0"/>
            <wp:positionH relativeFrom="leftMargin">
              <wp:posOffset>276225</wp:posOffset>
            </wp:positionH>
            <wp:positionV relativeFrom="paragraph">
              <wp:posOffset>1272540</wp:posOffset>
            </wp:positionV>
            <wp:extent cx="862330" cy="1763395"/>
            <wp:effectExtent l="0" t="0" r="0" b="8255"/>
            <wp:wrapNone/>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srcRect l="2" t="24673" r="366" b="26192"/>
                    <a:stretch>
                      <a:fillRect/>
                    </a:stretch>
                  </pic:blipFill>
                  <pic:spPr bwMode="auto">
                    <a:xfrm>
                      <a:off x="0" y="0"/>
                      <a:ext cx="862330" cy="1763395"/>
                    </a:xfrm>
                    <a:prstGeom prst="rect">
                      <a:avLst/>
                    </a:prstGeom>
                    <a:noFill/>
                    <a:ln w="9525">
                      <a:noFill/>
                      <a:miter lim="800000"/>
                      <a:headEnd/>
                      <a:tailEnd/>
                    </a:ln>
                  </pic:spPr>
                </pic:pic>
              </a:graphicData>
            </a:graphic>
          </wp:anchor>
        </w:drawing>
      </w:r>
      <w:r w:rsidRPr="00A34D05">
        <w:t>no podrá mediar menos de tres (3) días hábiles, computados a partir del día siguiente de la publicación de las Bases integradas en el SEACE.</w:t>
      </w:r>
    </w:p>
    <w:p w:rsidR="00A458DC" w:rsidRPr="00A34D05" w:rsidRDefault="00A458DC" w:rsidP="00A458DC">
      <w:pPr>
        <w:widowControl w:val="0"/>
        <w:ind w:left="567" w:right="283"/>
        <w:jc w:val="both"/>
      </w:pPr>
    </w:p>
    <w:p w:rsidR="00A458DC" w:rsidRPr="00A34D05" w:rsidRDefault="00A458DC" w:rsidP="00A458DC">
      <w:pPr>
        <w:widowControl w:val="0"/>
        <w:numPr>
          <w:ilvl w:val="1"/>
          <w:numId w:val="5"/>
        </w:numPr>
        <w:ind w:left="567" w:right="283" w:hanging="567"/>
        <w:jc w:val="both"/>
      </w:pPr>
      <w:r w:rsidRPr="00A34D05">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59º del Reglamento.</w:t>
      </w:r>
    </w:p>
    <w:p w:rsidR="00A458DC" w:rsidRPr="00A34D05" w:rsidRDefault="00A458DC" w:rsidP="00A458DC">
      <w:pPr>
        <w:widowControl w:val="0"/>
        <w:ind w:left="567" w:right="283"/>
        <w:jc w:val="both"/>
      </w:pPr>
    </w:p>
    <w:p w:rsidR="00A458DC" w:rsidRPr="00A34D05" w:rsidRDefault="000D31E2" w:rsidP="00A458DC">
      <w:pPr>
        <w:widowControl w:val="0"/>
        <w:numPr>
          <w:ilvl w:val="1"/>
          <w:numId w:val="5"/>
        </w:numPr>
        <w:ind w:left="567" w:right="283" w:hanging="567"/>
        <w:jc w:val="both"/>
        <w:rPr>
          <w:iCs/>
        </w:rPr>
      </w:pPr>
      <w:r>
        <w:rPr>
          <w:noProof/>
          <w:lang w:val="es-PE" w:eastAsia="es-PE"/>
        </w:rPr>
        <w:drawing>
          <wp:anchor distT="0" distB="0" distL="114300" distR="114300" simplePos="0" relativeHeight="251665408" behindDoc="1" locked="0" layoutInCell="1" allowOverlap="1" wp14:anchorId="649FBCBE" wp14:editId="5F18C48D">
            <wp:simplePos x="0" y="0"/>
            <wp:positionH relativeFrom="leftMargin">
              <wp:posOffset>229235</wp:posOffset>
            </wp:positionH>
            <wp:positionV relativeFrom="paragraph">
              <wp:posOffset>202565</wp:posOffset>
            </wp:positionV>
            <wp:extent cx="960120" cy="990600"/>
            <wp:effectExtent l="0" t="0" r="0" b="0"/>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contrast="20000"/>
                    </a:blip>
                    <a:srcRect t="73276" r="4127"/>
                    <a:stretch>
                      <a:fillRect/>
                    </a:stretch>
                  </pic:blipFill>
                  <pic:spPr bwMode="auto">
                    <a:xfrm>
                      <a:off x="0" y="0"/>
                      <a:ext cx="960120" cy="990600"/>
                    </a:xfrm>
                    <a:prstGeom prst="rect">
                      <a:avLst/>
                    </a:prstGeom>
                    <a:noFill/>
                    <a:ln w="9525">
                      <a:noFill/>
                      <a:miter lim="800000"/>
                      <a:headEnd/>
                      <a:tailEnd/>
                    </a:ln>
                  </pic:spPr>
                </pic:pic>
              </a:graphicData>
            </a:graphic>
          </wp:anchor>
        </w:drawing>
      </w:r>
      <w:r w:rsidR="00A458DC" w:rsidRPr="00A34D05">
        <w:rPr>
          <w:iCs/>
        </w:rPr>
        <w:t>Conforme al artículo 58° del Reglamento, compete exclusivamente al Comité Especial implementar estrictamente lo dispuesto por este Organismo Supervisor en el presente Pro</w:t>
      </w:r>
      <w:bookmarkStart w:id="0" w:name="_GoBack"/>
      <w:bookmarkEnd w:id="0"/>
      <w:r w:rsidR="00A458DC" w:rsidRPr="00A34D05">
        <w:rPr>
          <w:iCs/>
        </w:rPr>
        <w:t>nunciamiento, bajo responsabilidad, no pudiendo continuarse con el trámite del proceso en tanto las Bases no hayan sido integradas correctamente, bajo sanción de nulidad de todos los actos posteriores.</w:t>
      </w:r>
    </w:p>
    <w:p w:rsidR="00A458DC" w:rsidRPr="00A34D05" w:rsidRDefault="00A458DC" w:rsidP="00A458DC">
      <w:pPr>
        <w:widowControl w:val="0"/>
        <w:ind w:left="567" w:right="283"/>
        <w:jc w:val="both"/>
        <w:rPr>
          <w:iCs/>
        </w:rPr>
      </w:pPr>
    </w:p>
    <w:p w:rsidR="00A458DC" w:rsidRPr="00A34D05" w:rsidRDefault="00A458DC" w:rsidP="00A458DC">
      <w:pPr>
        <w:widowControl w:val="0"/>
        <w:numPr>
          <w:ilvl w:val="1"/>
          <w:numId w:val="5"/>
        </w:numPr>
        <w:ind w:left="567" w:right="283" w:hanging="567"/>
        <w:jc w:val="both"/>
        <w:rPr>
          <w:iCs/>
        </w:rPr>
      </w:pPr>
      <w:r w:rsidRPr="00A34D05">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458DC" w:rsidRPr="00A34D05" w:rsidRDefault="00A458DC" w:rsidP="00A458DC">
      <w:pPr>
        <w:widowControl w:val="0"/>
        <w:ind w:left="567" w:right="283"/>
        <w:jc w:val="both"/>
        <w:rPr>
          <w:iCs/>
        </w:rPr>
      </w:pPr>
    </w:p>
    <w:p w:rsidR="00A458DC" w:rsidRPr="00A34D05" w:rsidRDefault="00A458DC" w:rsidP="00A458DC">
      <w:pPr>
        <w:widowControl w:val="0"/>
        <w:ind w:left="3545" w:right="283" w:firstLine="709"/>
        <w:jc w:val="both"/>
      </w:pPr>
      <w:r w:rsidRPr="00A34D05">
        <w:t xml:space="preserve">        Jesús María, 27 de octubre de 2015.</w:t>
      </w:r>
    </w:p>
    <w:p w:rsidR="00A458DC" w:rsidRPr="00A34D05" w:rsidRDefault="00A458DC" w:rsidP="00A458DC">
      <w:pPr>
        <w:ind w:right="283"/>
      </w:pPr>
    </w:p>
    <w:p w:rsidR="00A458DC" w:rsidRPr="00A34D05" w:rsidRDefault="00A458DC" w:rsidP="00A458DC">
      <w:pPr>
        <w:ind w:right="283"/>
      </w:pPr>
    </w:p>
    <w:p w:rsidR="00A458DC" w:rsidRPr="00A34D05" w:rsidRDefault="00A458DC" w:rsidP="00A458DC">
      <w:pPr>
        <w:ind w:right="283"/>
      </w:pPr>
      <w:r w:rsidRPr="00A34D05">
        <w:t xml:space="preserve">Elaborado por: </w:t>
      </w:r>
      <w:r w:rsidRPr="00A34D05">
        <w:tab/>
      </w:r>
      <w:r w:rsidRPr="00A34D05">
        <w:tab/>
        <w:t>Cinthya Palomino Tudela</w:t>
      </w:r>
    </w:p>
    <w:p w:rsidR="00A458DC" w:rsidRPr="00A34D05" w:rsidRDefault="00A458DC" w:rsidP="00A458DC">
      <w:pPr>
        <w:ind w:right="283"/>
      </w:pPr>
      <w:r w:rsidRPr="00A34D05">
        <w:t xml:space="preserve">Supervisado por: </w:t>
      </w:r>
      <w:r w:rsidRPr="00A34D05">
        <w:tab/>
      </w:r>
      <w:r w:rsidRPr="00A34D05">
        <w:tab/>
      </w:r>
      <w:proofErr w:type="spellStart"/>
      <w:r w:rsidRPr="00A34D05">
        <w:t>Elissa</w:t>
      </w:r>
      <w:proofErr w:type="spellEnd"/>
      <w:r w:rsidRPr="00A34D05">
        <w:t xml:space="preserve"> </w:t>
      </w:r>
      <w:proofErr w:type="spellStart"/>
      <w:r w:rsidRPr="00A34D05">
        <w:t>Lacca</w:t>
      </w:r>
      <w:proofErr w:type="spellEnd"/>
      <w:r w:rsidRPr="00A34D05">
        <w:t xml:space="preserve"> Velasco</w:t>
      </w:r>
    </w:p>
    <w:p w:rsidR="00A458DC" w:rsidRPr="00A34D05" w:rsidRDefault="00A458DC" w:rsidP="00A458DC">
      <w:pPr>
        <w:ind w:right="283"/>
      </w:pPr>
      <w:r w:rsidRPr="00A34D05">
        <w:t>Validado por:</w:t>
      </w:r>
      <w:r w:rsidRPr="00A34D05">
        <w:tab/>
      </w:r>
      <w:r w:rsidRPr="00A34D05">
        <w:tab/>
      </w:r>
      <w:r w:rsidRPr="00A34D05">
        <w:tab/>
        <w:t xml:space="preserve">Laura </w:t>
      </w:r>
      <w:proofErr w:type="spellStart"/>
      <w:r w:rsidRPr="00A34D05">
        <w:t>Gutierrez</w:t>
      </w:r>
      <w:proofErr w:type="spellEnd"/>
      <w:r w:rsidRPr="00A34D05">
        <w:t xml:space="preserve"> Gonzales</w:t>
      </w:r>
      <w:r w:rsidRPr="00A34D05">
        <w:tab/>
      </w:r>
    </w:p>
    <w:p w:rsidR="00E16290" w:rsidRPr="00A34D05" w:rsidRDefault="00E16290" w:rsidP="00A458DC">
      <w:pPr>
        <w:widowControl w:val="0"/>
        <w:tabs>
          <w:tab w:val="left" w:pos="3293"/>
          <w:tab w:val="center" w:pos="4650"/>
        </w:tabs>
        <w:ind w:right="283"/>
        <w:rPr>
          <w:b/>
          <w:bCs/>
        </w:rPr>
      </w:pPr>
    </w:p>
    <w:p w:rsidR="00E16290" w:rsidRPr="00A34D05" w:rsidRDefault="00E16290" w:rsidP="00A458DC">
      <w:pPr>
        <w:widowControl w:val="0"/>
        <w:tabs>
          <w:tab w:val="left" w:pos="3293"/>
          <w:tab w:val="center" w:pos="4650"/>
        </w:tabs>
        <w:ind w:right="283"/>
        <w:rPr>
          <w:b/>
          <w:bCs/>
          <w:lang w:val="es-ES_tradnl"/>
        </w:rPr>
      </w:pPr>
    </w:p>
    <w:p w:rsidR="00E16290" w:rsidRPr="00A34D05" w:rsidRDefault="0074083D" w:rsidP="00A458DC">
      <w:pPr>
        <w:widowControl w:val="0"/>
        <w:tabs>
          <w:tab w:val="left" w:pos="3293"/>
          <w:tab w:val="center" w:pos="4650"/>
        </w:tabs>
        <w:ind w:right="283"/>
        <w:rPr>
          <w:b/>
          <w:bCs/>
          <w:lang w:val="es-ES_tradnl"/>
        </w:rPr>
      </w:pPr>
      <w:r w:rsidRPr="00A34D05">
        <w:rPr>
          <w:b/>
          <w:bCs/>
          <w:noProof/>
          <w:lang w:val="es-PE" w:eastAsia="es-PE"/>
        </w:rPr>
        <w:drawing>
          <wp:anchor distT="0" distB="0" distL="114300" distR="114300" simplePos="0" relativeHeight="251659264" behindDoc="1" locked="0" layoutInCell="1" allowOverlap="1" wp14:anchorId="62C8C63D" wp14:editId="4B6A0F5D">
            <wp:simplePos x="0" y="0"/>
            <wp:positionH relativeFrom="column">
              <wp:posOffset>1166495</wp:posOffset>
            </wp:positionH>
            <wp:positionV relativeFrom="paragraph">
              <wp:posOffset>33460</wp:posOffset>
            </wp:positionV>
            <wp:extent cx="2416629" cy="935990"/>
            <wp:effectExtent l="0" t="0" r="317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extLst>
                        <a:ext uri="{28A0092B-C50C-407E-A947-70E740481C1C}">
                          <a14:useLocalDpi xmlns:a14="http://schemas.microsoft.com/office/drawing/2010/main" val="0"/>
                        </a:ext>
                      </a:extLst>
                    </a:blip>
                    <a:srcRect t="5208" r="7138" b="15625"/>
                    <a:stretch>
                      <a:fillRect/>
                    </a:stretch>
                  </pic:blipFill>
                  <pic:spPr bwMode="auto">
                    <a:xfrm>
                      <a:off x="0" y="0"/>
                      <a:ext cx="2416629" cy="935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6290" w:rsidRPr="00A34D05" w:rsidRDefault="00E16290" w:rsidP="00A458DC">
      <w:pPr>
        <w:widowControl w:val="0"/>
        <w:tabs>
          <w:tab w:val="left" w:pos="3293"/>
          <w:tab w:val="center" w:pos="4650"/>
        </w:tabs>
        <w:ind w:right="283"/>
        <w:rPr>
          <w:b/>
          <w:bCs/>
          <w:lang w:val="es-ES_tradnl"/>
        </w:rPr>
      </w:pPr>
    </w:p>
    <w:p w:rsidR="00E16290" w:rsidRPr="00A34D05" w:rsidRDefault="00E16290" w:rsidP="00A458DC">
      <w:pPr>
        <w:ind w:right="283"/>
      </w:pPr>
    </w:p>
    <w:p w:rsidR="00E16290" w:rsidRPr="00A34D05" w:rsidRDefault="00E16290" w:rsidP="00A458DC">
      <w:pPr>
        <w:ind w:right="283"/>
      </w:pPr>
    </w:p>
    <w:p w:rsidR="00E16290" w:rsidRPr="00A34D05" w:rsidRDefault="00E16290" w:rsidP="00A458DC">
      <w:pPr>
        <w:ind w:right="283"/>
      </w:pPr>
    </w:p>
    <w:tbl>
      <w:tblPr>
        <w:tblW w:w="0" w:type="auto"/>
        <w:tblCellMar>
          <w:left w:w="0" w:type="dxa"/>
          <w:right w:w="0" w:type="dxa"/>
        </w:tblCellMar>
        <w:tblLook w:val="0000" w:firstRow="0" w:lastRow="0" w:firstColumn="0" w:lastColumn="0" w:noHBand="0" w:noVBand="0"/>
      </w:tblPr>
      <w:tblGrid>
        <w:gridCol w:w="6"/>
      </w:tblGrid>
      <w:tr w:rsidR="00E16290" w:rsidRPr="00A34D05" w:rsidTr="002E511C">
        <w:tc>
          <w:tcPr>
            <w:tcW w:w="0" w:type="auto"/>
            <w:tcBorders>
              <w:top w:val="nil"/>
              <w:left w:val="nil"/>
              <w:bottom w:val="nil"/>
              <w:right w:val="nil"/>
            </w:tcBorders>
          </w:tcPr>
          <w:p w:rsidR="00E16290" w:rsidRPr="00A34D05" w:rsidRDefault="00E16290" w:rsidP="00A458DC">
            <w:pPr>
              <w:ind w:right="283"/>
              <w:rPr>
                <w:i/>
              </w:rPr>
            </w:pPr>
          </w:p>
        </w:tc>
      </w:tr>
    </w:tbl>
    <w:p w:rsidR="00134428" w:rsidRPr="00A34D05" w:rsidRDefault="00134428" w:rsidP="006749BA">
      <w:pPr>
        <w:ind w:right="283"/>
      </w:pPr>
    </w:p>
    <w:sectPr w:rsidR="00134428" w:rsidRPr="00A34D05" w:rsidSect="00A458DC">
      <w:headerReference w:type="default" r:id="rId11"/>
      <w:pgSz w:w="12240" w:h="15840"/>
      <w:pgMar w:top="1588" w:right="1701" w:bottom="158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83D" w:rsidRDefault="0074083D" w:rsidP="0074083D">
      <w:r>
        <w:separator/>
      </w:r>
    </w:p>
  </w:endnote>
  <w:endnote w:type="continuationSeparator" w:id="0">
    <w:p w:rsidR="0074083D" w:rsidRDefault="0074083D" w:rsidP="0074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83D" w:rsidRDefault="0074083D" w:rsidP="0074083D">
      <w:r>
        <w:separator/>
      </w:r>
    </w:p>
  </w:footnote>
  <w:footnote w:type="continuationSeparator" w:id="0">
    <w:p w:rsidR="0074083D" w:rsidRDefault="0074083D" w:rsidP="00740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895885"/>
      <w:docPartObj>
        <w:docPartGallery w:val="Page Numbers (Top of Page)"/>
        <w:docPartUnique/>
      </w:docPartObj>
    </w:sdtPr>
    <w:sdtEndPr/>
    <w:sdtContent>
      <w:p w:rsidR="0074083D" w:rsidRDefault="0074083D">
        <w:pPr>
          <w:pStyle w:val="Encabezado"/>
          <w:jc w:val="center"/>
        </w:pPr>
        <w:r>
          <w:fldChar w:fldCharType="begin"/>
        </w:r>
        <w:r>
          <w:instrText>PAGE   \* MERGEFORMAT</w:instrText>
        </w:r>
        <w:r>
          <w:fldChar w:fldCharType="separate"/>
        </w:r>
        <w:r w:rsidR="000D31E2" w:rsidRPr="000D31E2">
          <w:rPr>
            <w:noProof/>
            <w:lang w:val="es-ES"/>
          </w:rPr>
          <w:t>6</w:t>
        </w:r>
        <w:r>
          <w:fldChar w:fldCharType="end"/>
        </w:r>
      </w:p>
    </w:sdtContent>
  </w:sdt>
  <w:p w:rsidR="0074083D" w:rsidRDefault="007408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7E0B1E"/>
    <w:multiLevelType w:val="hybridMultilevel"/>
    <w:tmpl w:val="BA388902"/>
    <w:lvl w:ilvl="0" w:tplc="3EF81D76">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
    <w:nsid w:val="5C7F4890"/>
    <w:multiLevelType w:val="multilevel"/>
    <w:tmpl w:val="FAA6700E"/>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2AA451D"/>
    <w:multiLevelType w:val="multilevel"/>
    <w:tmpl w:val="E56ABE4A"/>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737A5084"/>
    <w:multiLevelType w:val="hybridMultilevel"/>
    <w:tmpl w:val="2722B71E"/>
    <w:lvl w:ilvl="0" w:tplc="280A0001">
      <w:start w:val="1"/>
      <w:numFmt w:val="bullet"/>
      <w:lvlText w:val=""/>
      <w:lvlJc w:val="left"/>
      <w:pPr>
        <w:ind w:left="1068" w:hanging="360"/>
      </w:pPr>
      <w:rPr>
        <w:rFonts w:ascii="Symbol" w:hAnsi="Symbol" w:hint="default"/>
        <w:b w:val="0"/>
      </w:rPr>
    </w:lvl>
    <w:lvl w:ilvl="1" w:tplc="0C0A0019">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num w:numId="1">
    <w:abstractNumId w:val="1"/>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290"/>
    <w:rsid w:val="000279D5"/>
    <w:rsid w:val="00046178"/>
    <w:rsid w:val="00095C3A"/>
    <w:rsid w:val="000A75D3"/>
    <w:rsid w:val="000D31E2"/>
    <w:rsid w:val="00134428"/>
    <w:rsid w:val="001B22D5"/>
    <w:rsid w:val="001F6334"/>
    <w:rsid w:val="0021063B"/>
    <w:rsid w:val="00340261"/>
    <w:rsid w:val="00363455"/>
    <w:rsid w:val="00375054"/>
    <w:rsid w:val="00477AC2"/>
    <w:rsid w:val="0052151C"/>
    <w:rsid w:val="005E20D4"/>
    <w:rsid w:val="00604AC8"/>
    <w:rsid w:val="006749BA"/>
    <w:rsid w:val="006C3291"/>
    <w:rsid w:val="006C5226"/>
    <w:rsid w:val="0074083D"/>
    <w:rsid w:val="007454F4"/>
    <w:rsid w:val="0076053D"/>
    <w:rsid w:val="007C4079"/>
    <w:rsid w:val="007C6969"/>
    <w:rsid w:val="007D4EB2"/>
    <w:rsid w:val="007E487F"/>
    <w:rsid w:val="009B1E3A"/>
    <w:rsid w:val="00A26C4E"/>
    <w:rsid w:val="00A34D05"/>
    <w:rsid w:val="00A458DC"/>
    <w:rsid w:val="00A76EDE"/>
    <w:rsid w:val="00BA0391"/>
    <w:rsid w:val="00BB1250"/>
    <w:rsid w:val="00CC23B2"/>
    <w:rsid w:val="00D57296"/>
    <w:rsid w:val="00E16290"/>
    <w:rsid w:val="00E55FDE"/>
    <w:rsid w:val="00E86F58"/>
    <w:rsid w:val="00ED4DC3"/>
    <w:rsid w:val="00F25A04"/>
    <w:rsid w:val="00F35EB0"/>
    <w:rsid w:val="00FA3874"/>
    <w:rsid w:val="00FE0D5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5DECFA-56CF-475B-929D-0A209245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290"/>
    <w:pPr>
      <w:spacing w:after="0" w:line="240" w:lineRule="auto"/>
    </w:pPr>
    <w:rPr>
      <w:rFonts w:ascii="Times New Roman" w:eastAsia="Times New Roman" w:hAnsi="Times New Roman" w:cs="Times New Roman"/>
      <w:sz w:val="24"/>
      <w:szCs w:val="24"/>
      <w:lang w:val="es-MX" w:eastAsia="es-MX"/>
    </w:rPr>
  </w:style>
  <w:style w:type="paragraph" w:styleId="Ttulo8">
    <w:name w:val="heading 8"/>
    <w:basedOn w:val="Normal"/>
    <w:next w:val="Normal"/>
    <w:link w:val="Ttulo8Car"/>
    <w:qFormat/>
    <w:rsid w:val="00375054"/>
    <w:pPr>
      <w:spacing w:before="240" w:after="60"/>
      <w:outlineLvl w:val="7"/>
    </w:pPr>
    <w:rPr>
      <w:rFonts w:ascii="Calibri" w:hAnsi="Calibri"/>
      <w:i/>
      <w:iCs/>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E16290"/>
    <w:pPr>
      <w:jc w:val="both"/>
    </w:pPr>
    <w:rPr>
      <w:rFonts w:ascii="Arial" w:hAnsi="Arial"/>
      <w:snapToGrid w:val="0"/>
      <w:lang w:val="es-ES"/>
    </w:rPr>
  </w:style>
  <w:style w:type="paragraph" w:customStyle="1" w:styleId="WW-Sangra3detindependiente">
    <w:name w:val="WW-Sangría 3 de t. independiente"/>
    <w:basedOn w:val="Normal"/>
    <w:rsid w:val="00E16290"/>
    <w:pPr>
      <w:widowControl w:val="0"/>
      <w:suppressAutoHyphens/>
      <w:ind w:left="426" w:firstLine="1"/>
      <w:jc w:val="both"/>
    </w:pPr>
    <w:rPr>
      <w:szCs w:val="20"/>
      <w:lang w:val="es-ES_tradnl"/>
    </w:rPr>
  </w:style>
  <w:style w:type="paragraph" w:styleId="Prrafodelista">
    <w:name w:val="List Paragraph"/>
    <w:aliases w:val="Titulo de Fígura,TITULO A,TITULO,Imagen 01.,Titulo parrafo,Punto,Párrafo de lista2,Párrafo de lista4,Párrafo de lista21,Párrafo de lista1"/>
    <w:basedOn w:val="Normal"/>
    <w:link w:val="PrrafodelistaCar"/>
    <w:uiPriority w:val="34"/>
    <w:qFormat/>
    <w:rsid w:val="00E16290"/>
    <w:pPr>
      <w:ind w:left="708"/>
    </w:pPr>
    <w:rPr>
      <w:rFonts w:eastAsia="MS Mincho"/>
      <w:sz w:val="20"/>
      <w:szCs w:val="20"/>
      <w:lang w:val="es-ES"/>
    </w:rPr>
  </w:style>
  <w:style w:type="character" w:customStyle="1" w:styleId="PrrafodelistaCar">
    <w:name w:val="Párrafo de lista Car"/>
    <w:aliases w:val="Titulo de Fígura Car,TITULO A Car,TITULO Car,Imagen 01. Car,Titulo parrafo Car,Punto Car,Párrafo de lista2 Car,Párrafo de lista4 Car,Párrafo de lista21 Car,Párrafo de lista1 Car"/>
    <w:link w:val="Prrafodelista"/>
    <w:uiPriority w:val="34"/>
    <w:locked/>
    <w:rsid w:val="00E16290"/>
    <w:rPr>
      <w:rFonts w:ascii="Times New Roman" w:eastAsia="MS Mincho" w:hAnsi="Times New Roman" w:cs="Times New Roman"/>
      <w:sz w:val="20"/>
      <w:szCs w:val="20"/>
      <w:lang w:val="es-ES" w:eastAsia="es-MX"/>
    </w:rPr>
  </w:style>
  <w:style w:type="paragraph" w:styleId="Sinespaciado">
    <w:name w:val="No Spacing"/>
    <w:basedOn w:val="Normal"/>
    <w:uiPriority w:val="1"/>
    <w:qFormat/>
    <w:rsid w:val="00E16290"/>
    <w:rPr>
      <w:rFonts w:ascii="Perpetua" w:eastAsia="Batang" w:hAnsi="Perpetua"/>
      <w:color w:val="000000"/>
      <w:sz w:val="22"/>
      <w:szCs w:val="20"/>
      <w:lang w:val="es-PE" w:eastAsia="es-PE"/>
    </w:rPr>
  </w:style>
  <w:style w:type="paragraph" w:styleId="Encabezado">
    <w:name w:val="header"/>
    <w:basedOn w:val="Normal"/>
    <w:link w:val="EncabezadoCar"/>
    <w:uiPriority w:val="99"/>
    <w:unhideWhenUsed/>
    <w:rsid w:val="005E20D4"/>
    <w:pPr>
      <w:tabs>
        <w:tab w:val="center" w:pos="4252"/>
        <w:tab w:val="right" w:pos="8504"/>
      </w:tabs>
      <w:spacing w:after="200" w:line="276" w:lineRule="auto"/>
    </w:pPr>
    <w:rPr>
      <w:rFonts w:ascii="Calibri" w:eastAsia="Calibri" w:hAnsi="Calibri"/>
      <w:sz w:val="20"/>
      <w:szCs w:val="20"/>
      <w:lang w:val="es-PE" w:eastAsia="en-US"/>
    </w:rPr>
  </w:style>
  <w:style w:type="character" w:customStyle="1" w:styleId="EncabezadoCar">
    <w:name w:val="Encabezado Car"/>
    <w:basedOn w:val="Fuentedeprrafopredeter"/>
    <w:link w:val="Encabezado"/>
    <w:uiPriority w:val="99"/>
    <w:rsid w:val="005E20D4"/>
    <w:rPr>
      <w:rFonts w:ascii="Calibri" w:eastAsia="Calibri" w:hAnsi="Calibri" w:cs="Times New Roman"/>
      <w:sz w:val="20"/>
      <w:szCs w:val="20"/>
    </w:rPr>
  </w:style>
  <w:style w:type="paragraph" w:customStyle="1" w:styleId="Default">
    <w:name w:val="Default"/>
    <w:rsid w:val="005E20D4"/>
    <w:pPr>
      <w:autoSpaceDE w:val="0"/>
      <w:autoSpaceDN w:val="0"/>
      <w:adjustRightInd w:val="0"/>
      <w:spacing w:after="0" w:line="240" w:lineRule="auto"/>
    </w:pPr>
    <w:rPr>
      <w:rFonts w:ascii="Arial" w:eastAsia="Calibri" w:hAnsi="Arial" w:cs="Arial"/>
      <w:color w:val="000000"/>
      <w:sz w:val="24"/>
      <w:szCs w:val="24"/>
    </w:rPr>
  </w:style>
  <w:style w:type="paragraph" w:styleId="Sangradetextonormal">
    <w:name w:val="Body Text Indent"/>
    <w:basedOn w:val="Normal"/>
    <w:link w:val="SangradetextonormalCar"/>
    <w:uiPriority w:val="99"/>
    <w:unhideWhenUsed/>
    <w:rsid w:val="007C4079"/>
    <w:pPr>
      <w:spacing w:after="120" w:line="259" w:lineRule="auto"/>
      <w:ind w:left="283"/>
    </w:pPr>
    <w:rPr>
      <w:rFonts w:ascii="Calibri" w:eastAsia="Calibri" w:hAnsi="Calibri"/>
      <w:sz w:val="22"/>
      <w:szCs w:val="22"/>
      <w:lang w:val="es-PE" w:eastAsia="en-US"/>
    </w:rPr>
  </w:style>
  <w:style w:type="character" w:customStyle="1" w:styleId="SangradetextonormalCar">
    <w:name w:val="Sangría de texto normal Car"/>
    <w:basedOn w:val="Fuentedeprrafopredeter"/>
    <w:link w:val="Sangradetextonormal"/>
    <w:uiPriority w:val="99"/>
    <w:rsid w:val="007C4079"/>
    <w:rPr>
      <w:rFonts w:ascii="Calibri" w:eastAsia="Calibri" w:hAnsi="Calibri" w:cs="Times New Roman"/>
    </w:rPr>
  </w:style>
  <w:style w:type="paragraph" w:styleId="NormalWeb">
    <w:name w:val="Normal (Web)"/>
    <w:basedOn w:val="Normal"/>
    <w:unhideWhenUsed/>
    <w:rsid w:val="00D57296"/>
    <w:pPr>
      <w:spacing w:before="100" w:beforeAutospacing="1" w:after="100" w:afterAutospacing="1"/>
    </w:pPr>
    <w:rPr>
      <w:lang w:val="es-ES" w:eastAsia="es-ES"/>
    </w:rPr>
  </w:style>
  <w:style w:type="paragraph" w:styleId="Textoindependiente2">
    <w:name w:val="Body Text 2"/>
    <w:basedOn w:val="Normal"/>
    <w:link w:val="Textoindependiente2Car"/>
    <w:uiPriority w:val="99"/>
    <w:semiHidden/>
    <w:unhideWhenUsed/>
    <w:rsid w:val="00340261"/>
    <w:pPr>
      <w:spacing w:after="120" w:line="480" w:lineRule="auto"/>
    </w:pPr>
  </w:style>
  <w:style w:type="character" w:customStyle="1" w:styleId="Textoindependiente2Car">
    <w:name w:val="Texto independiente 2 Car"/>
    <w:basedOn w:val="Fuentedeprrafopredeter"/>
    <w:link w:val="Textoindependiente2"/>
    <w:uiPriority w:val="99"/>
    <w:semiHidden/>
    <w:rsid w:val="00340261"/>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74083D"/>
    <w:pPr>
      <w:tabs>
        <w:tab w:val="center" w:pos="4419"/>
        <w:tab w:val="right" w:pos="8838"/>
      </w:tabs>
    </w:pPr>
  </w:style>
  <w:style w:type="character" w:customStyle="1" w:styleId="PiedepginaCar">
    <w:name w:val="Pie de página Car"/>
    <w:basedOn w:val="Fuentedeprrafopredeter"/>
    <w:link w:val="Piedepgina"/>
    <w:uiPriority w:val="99"/>
    <w:rsid w:val="0074083D"/>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37505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75054"/>
    <w:rPr>
      <w:rFonts w:ascii="Segoe UI" w:eastAsia="Times New Roman" w:hAnsi="Segoe UI" w:cs="Segoe UI"/>
      <w:sz w:val="18"/>
      <w:szCs w:val="18"/>
      <w:lang w:val="es-MX" w:eastAsia="es-MX"/>
    </w:rPr>
  </w:style>
  <w:style w:type="character" w:customStyle="1" w:styleId="Ttulo8Car">
    <w:name w:val="Título 8 Car"/>
    <w:basedOn w:val="Fuentedeprrafopredeter"/>
    <w:link w:val="Ttulo8"/>
    <w:rsid w:val="00375054"/>
    <w:rPr>
      <w:rFonts w:ascii="Calibri" w:eastAsia="Times New Roman" w:hAnsi="Calibri" w:cs="Times New Roman"/>
      <w:i/>
      <w:iCs/>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6</Pages>
  <Words>2071</Words>
  <Characters>11393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Cinthya Milagros Palomino Tudela</dc:creator>
  <cp:keywords/>
  <dc:description/>
  <cp:lastModifiedBy>Cinthya Milagros Palomino Tudela</cp:lastModifiedBy>
  <cp:revision>28</cp:revision>
  <cp:lastPrinted>2015-10-28T01:31:00Z</cp:lastPrinted>
  <dcterms:created xsi:type="dcterms:W3CDTF">2015-10-27T00:32:00Z</dcterms:created>
  <dcterms:modified xsi:type="dcterms:W3CDTF">2015-11-04T17:32:00Z</dcterms:modified>
</cp:coreProperties>
</file>