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0B7" w:rsidRPr="00730620" w:rsidRDefault="004D40B7" w:rsidP="004D40B7">
      <w:pPr>
        <w:widowControl w:val="0"/>
        <w:jc w:val="center"/>
        <w:rPr>
          <w:b/>
          <w:u w:val="single"/>
        </w:rPr>
      </w:pPr>
      <w:r w:rsidRPr="00730620">
        <w:rPr>
          <w:b/>
          <w:u w:val="single"/>
        </w:rPr>
        <w:t xml:space="preserve">PRONUNCIAMIENTO N° </w:t>
      </w:r>
      <w:r w:rsidR="00A713C8">
        <w:rPr>
          <w:b/>
          <w:u w:val="single"/>
        </w:rPr>
        <w:t>1807</w:t>
      </w:r>
      <w:bookmarkStart w:id="0" w:name="_GoBack"/>
      <w:bookmarkEnd w:id="0"/>
      <w:r w:rsidRPr="00730620">
        <w:rPr>
          <w:b/>
          <w:u w:val="single"/>
        </w:rPr>
        <w:t>-2015/DSU</w:t>
      </w:r>
    </w:p>
    <w:p w:rsidR="004D40B7" w:rsidRPr="00730620" w:rsidRDefault="004D40B7" w:rsidP="004D40B7">
      <w:pPr>
        <w:widowControl w:val="0"/>
        <w:ind w:left="2880" w:hanging="2880"/>
        <w:jc w:val="both"/>
      </w:pPr>
    </w:p>
    <w:p w:rsidR="004D40B7" w:rsidRPr="00730620" w:rsidRDefault="004D40B7" w:rsidP="004D40B7">
      <w:pPr>
        <w:widowControl w:val="0"/>
        <w:ind w:left="2835" w:hanging="2835"/>
        <w:jc w:val="both"/>
        <w:rPr>
          <w:lang w:val="es-ES_tradnl"/>
        </w:rPr>
      </w:pPr>
      <w:r w:rsidRPr="00730620">
        <w:t>Entidad:</w:t>
      </w:r>
      <w:r w:rsidRPr="00730620">
        <w:tab/>
      </w:r>
      <w:r w:rsidR="00481AF7">
        <w:t xml:space="preserve">MTC - </w:t>
      </w:r>
      <w:r w:rsidR="00C24DE4">
        <w:t>Proyecto Especial de Infraestructura de Transporte Nacional (Prov</w:t>
      </w:r>
      <w:r w:rsidR="00481AF7">
        <w:t>i</w:t>
      </w:r>
      <w:r w:rsidR="00C24DE4">
        <w:t>as Nacional)</w:t>
      </w:r>
    </w:p>
    <w:p w:rsidR="004D40B7" w:rsidRPr="00730620" w:rsidRDefault="004D40B7" w:rsidP="004D40B7">
      <w:pPr>
        <w:widowControl w:val="0"/>
        <w:jc w:val="both"/>
        <w:rPr>
          <w:lang w:val="es-ES_tradnl"/>
        </w:rPr>
      </w:pPr>
    </w:p>
    <w:p w:rsidR="004D40B7" w:rsidRPr="00730620" w:rsidRDefault="004D40B7" w:rsidP="004D40B7">
      <w:pPr>
        <w:widowControl w:val="0"/>
        <w:ind w:left="2835" w:hanging="2835"/>
        <w:jc w:val="both"/>
        <w:rPr>
          <w:lang w:val="es-ES_tradnl"/>
        </w:rPr>
      </w:pPr>
      <w:r w:rsidRPr="00730620">
        <w:rPr>
          <w:lang w:val="es-ES_tradnl"/>
        </w:rPr>
        <w:t>Ref</w:t>
      </w:r>
      <w:r w:rsidR="00C24DE4">
        <w:rPr>
          <w:lang w:val="es-ES_tradnl"/>
        </w:rPr>
        <w:t>erencia:</w:t>
      </w:r>
      <w:r w:rsidR="00C24DE4">
        <w:rPr>
          <w:lang w:val="es-ES_tradnl"/>
        </w:rPr>
        <w:tab/>
        <w:t>Licitación Pública Nº 1</w:t>
      </w:r>
      <w:r w:rsidRPr="00730620">
        <w:rPr>
          <w:lang w:val="es-ES_tradnl"/>
        </w:rPr>
        <w:t>-2015-</w:t>
      </w:r>
      <w:r w:rsidR="00C24DE4">
        <w:rPr>
          <w:lang w:val="es-ES_tradnl"/>
        </w:rPr>
        <w:t>MTC</w:t>
      </w:r>
      <w:r w:rsidR="004C43CE">
        <w:rPr>
          <w:lang w:val="es-ES_tradnl"/>
        </w:rPr>
        <w:t>/20</w:t>
      </w:r>
      <w:r w:rsidRPr="00730620">
        <w:rPr>
          <w:lang w:val="es-ES_tradnl"/>
        </w:rPr>
        <w:t xml:space="preserve">-1 convocada para </w:t>
      </w:r>
      <w:r w:rsidR="00B41FDF">
        <w:rPr>
          <w:lang w:val="es-ES_tradnl"/>
        </w:rPr>
        <w:t xml:space="preserve">la ejecución de la </w:t>
      </w:r>
      <w:r w:rsidR="00481AF7">
        <w:rPr>
          <w:lang w:val="es-ES_tradnl"/>
        </w:rPr>
        <w:t>o</w:t>
      </w:r>
      <w:r w:rsidR="00B41FDF">
        <w:rPr>
          <w:lang w:val="es-ES_tradnl"/>
        </w:rPr>
        <w:t>bra</w:t>
      </w:r>
      <w:r w:rsidRPr="00730620">
        <w:rPr>
          <w:lang w:val="es-ES_tradnl"/>
        </w:rPr>
        <w:t xml:space="preserve"> “</w:t>
      </w:r>
      <w:r w:rsidR="00B41FDF">
        <w:rPr>
          <w:lang w:val="es-ES_tradnl"/>
        </w:rPr>
        <w:t>Construcción de los puentes</w:t>
      </w:r>
      <w:r w:rsidR="00481AF7">
        <w:rPr>
          <w:lang w:val="es-ES_tradnl"/>
        </w:rPr>
        <w:t>:</w:t>
      </w:r>
      <w:r w:rsidR="00B41FDF">
        <w:rPr>
          <w:lang w:val="es-ES_tradnl"/>
        </w:rPr>
        <w:t xml:space="preserve"> Héroes de</w:t>
      </w:r>
      <w:r w:rsidR="00481AF7">
        <w:rPr>
          <w:lang w:val="es-ES_tradnl"/>
        </w:rPr>
        <w:t>l</w:t>
      </w:r>
      <w:r w:rsidR="00B41FDF">
        <w:rPr>
          <w:lang w:val="es-ES_tradnl"/>
        </w:rPr>
        <w:t xml:space="preserve"> Cenepa y accesos; El Abejal y accesos y Pontón 1217 y accesos</w:t>
      </w:r>
      <w:r w:rsidRPr="00730620">
        <w:rPr>
          <w:lang w:val="es-ES_tradnl"/>
        </w:rPr>
        <w:t>”</w:t>
      </w:r>
      <w:r w:rsidR="001808F1">
        <w:rPr>
          <w:lang w:val="es-ES_tradnl"/>
        </w:rPr>
        <w:t>.</w:t>
      </w:r>
    </w:p>
    <w:p w:rsidR="004D40B7" w:rsidRPr="00730620" w:rsidRDefault="004D40B7" w:rsidP="004D40B7">
      <w:pPr>
        <w:widowControl w:val="0"/>
        <w:pBdr>
          <w:bottom w:val="single" w:sz="6" w:space="1" w:color="auto"/>
        </w:pBdr>
        <w:jc w:val="both"/>
      </w:pPr>
    </w:p>
    <w:p w:rsidR="004D40B7" w:rsidRPr="00730620" w:rsidRDefault="004D40B7" w:rsidP="004D40B7">
      <w:pPr>
        <w:widowControl w:val="0"/>
        <w:jc w:val="both"/>
      </w:pPr>
    </w:p>
    <w:p w:rsidR="004D40B7" w:rsidRDefault="004D40B7" w:rsidP="004D40B7">
      <w:pPr>
        <w:widowControl w:val="0"/>
        <w:numPr>
          <w:ilvl w:val="0"/>
          <w:numId w:val="1"/>
        </w:numPr>
        <w:ind w:left="567" w:hanging="567"/>
        <w:jc w:val="both"/>
        <w:rPr>
          <w:b/>
        </w:rPr>
      </w:pPr>
      <w:r w:rsidRPr="00730620">
        <w:rPr>
          <w:b/>
        </w:rPr>
        <w:t>ANTECEDENTES</w:t>
      </w:r>
    </w:p>
    <w:p w:rsidR="004D40B7" w:rsidRPr="004D40B7" w:rsidRDefault="004D40B7" w:rsidP="00527730">
      <w:pPr>
        <w:widowControl w:val="0"/>
        <w:jc w:val="both"/>
        <w:rPr>
          <w:b/>
          <w:lang w:val="es-PE"/>
        </w:rPr>
      </w:pPr>
    </w:p>
    <w:p w:rsidR="004D40B7" w:rsidRPr="00527730" w:rsidRDefault="004D40B7" w:rsidP="00527730">
      <w:pPr>
        <w:widowControl w:val="0"/>
        <w:jc w:val="both"/>
        <w:rPr>
          <w:b/>
          <w:color w:val="000000"/>
          <w:shd w:val="clear" w:color="auto" w:fill="FFFFFF"/>
          <w:lang w:val="es-PE"/>
        </w:rPr>
      </w:pPr>
      <w:r w:rsidRPr="00730620">
        <w:rPr>
          <w:lang w:val="es-PE" w:eastAsia="es-ES"/>
        </w:rPr>
        <w:t xml:space="preserve">Mediante Oficio Nº </w:t>
      </w:r>
      <w:r w:rsidRPr="00730620">
        <w:rPr>
          <w:rFonts w:eastAsia="MS Mincho"/>
          <w:lang w:eastAsia="es-ES"/>
        </w:rPr>
        <w:t>001-2015-</w:t>
      </w:r>
      <w:r w:rsidR="00B41FDF">
        <w:rPr>
          <w:rFonts w:eastAsia="MS Mincho"/>
          <w:lang w:eastAsia="es-ES"/>
        </w:rPr>
        <w:t xml:space="preserve">MTC/LP001-2015-MTC/20 </w:t>
      </w:r>
      <w:r w:rsidRPr="00730620">
        <w:rPr>
          <w:rFonts w:eastAsia="MS Mincho"/>
          <w:lang w:eastAsia="es-ES"/>
        </w:rPr>
        <w:t xml:space="preserve">recibido el </w:t>
      </w:r>
      <w:r w:rsidR="00B41FDF">
        <w:rPr>
          <w:rFonts w:eastAsia="MS Mincho"/>
          <w:lang w:eastAsia="es-ES"/>
        </w:rPr>
        <w:t>11.12</w:t>
      </w:r>
      <w:r w:rsidRPr="00730620">
        <w:rPr>
          <w:rFonts w:eastAsia="MS Mincho"/>
          <w:lang w:eastAsia="es-ES"/>
        </w:rPr>
        <w:t>.2015</w:t>
      </w:r>
      <w:r w:rsidRPr="00730620">
        <w:rPr>
          <w:lang w:val="es-PE" w:eastAsia="es-ES"/>
        </w:rPr>
        <w:t xml:space="preserve">, el Presidente del </w:t>
      </w:r>
      <w:r w:rsidRPr="00730620">
        <w:rPr>
          <w:lang w:eastAsia="es-ES"/>
        </w:rPr>
        <w:t xml:space="preserve">Comité Especial a cargo </w:t>
      </w:r>
      <w:r w:rsidRPr="00730620">
        <w:rPr>
          <w:lang w:val="es-PE" w:eastAsia="es-ES"/>
        </w:rPr>
        <w:t>del proceso de selección de la referencia remitió al Organismo Supervisor de las Con</w:t>
      </w:r>
      <w:r w:rsidR="004153F1">
        <w:rPr>
          <w:lang w:val="es-PE" w:eastAsia="es-ES"/>
        </w:rPr>
        <w:t>trataciones del Estado (OSCE) la</w:t>
      </w:r>
      <w:r w:rsidRPr="00730620">
        <w:rPr>
          <w:lang w:val="es-PE" w:eastAsia="es-ES"/>
        </w:rPr>
        <w:t xml:space="preserve">s </w:t>
      </w:r>
      <w:r w:rsidR="00481AF7">
        <w:rPr>
          <w:lang w:val="es-PE" w:eastAsia="es-ES"/>
        </w:rPr>
        <w:t xml:space="preserve">dos </w:t>
      </w:r>
      <w:r w:rsidR="00527730">
        <w:rPr>
          <w:lang w:val="es-PE" w:eastAsia="es-ES"/>
        </w:rPr>
        <w:t>(</w:t>
      </w:r>
      <w:r w:rsidR="00481AF7">
        <w:rPr>
          <w:lang w:val="es-PE" w:eastAsia="es-ES"/>
        </w:rPr>
        <w:t>2</w:t>
      </w:r>
      <w:r w:rsidRPr="00730620">
        <w:rPr>
          <w:lang w:val="es-PE" w:eastAsia="es-ES"/>
        </w:rPr>
        <w:t xml:space="preserve">) </w:t>
      </w:r>
      <w:r w:rsidR="004153F1">
        <w:rPr>
          <w:lang w:val="es-PE" w:eastAsia="es-ES"/>
        </w:rPr>
        <w:t xml:space="preserve">observaciones </w:t>
      </w:r>
      <w:r w:rsidR="00481AF7">
        <w:rPr>
          <w:lang w:val="es-PE" w:eastAsia="es-ES"/>
        </w:rPr>
        <w:t xml:space="preserve">formuladas </w:t>
      </w:r>
      <w:r w:rsidR="004153F1">
        <w:rPr>
          <w:lang w:val="es-PE" w:eastAsia="es-ES"/>
        </w:rPr>
        <w:t xml:space="preserve">por </w:t>
      </w:r>
      <w:r w:rsidR="00563486">
        <w:rPr>
          <w:lang w:val="es-PE" w:eastAsia="es-ES"/>
        </w:rPr>
        <w:t>el participante</w:t>
      </w:r>
      <w:r w:rsidR="00277FEB">
        <w:rPr>
          <w:lang w:val="es-PE" w:eastAsia="es-ES"/>
        </w:rPr>
        <w:t xml:space="preserve"> </w:t>
      </w:r>
      <w:r w:rsidR="00563486" w:rsidRPr="00527730">
        <w:rPr>
          <w:b/>
          <w:color w:val="000000"/>
          <w:shd w:val="clear" w:color="auto" w:fill="FFFFFF"/>
          <w:lang w:val="es-PE"/>
        </w:rPr>
        <w:t>ARAMAYO S</w:t>
      </w:r>
      <w:r w:rsidR="00161F00">
        <w:rPr>
          <w:b/>
          <w:color w:val="000000"/>
          <w:shd w:val="clear" w:color="auto" w:fill="FFFFFF"/>
          <w:lang w:val="es-PE"/>
        </w:rPr>
        <w:t>.</w:t>
      </w:r>
      <w:r w:rsidR="00563486" w:rsidRPr="00527730">
        <w:rPr>
          <w:b/>
          <w:color w:val="000000"/>
          <w:shd w:val="clear" w:color="auto" w:fill="FFFFFF"/>
          <w:lang w:val="es-PE"/>
        </w:rPr>
        <w:t>A</w:t>
      </w:r>
      <w:r w:rsidR="00161F00">
        <w:rPr>
          <w:b/>
          <w:color w:val="000000"/>
          <w:shd w:val="clear" w:color="auto" w:fill="FFFFFF"/>
          <w:lang w:val="es-PE"/>
        </w:rPr>
        <w:t>.</w:t>
      </w:r>
      <w:r w:rsidR="00563486" w:rsidRPr="00527730">
        <w:rPr>
          <w:b/>
          <w:color w:val="000000"/>
          <w:shd w:val="clear" w:color="auto" w:fill="FFFFFF"/>
          <w:lang w:val="es-PE"/>
        </w:rPr>
        <w:t>C CONT</w:t>
      </w:r>
      <w:r w:rsidR="00563486">
        <w:rPr>
          <w:b/>
          <w:color w:val="000000"/>
          <w:shd w:val="clear" w:color="auto" w:fill="FFFFFF"/>
          <w:lang w:val="es-PE"/>
        </w:rPr>
        <w:t>RATISTAS</w:t>
      </w:r>
      <w:r w:rsidR="00563486" w:rsidRPr="00527730">
        <w:rPr>
          <w:b/>
          <w:color w:val="000000"/>
          <w:shd w:val="clear" w:color="auto" w:fill="FFFFFF"/>
          <w:lang w:val="es-PE"/>
        </w:rPr>
        <w:t xml:space="preserve"> G</w:t>
      </w:r>
      <w:r w:rsidR="00563486">
        <w:rPr>
          <w:b/>
          <w:color w:val="000000"/>
          <w:shd w:val="clear" w:color="auto" w:fill="FFFFFF"/>
          <w:lang w:val="es-PE"/>
        </w:rPr>
        <w:t>ENE</w:t>
      </w:r>
      <w:r w:rsidR="00563486" w:rsidRPr="00527730">
        <w:rPr>
          <w:b/>
          <w:color w:val="000000"/>
          <w:shd w:val="clear" w:color="auto" w:fill="FFFFFF"/>
          <w:lang w:val="es-PE"/>
        </w:rPr>
        <w:t>R</w:t>
      </w:r>
      <w:r w:rsidR="00563486">
        <w:rPr>
          <w:b/>
          <w:color w:val="000000"/>
          <w:shd w:val="clear" w:color="auto" w:fill="FFFFFF"/>
          <w:lang w:val="es-PE"/>
        </w:rPr>
        <w:t>ALES</w:t>
      </w:r>
      <w:r w:rsidR="00563486" w:rsidRPr="00527730">
        <w:rPr>
          <w:b/>
          <w:color w:val="000000"/>
          <w:shd w:val="clear" w:color="auto" w:fill="FFFFFF"/>
          <w:lang w:val="es-PE"/>
        </w:rPr>
        <w:t xml:space="preserve"> ARAMSA CONT</w:t>
      </w:r>
      <w:r w:rsidR="00563486">
        <w:rPr>
          <w:b/>
          <w:color w:val="000000"/>
          <w:shd w:val="clear" w:color="auto" w:fill="FFFFFF"/>
          <w:lang w:val="es-PE"/>
        </w:rPr>
        <w:t xml:space="preserve">. </w:t>
      </w:r>
      <w:r w:rsidR="00563486" w:rsidRPr="00527730">
        <w:rPr>
          <w:b/>
          <w:color w:val="000000"/>
          <w:shd w:val="clear" w:color="auto" w:fill="FFFFFF"/>
          <w:lang w:val="es-PE"/>
        </w:rPr>
        <w:t>GRL</w:t>
      </w:r>
      <w:r w:rsidR="00563486">
        <w:rPr>
          <w:b/>
          <w:color w:val="000000"/>
          <w:shd w:val="clear" w:color="auto" w:fill="FFFFFF"/>
          <w:lang w:val="es-PE"/>
        </w:rPr>
        <w:t>.</w:t>
      </w:r>
      <w:r w:rsidR="00563486" w:rsidRPr="00527730">
        <w:rPr>
          <w:b/>
          <w:color w:val="000000"/>
          <w:shd w:val="clear" w:color="auto" w:fill="FFFFFF"/>
          <w:lang w:val="es-PE"/>
        </w:rPr>
        <w:t xml:space="preserve"> S</w:t>
      </w:r>
      <w:r w:rsidR="00563486">
        <w:rPr>
          <w:b/>
          <w:color w:val="000000"/>
          <w:shd w:val="clear" w:color="auto" w:fill="FFFFFF"/>
          <w:lang w:val="es-PE"/>
        </w:rPr>
        <w:t>.</w:t>
      </w:r>
      <w:r w:rsidR="00563486" w:rsidRPr="00527730">
        <w:rPr>
          <w:b/>
          <w:color w:val="000000"/>
          <w:shd w:val="clear" w:color="auto" w:fill="FFFFFF"/>
          <w:lang w:val="es-PE"/>
        </w:rPr>
        <w:t>A</w:t>
      </w:r>
      <w:r w:rsidR="00563486">
        <w:rPr>
          <w:b/>
          <w:color w:val="000000"/>
          <w:shd w:val="clear" w:color="auto" w:fill="FFFFFF"/>
          <w:lang w:val="es-PE"/>
        </w:rPr>
        <w:t>.</w:t>
      </w:r>
      <w:r w:rsidR="00563486" w:rsidRPr="00527730">
        <w:rPr>
          <w:b/>
          <w:color w:val="000000"/>
          <w:shd w:val="clear" w:color="auto" w:fill="FFFFFF"/>
          <w:lang w:val="es-PE"/>
        </w:rPr>
        <w:t>C</w:t>
      </w:r>
      <w:r w:rsidR="00B81F81">
        <w:rPr>
          <w:color w:val="000000"/>
          <w:shd w:val="clear" w:color="auto" w:fill="FFFFFF"/>
          <w:lang w:val="es-PE"/>
        </w:rPr>
        <w:t xml:space="preserve"> y la solicitud de elevación de observaciones formulada por el participante </w:t>
      </w:r>
      <w:r w:rsidR="00B81F81" w:rsidRPr="00527730">
        <w:rPr>
          <w:b/>
          <w:color w:val="000000"/>
          <w:szCs w:val="12"/>
          <w:shd w:val="clear" w:color="auto" w:fill="FFFFFF"/>
        </w:rPr>
        <w:t>E.REYNA C.</w:t>
      </w:r>
      <w:r w:rsidR="00B81F81">
        <w:rPr>
          <w:b/>
          <w:color w:val="000000"/>
          <w:szCs w:val="12"/>
          <w:shd w:val="clear" w:color="auto" w:fill="FFFFFF"/>
        </w:rPr>
        <w:t xml:space="preserve"> S.A.C. </w:t>
      </w:r>
      <w:r w:rsidR="00B81F81" w:rsidRPr="00527730">
        <w:rPr>
          <w:b/>
          <w:color w:val="000000"/>
          <w:szCs w:val="12"/>
          <w:shd w:val="clear" w:color="auto" w:fill="FFFFFF"/>
        </w:rPr>
        <w:t>CONTRATISTAS GENERALES</w:t>
      </w:r>
      <w:r w:rsidR="000E4D15">
        <w:rPr>
          <w:b/>
          <w:color w:val="000000"/>
          <w:shd w:val="clear" w:color="auto" w:fill="FFFFFF"/>
          <w:lang w:val="es-PE"/>
        </w:rPr>
        <w:t>;</w:t>
      </w:r>
      <w:r w:rsidR="00161F00">
        <w:rPr>
          <w:lang w:val="es-PE" w:eastAsia="es-ES"/>
        </w:rPr>
        <w:t xml:space="preserve"> </w:t>
      </w:r>
      <w:r w:rsidRPr="00730620">
        <w:rPr>
          <w:lang w:val="es-PE" w:eastAsia="es-ES"/>
        </w:rPr>
        <w:t xml:space="preserve">así como el informe técnico respectivo, </w:t>
      </w:r>
      <w:r w:rsidRPr="00730620">
        <w:rPr>
          <w:lang w:eastAsia="es-ES"/>
        </w:rPr>
        <w:t>en cumplimiento de lo dispuesto por el artículo 28° del Decreto Legislativo Nº 1017, que aprueba la Ley de Contrataciones del Estado, en adelante la Ley, y el artículo 58° de su Reglamento, aprobado por Decreto Supremo Nº 184-2008-EF, en adelante el Reglamento.</w:t>
      </w:r>
    </w:p>
    <w:p w:rsidR="004D40B7" w:rsidRPr="00730620" w:rsidRDefault="004D40B7" w:rsidP="004D40B7">
      <w:pPr>
        <w:pStyle w:val="WW-Textoindependiente2"/>
        <w:widowControl w:val="0"/>
        <w:tabs>
          <w:tab w:val="left" w:pos="426"/>
        </w:tabs>
        <w:rPr>
          <w:rFonts w:ascii="Times New Roman" w:hAnsi="Times New Roman"/>
          <w:lang w:eastAsia="es-ES"/>
        </w:rPr>
      </w:pPr>
    </w:p>
    <w:p w:rsidR="004D40B7" w:rsidRPr="00730620" w:rsidRDefault="004D40B7" w:rsidP="004D40B7">
      <w:pPr>
        <w:pStyle w:val="WW-Sangra3detindependiente"/>
        <w:suppressAutoHyphens w:val="0"/>
        <w:ind w:left="1"/>
        <w:rPr>
          <w:szCs w:val="24"/>
        </w:rPr>
      </w:pPr>
      <w:r w:rsidRPr="00730620">
        <w:rPr>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4D40B7" w:rsidRPr="00730620" w:rsidRDefault="004D40B7" w:rsidP="00527730">
      <w:pPr>
        <w:pStyle w:val="WW-Sangra3detindependiente"/>
        <w:suppressAutoHyphens w:val="0"/>
        <w:ind w:left="0" w:firstLine="0"/>
        <w:rPr>
          <w:szCs w:val="24"/>
          <w:lang w:val="es-PE"/>
        </w:rPr>
      </w:pPr>
    </w:p>
    <w:p w:rsidR="00FD6FC1" w:rsidRDefault="004D40B7" w:rsidP="006675DD">
      <w:pPr>
        <w:pStyle w:val="WW-Sangra3detindependiente"/>
        <w:widowControl/>
        <w:tabs>
          <w:tab w:val="left" w:pos="4536"/>
        </w:tabs>
        <w:suppressAutoHyphens w:val="0"/>
        <w:ind w:left="2"/>
        <w:rPr>
          <w:rFonts w:eastAsia="Calibri"/>
          <w:szCs w:val="24"/>
          <w:lang w:val="es-PE"/>
        </w:rPr>
      </w:pPr>
      <w:r w:rsidRPr="00730620">
        <w:rPr>
          <w:szCs w:val="24"/>
        </w:rPr>
        <w:t xml:space="preserve">En ese sentido, </w:t>
      </w:r>
      <w:r w:rsidR="00161F00">
        <w:rPr>
          <w:szCs w:val="24"/>
          <w:lang w:val="es-PE" w:eastAsia="es-ES"/>
        </w:rPr>
        <w:t xml:space="preserve">respecto de </w:t>
      </w:r>
      <w:r w:rsidR="00FD6FC1">
        <w:rPr>
          <w:szCs w:val="24"/>
          <w:lang w:val="es-PE" w:eastAsia="es-ES"/>
        </w:rPr>
        <w:t xml:space="preserve">las </w:t>
      </w:r>
      <w:r w:rsidR="000E4D15">
        <w:rPr>
          <w:szCs w:val="24"/>
          <w:lang w:val="es-PE" w:eastAsia="es-ES"/>
        </w:rPr>
        <w:t xml:space="preserve">dos (2) </w:t>
      </w:r>
      <w:r w:rsidR="00161F00">
        <w:rPr>
          <w:szCs w:val="24"/>
          <w:lang w:val="es-PE" w:eastAsia="es-ES"/>
        </w:rPr>
        <w:t>observaciones formulada</w:t>
      </w:r>
      <w:r w:rsidRPr="00730620">
        <w:rPr>
          <w:szCs w:val="24"/>
          <w:lang w:val="es-PE" w:eastAsia="es-ES"/>
        </w:rPr>
        <w:t>s por el participante</w:t>
      </w:r>
      <w:r w:rsidR="00277FEB">
        <w:rPr>
          <w:szCs w:val="24"/>
          <w:lang w:val="es-PE" w:eastAsia="es-ES"/>
        </w:rPr>
        <w:t xml:space="preserve"> </w:t>
      </w:r>
      <w:r w:rsidR="006675DD" w:rsidRPr="00527730">
        <w:rPr>
          <w:b/>
          <w:color w:val="000000"/>
          <w:szCs w:val="24"/>
          <w:shd w:val="clear" w:color="auto" w:fill="FFFFFF"/>
          <w:lang w:val="es-PE"/>
        </w:rPr>
        <w:t>ARAMAYO SAC CONT</w:t>
      </w:r>
      <w:r w:rsidR="006675DD">
        <w:rPr>
          <w:b/>
          <w:color w:val="000000"/>
          <w:shd w:val="clear" w:color="auto" w:fill="FFFFFF"/>
          <w:lang w:val="es-PE"/>
        </w:rPr>
        <w:t>RATISTAS</w:t>
      </w:r>
      <w:r w:rsidR="006675DD" w:rsidRPr="00527730">
        <w:rPr>
          <w:b/>
          <w:color w:val="000000"/>
          <w:szCs w:val="24"/>
          <w:shd w:val="clear" w:color="auto" w:fill="FFFFFF"/>
          <w:lang w:val="es-PE"/>
        </w:rPr>
        <w:t xml:space="preserve"> G</w:t>
      </w:r>
      <w:r w:rsidR="006675DD">
        <w:rPr>
          <w:b/>
          <w:color w:val="000000"/>
          <w:shd w:val="clear" w:color="auto" w:fill="FFFFFF"/>
          <w:lang w:val="es-PE"/>
        </w:rPr>
        <w:t>ENE</w:t>
      </w:r>
      <w:r w:rsidR="006675DD" w:rsidRPr="00527730">
        <w:rPr>
          <w:b/>
          <w:color w:val="000000"/>
          <w:szCs w:val="24"/>
          <w:shd w:val="clear" w:color="auto" w:fill="FFFFFF"/>
          <w:lang w:val="es-PE"/>
        </w:rPr>
        <w:t>R</w:t>
      </w:r>
      <w:r w:rsidR="006675DD">
        <w:rPr>
          <w:b/>
          <w:color w:val="000000"/>
          <w:shd w:val="clear" w:color="auto" w:fill="FFFFFF"/>
          <w:lang w:val="es-PE"/>
        </w:rPr>
        <w:t>ALES</w:t>
      </w:r>
      <w:r w:rsidR="006675DD" w:rsidRPr="00527730">
        <w:rPr>
          <w:b/>
          <w:color w:val="000000"/>
          <w:szCs w:val="24"/>
          <w:shd w:val="clear" w:color="auto" w:fill="FFFFFF"/>
          <w:lang w:val="es-PE"/>
        </w:rPr>
        <w:t xml:space="preserve"> ARAMSA CONT</w:t>
      </w:r>
      <w:r w:rsidR="006675DD">
        <w:rPr>
          <w:b/>
          <w:color w:val="000000"/>
          <w:shd w:val="clear" w:color="auto" w:fill="FFFFFF"/>
          <w:lang w:val="es-PE"/>
        </w:rPr>
        <w:t xml:space="preserve">. </w:t>
      </w:r>
      <w:r w:rsidR="006675DD" w:rsidRPr="00527730">
        <w:rPr>
          <w:b/>
          <w:color w:val="000000"/>
          <w:szCs w:val="24"/>
          <w:shd w:val="clear" w:color="auto" w:fill="FFFFFF"/>
          <w:lang w:val="es-PE"/>
        </w:rPr>
        <w:t>GRL</w:t>
      </w:r>
      <w:r w:rsidR="006675DD">
        <w:rPr>
          <w:b/>
          <w:color w:val="000000"/>
          <w:shd w:val="clear" w:color="auto" w:fill="FFFFFF"/>
          <w:lang w:val="es-PE"/>
        </w:rPr>
        <w:t>.</w:t>
      </w:r>
      <w:r w:rsidR="006675DD" w:rsidRPr="00527730">
        <w:rPr>
          <w:b/>
          <w:color w:val="000000"/>
          <w:szCs w:val="24"/>
          <w:shd w:val="clear" w:color="auto" w:fill="FFFFFF"/>
          <w:lang w:val="es-PE"/>
        </w:rPr>
        <w:t xml:space="preserve"> S</w:t>
      </w:r>
      <w:r w:rsidR="006675DD">
        <w:rPr>
          <w:b/>
          <w:color w:val="000000"/>
          <w:shd w:val="clear" w:color="auto" w:fill="FFFFFF"/>
          <w:lang w:val="es-PE"/>
        </w:rPr>
        <w:t>.</w:t>
      </w:r>
      <w:r w:rsidR="006675DD" w:rsidRPr="00527730">
        <w:rPr>
          <w:b/>
          <w:color w:val="000000"/>
          <w:szCs w:val="24"/>
          <w:shd w:val="clear" w:color="auto" w:fill="FFFFFF"/>
          <w:lang w:val="es-PE"/>
        </w:rPr>
        <w:t>A</w:t>
      </w:r>
      <w:r w:rsidR="006675DD">
        <w:rPr>
          <w:b/>
          <w:color w:val="000000"/>
          <w:shd w:val="clear" w:color="auto" w:fill="FFFFFF"/>
          <w:lang w:val="es-PE"/>
        </w:rPr>
        <w:t>.</w:t>
      </w:r>
      <w:r w:rsidR="006675DD" w:rsidRPr="00527730">
        <w:rPr>
          <w:b/>
          <w:color w:val="000000"/>
          <w:szCs w:val="24"/>
          <w:shd w:val="clear" w:color="auto" w:fill="FFFFFF"/>
          <w:lang w:val="es-PE"/>
        </w:rPr>
        <w:t>C</w:t>
      </w:r>
      <w:r w:rsidR="00887EC5">
        <w:rPr>
          <w:b/>
          <w:color w:val="000000"/>
          <w:szCs w:val="24"/>
          <w:shd w:val="clear" w:color="auto" w:fill="FFFFFF"/>
          <w:lang w:val="es-PE"/>
        </w:rPr>
        <w:t>.</w:t>
      </w:r>
      <w:r w:rsidR="006675DD" w:rsidRPr="00FD6FC1">
        <w:rPr>
          <w:rFonts w:eastAsia="Calibri"/>
          <w:szCs w:val="24"/>
          <w:lang w:val="es-PE"/>
        </w:rPr>
        <w:t>,</w:t>
      </w:r>
      <w:r w:rsidR="006675DD" w:rsidRPr="003117F8">
        <w:rPr>
          <w:rFonts w:eastAsia="Calibri"/>
          <w:szCs w:val="24"/>
          <w:lang w:val="es-PE"/>
        </w:rPr>
        <w:t xml:space="preserve"> cabe señalar que</w:t>
      </w:r>
      <w:r w:rsidR="00161F00">
        <w:rPr>
          <w:rFonts w:eastAsia="Calibri"/>
          <w:szCs w:val="24"/>
          <w:lang w:val="es-PE"/>
        </w:rPr>
        <w:t xml:space="preserve"> </w:t>
      </w:r>
      <w:r w:rsidR="00FD6FC1">
        <w:rPr>
          <w:rFonts w:eastAsia="Calibri"/>
          <w:szCs w:val="24"/>
          <w:lang w:val="es-PE"/>
        </w:rPr>
        <w:t>de la lectura del pliego absolutorio de observaciones se advierte que la Observación Nº 2 constituye en estricto una solicitud de modificación que no cuestiona la legalidad del contenido de las Bases, es decir una consulta, supuesto no previsto en el artículo 58 del Reglamento, por lo que este Organismo Supervisor no se pronunciará al respecto.</w:t>
      </w:r>
    </w:p>
    <w:p w:rsidR="00FD6FC1" w:rsidRDefault="00FD6FC1" w:rsidP="006675DD">
      <w:pPr>
        <w:pStyle w:val="WW-Sangra3detindependiente"/>
        <w:widowControl/>
        <w:tabs>
          <w:tab w:val="left" w:pos="4536"/>
        </w:tabs>
        <w:suppressAutoHyphens w:val="0"/>
        <w:ind w:left="2"/>
        <w:rPr>
          <w:rFonts w:eastAsia="Calibri"/>
          <w:szCs w:val="24"/>
          <w:lang w:val="es-PE"/>
        </w:rPr>
      </w:pPr>
    </w:p>
    <w:p w:rsidR="00E86528" w:rsidRDefault="00E86528" w:rsidP="006675DD">
      <w:pPr>
        <w:pStyle w:val="WW-Sangra3detindependiente"/>
        <w:widowControl/>
        <w:tabs>
          <w:tab w:val="left" w:pos="4536"/>
        </w:tabs>
        <w:suppressAutoHyphens w:val="0"/>
        <w:ind w:left="2"/>
        <w:rPr>
          <w:rFonts w:eastAsia="Calibri"/>
          <w:szCs w:val="24"/>
          <w:lang w:val="es-PE"/>
        </w:rPr>
      </w:pPr>
    </w:p>
    <w:p w:rsidR="00E86528" w:rsidRDefault="00E86528" w:rsidP="006675DD">
      <w:pPr>
        <w:pStyle w:val="WW-Sangra3detindependiente"/>
        <w:widowControl/>
        <w:tabs>
          <w:tab w:val="left" w:pos="4536"/>
        </w:tabs>
        <w:suppressAutoHyphens w:val="0"/>
        <w:ind w:left="2"/>
        <w:rPr>
          <w:rFonts w:eastAsia="Calibri"/>
          <w:szCs w:val="24"/>
          <w:lang w:val="es-PE"/>
        </w:rPr>
      </w:pPr>
    </w:p>
    <w:p w:rsidR="00B81F81" w:rsidRDefault="00B81F81" w:rsidP="006675DD">
      <w:pPr>
        <w:pStyle w:val="WW-Sangra3detindependiente"/>
        <w:widowControl/>
        <w:tabs>
          <w:tab w:val="left" w:pos="4536"/>
        </w:tabs>
        <w:suppressAutoHyphens w:val="0"/>
        <w:ind w:left="2"/>
        <w:rPr>
          <w:rFonts w:eastAsia="Calibri"/>
          <w:szCs w:val="24"/>
          <w:lang w:val="es-PE"/>
        </w:rPr>
      </w:pPr>
    </w:p>
    <w:p w:rsidR="00B81F81" w:rsidRDefault="00B81F81" w:rsidP="006675DD">
      <w:pPr>
        <w:pStyle w:val="WW-Sangra3detindependiente"/>
        <w:widowControl/>
        <w:tabs>
          <w:tab w:val="left" w:pos="4536"/>
        </w:tabs>
        <w:suppressAutoHyphens w:val="0"/>
        <w:ind w:left="2"/>
        <w:rPr>
          <w:rFonts w:eastAsia="Calibri"/>
          <w:szCs w:val="24"/>
          <w:lang w:val="es-PE"/>
        </w:rPr>
      </w:pPr>
    </w:p>
    <w:p w:rsidR="00FD6FC1" w:rsidRDefault="00FD6FC1" w:rsidP="006675DD">
      <w:pPr>
        <w:pStyle w:val="WW-Sangra3detindependiente"/>
        <w:widowControl/>
        <w:tabs>
          <w:tab w:val="left" w:pos="4536"/>
        </w:tabs>
        <w:suppressAutoHyphens w:val="0"/>
        <w:ind w:left="2"/>
        <w:rPr>
          <w:rFonts w:eastAsia="Calibri"/>
          <w:szCs w:val="24"/>
          <w:lang w:val="es-PE"/>
        </w:rPr>
      </w:pPr>
      <w:r>
        <w:rPr>
          <w:rFonts w:eastAsia="Calibri"/>
          <w:szCs w:val="24"/>
          <w:lang w:val="es-PE"/>
        </w:rPr>
        <w:t xml:space="preserve">De otro lado, respecto a los argumentos expuestos en </w:t>
      </w:r>
      <w:r w:rsidR="00524640">
        <w:rPr>
          <w:rFonts w:eastAsia="Calibri"/>
          <w:szCs w:val="24"/>
          <w:lang w:val="es-PE"/>
        </w:rPr>
        <w:t xml:space="preserve">la </w:t>
      </w:r>
      <w:r>
        <w:rPr>
          <w:rFonts w:eastAsia="Calibri"/>
          <w:szCs w:val="24"/>
          <w:lang w:val="es-PE"/>
        </w:rPr>
        <w:t xml:space="preserve">solicitud de elevación de observaciones </w:t>
      </w:r>
      <w:r w:rsidR="00524640">
        <w:rPr>
          <w:rFonts w:eastAsia="Calibri"/>
          <w:szCs w:val="24"/>
          <w:lang w:val="es-PE"/>
        </w:rPr>
        <w:t xml:space="preserve">del referido participante </w:t>
      </w:r>
      <w:r>
        <w:rPr>
          <w:rFonts w:eastAsia="Calibri"/>
          <w:szCs w:val="24"/>
          <w:lang w:val="es-PE"/>
        </w:rPr>
        <w:t>destinados a cuestionar la absolución de la Observación Nº 3 del participante CONSTRUCTORA MALAGA HNOS S.A.</w:t>
      </w:r>
      <w:r w:rsidR="00524640">
        <w:rPr>
          <w:rFonts w:eastAsia="Calibri"/>
          <w:szCs w:val="24"/>
          <w:lang w:val="es-PE"/>
        </w:rPr>
        <w:t>, cabe señalar que de la lectura del pliego absolutorio de observaciones se aprecia que esta constituye en estricto una observación no acogida por el Comité Especial, por lo que, al no encontrarse el cuestionamiento de observaciones no acogidas dentro de alguno de los supuestos previstos en el artículo 58 del Reglamento, no corresponde que este Organismo Supervisor se pronuncie al respecto.</w:t>
      </w:r>
    </w:p>
    <w:p w:rsidR="00524640" w:rsidRDefault="00524640" w:rsidP="006675DD">
      <w:pPr>
        <w:pStyle w:val="WW-Sangra3detindependiente"/>
        <w:widowControl/>
        <w:tabs>
          <w:tab w:val="left" w:pos="4536"/>
        </w:tabs>
        <w:suppressAutoHyphens w:val="0"/>
        <w:ind w:left="2"/>
        <w:rPr>
          <w:rFonts w:eastAsia="Calibri"/>
          <w:szCs w:val="24"/>
          <w:lang w:val="es-PE"/>
        </w:rPr>
      </w:pPr>
    </w:p>
    <w:p w:rsidR="00E86528" w:rsidRPr="00E86528" w:rsidRDefault="00680DB2" w:rsidP="00B81F81">
      <w:pPr>
        <w:pStyle w:val="WW-Sangra3detindependiente"/>
        <w:widowControl/>
        <w:tabs>
          <w:tab w:val="left" w:pos="4536"/>
        </w:tabs>
        <w:suppressAutoHyphens w:val="0"/>
        <w:ind w:left="2"/>
        <w:rPr>
          <w:rFonts w:eastAsia="Calibri"/>
          <w:szCs w:val="24"/>
          <w:lang w:val="es-PE"/>
        </w:rPr>
      </w:pPr>
      <w:r w:rsidRPr="00E86528">
        <w:rPr>
          <w:rFonts w:eastAsia="Calibri"/>
          <w:szCs w:val="24"/>
          <w:lang w:val="es-PE"/>
        </w:rPr>
        <w:t xml:space="preserve">Ahora bien, </w:t>
      </w:r>
      <w:r w:rsidR="00E86528">
        <w:rPr>
          <w:rFonts w:eastAsia="Calibri"/>
          <w:szCs w:val="24"/>
          <w:lang w:val="es-PE"/>
        </w:rPr>
        <w:t>con relación a</w:t>
      </w:r>
      <w:r w:rsidR="00277FEB" w:rsidRPr="00E86528">
        <w:rPr>
          <w:rFonts w:eastAsia="Calibri"/>
          <w:szCs w:val="24"/>
          <w:lang w:val="es-PE"/>
        </w:rPr>
        <w:t xml:space="preserve"> los argumentos </w:t>
      </w:r>
      <w:r w:rsidR="00E86528">
        <w:rPr>
          <w:rFonts w:eastAsia="Calibri"/>
          <w:szCs w:val="24"/>
          <w:lang w:val="es-PE"/>
        </w:rPr>
        <w:t xml:space="preserve">descritos </w:t>
      </w:r>
      <w:r w:rsidR="00277FEB" w:rsidRPr="00E86528">
        <w:rPr>
          <w:rFonts w:eastAsia="Calibri"/>
          <w:szCs w:val="24"/>
          <w:lang w:val="es-PE"/>
        </w:rPr>
        <w:t xml:space="preserve">en </w:t>
      </w:r>
      <w:r w:rsidR="00E86528">
        <w:rPr>
          <w:rFonts w:eastAsia="Calibri"/>
          <w:szCs w:val="24"/>
          <w:lang w:val="es-PE"/>
        </w:rPr>
        <w:t xml:space="preserve">su </w:t>
      </w:r>
      <w:r w:rsidR="00277FEB" w:rsidRPr="00E86528">
        <w:rPr>
          <w:rFonts w:eastAsia="Calibri"/>
          <w:szCs w:val="24"/>
          <w:lang w:val="es-PE"/>
        </w:rPr>
        <w:t xml:space="preserve">solicitud de elevación de observaciones </w:t>
      </w:r>
      <w:r w:rsidR="00E86528">
        <w:rPr>
          <w:rFonts w:eastAsia="Calibri"/>
          <w:szCs w:val="24"/>
          <w:lang w:val="es-PE"/>
        </w:rPr>
        <w:t xml:space="preserve">destinados a cuestionar las </w:t>
      </w:r>
      <w:r w:rsidR="00E676A2" w:rsidRPr="00E86528">
        <w:rPr>
          <w:rFonts w:eastAsia="Calibri"/>
          <w:szCs w:val="24"/>
          <w:lang w:val="es-PE"/>
        </w:rPr>
        <w:t xml:space="preserve">Observaciones Nº </w:t>
      </w:r>
      <w:r w:rsidR="00E86528">
        <w:rPr>
          <w:rFonts w:eastAsia="Calibri"/>
          <w:szCs w:val="24"/>
          <w:lang w:val="es-PE"/>
        </w:rPr>
        <w:t>3</w:t>
      </w:r>
      <w:r w:rsidR="00E676A2" w:rsidRPr="00E86528">
        <w:rPr>
          <w:rFonts w:eastAsia="Calibri"/>
          <w:szCs w:val="24"/>
          <w:lang w:val="es-PE"/>
        </w:rPr>
        <w:t xml:space="preserve"> y Nº </w:t>
      </w:r>
      <w:r w:rsidR="00E86528">
        <w:rPr>
          <w:rFonts w:eastAsia="Calibri"/>
          <w:szCs w:val="24"/>
          <w:lang w:val="es-PE"/>
        </w:rPr>
        <w:t>4</w:t>
      </w:r>
      <w:r w:rsidR="0056476D" w:rsidRPr="00E86528">
        <w:rPr>
          <w:rFonts w:eastAsia="Calibri"/>
          <w:szCs w:val="24"/>
          <w:lang w:val="es-PE"/>
        </w:rPr>
        <w:t xml:space="preserve"> </w:t>
      </w:r>
      <w:r w:rsidR="00E86528">
        <w:rPr>
          <w:rFonts w:eastAsia="Calibri"/>
          <w:szCs w:val="24"/>
          <w:lang w:val="es-PE"/>
        </w:rPr>
        <w:t>d</w:t>
      </w:r>
      <w:r w:rsidR="0056476D" w:rsidRPr="00E86528">
        <w:rPr>
          <w:rFonts w:eastAsia="Calibri"/>
          <w:szCs w:val="24"/>
          <w:lang w:val="es-PE"/>
        </w:rPr>
        <w:t>el participante</w:t>
      </w:r>
      <w:r w:rsidR="00277FEB" w:rsidRPr="00E86528">
        <w:rPr>
          <w:rFonts w:eastAsia="Calibri"/>
          <w:szCs w:val="24"/>
          <w:lang w:val="es-PE"/>
        </w:rPr>
        <w:t xml:space="preserve"> </w:t>
      </w:r>
      <w:r w:rsidR="00E86528" w:rsidRPr="00E86528">
        <w:rPr>
          <w:rFonts w:eastAsia="Calibri"/>
          <w:szCs w:val="24"/>
          <w:lang w:val="es-PE"/>
        </w:rPr>
        <w:t>CONALVIAS CONSTRUCCIONES S.A.S. SUCURSAL PERÚ</w:t>
      </w:r>
      <w:r w:rsidR="0056476D" w:rsidRPr="00E86528">
        <w:rPr>
          <w:rFonts w:eastAsia="Calibri"/>
          <w:szCs w:val="24"/>
          <w:lang w:val="es-PE"/>
        </w:rPr>
        <w:t xml:space="preserve">, </w:t>
      </w:r>
      <w:r w:rsidR="00E86528">
        <w:rPr>
          <w:rFonts w:eastAsia="Calibri"/>
          <w:szCs w:val="24"/>
          <w:lang w:val="es-PE"/>
        </w:rPr>
        <w:t xml:space="preserve">cabe señalar que </w:t>
      </w:r>
      <w:r w:rsidR="00031B08">
        <w:rPr>
          <w:color w:val="000000"/>
          <w:szCs w:val="24"/>
          <w:shd w:val="clear" w:color="auto" w:fill="FFFFFF"/>
          <w:lang w:val="es-PE"/>
        </w:rPr>
        <w:t>el fondo de estos se encuentran orientados a cuestionar un componente de la definición de obras similares establecido con motivo de las absoluciones dadas por el Comité Especial en el pliego absolutorio de consultas</w:t>
      </w:r>
      <w:r w:rsidR="00007036">
        <w:rPr>
          <w:color w:val="000000"/>
          <w:szCs w:val="24"/>
          <w:shd w:val="clear" w:color="auto" w:fill="FFFFFF"/>
          <w:lang w:val="es-PE"/>
        </w:rPr>
        <w:t xml:space="preserve"> dado que, según refiere, su acreditación resultaría excesiva</w:t>
      </w:r>
      <w:r w:rsidR="00031B08">
        <w:rPr>
          <w:color w:val="000000"/>
          <w:szCs w:val="24"/>
          <w:shd w:val="clear" w:color="auto" w:fill="FFFFFF"/>
          <w:lang w:val="es-PE"/>
        </w:rPr>
        <w:t>, siendo el caso que, en el supuesto que el participante se encontrara disconforme con este, debió cuestionarlo en la etapa de formulación de observaciones a las Bases, por tanto, los referidos argum</w:t>
      </w:r>
      <w:r w:rsidR="00B81F81">
        <w:rPr>
          <w:color w:val="000000"/>
          <w:szCs w:val="24"/>
          <w:shd w:val="clear" w:color="auto" w:fill="FFFFFF"/>
          <w:lang w:val="es-PE"/>
        </w:rPr>
        <w:t xml:space="preserve">entos devienen en extemporáneos, no correspondiendo que </w:t>
      </w:r>
      <w:r w:rsidR="00E86528">
        <w:rPr>
          <w:color w:val="000000"/>
          <w:szCs w:val="24"/>
          <w:shd w:val="clear" w:color="auto" w:fill="FFFFFF"/>
          <w:lang w:val="es-PE"/>
        </w:rPr>
        <w:t>este Organismo Supervisor se pronuncie al respecto.</w:t>
      </w:r>
    </w:p>
    <w:p w:rsidR="00FD34FC" w:rsidRDefault="00FD34FC" w:rsidP="006675DD">
      <w:pPr>
        <w:pStyle w:val="WW-Sangra3detindependiente"/>
        <w:widowControl/>
        <w:tabs>
          <w:tab w:val="left" w:pos="4536"/>
        </w:tabs>
        <w:suppressAutoHyphens w:val="0"/>
        <w:ind w:left="2"/>
        <w:rPr>
          <w:rFonts w:eastAsia="Calibri"/>
          <w:szCs w:val="24"/>
          <w:lang w:val="es-PE"/>
        </w:rPr>
      </w:pPr>
    </w:p>
    <w:p w:rsidR="004D40B7" w:rsidRPr="0013591C" w:rsidRDefault="00FD34FC" w:rsidP="00F45305">
      <w:pPr>
        <w:pStyle w:val="WW-Sangra3detindependiente"/>
        <w:widowControl/>
        <w:suppressAutoHyphens w:val="0"/>
        <w:ind w:left="2"/>
        <w:rPr>
          <w:szCs w:val="24"/>
        </w:rPr>
      </w:pPr>
      <w:r>
        <w:rPr>
          <w:szCs w:val="24"/>
        </w:rPr>
        <w:t xml:space="preserve">Por </w:t>
      </w:r>
      <w:r w:rsidR="00983DAB">
        <w:rPr>
          <w:szCs w:val="24"/>
        </w:rPr>
        <w:t>otro lado</w:t>
      </w:r>
      <w:r w:rsidR="004D40B7" w:rsidRPr="00730620">
        <w:rPr>
          <w:szCs w:val="24"/>
        </w:rPr>
        <w:t xml:space="preserve">, </w:t>
      </w:r>
      <w:r w:rsidR="00E86528">
        <w:rPr>
          <w:szCs w:val="24"/>
        </w:rPr>
        <w:t>de la revisión del pliego absolutorio de observaciones, se aprecia que el participante</w:t>
      </w:r>
      <w:r w:rsidR="00E86528" w:rsidRPr="00E86528">
        <w:rPr>
          <w:b/>
          <w:color w:val="000000"/>
          <w:szCs w:val="12"/>
          <w:shd w:val="clear" w:color="auto" w:fill="FFFFFF"/>
        </w:rPr>
        <w:t xml:space="preserve"> </w:t>
      </w:r>
      <w:r w:rsidR="00E86528" w:rsidRPr="00527730">
        <w:rPr>
          <w:b/>
          <w:color w:val="000000"/>
          <w:szCs w:val="12"/>
          <w:shd w:val="clear" w:color="auto" w:fill="FFFFFF"/>
        </w:rPr>
        <w:t>E.REYNA C.</w:t>
      </w:r>
      <w:r w:rsidR="00E86528">
        <w:rPr>
          <w:b/>
          <w:color w:val="000000"/>
          <w:szCs w:val="12"/>
          <w:shd w:val="clear" w:color="auto" w:fill="FFFFFF"/>
        </w:rPr>
        <w:t xml:space="preserve"> S.A.C. </w:t>
      </w:r>
      <w:r w:rsidR="00E86528" w:rsidRPr="00527730">
        <w:rPr>
          <w:b/>
          <w:color w:val="000000"/>
          <w:szCs w:val="12"/>
          <w:shd w:val="clear" w:color="auto" w:fill="FFFFFF"/>
        </w:rPr>
        <w:t>CONTRATISTAS GENERALES</w:t>
      </w:r>
      <w:r w:rsidR="00E86528">
        <w:rPr>
          <w:b/>
          <w:color w:val="000000"/>
          <w:szCs w:val="12"/>
          <w:shd w:val="clear" w:color="auto" w:fill="FFFFFF"/>
        </w:rPr>
        <w:t xml:space="preserve"> </w:t>
      </w:r>
      <w:r w:rsidR="00E86528">
        <w:rPr>
          <w:color w:val="000000"/>
          <w:szCs w:val="12"/>
          <w:shd w:val="clear" w:color="auto" w:fill="FFFFFF"/>
        </w:rPr>
        <w:t xml:space="preserve">no ha formulado observaciones a las Bases del presente proceso, asimismo, </w:t>
      </w:r>
      <w:r w:rsidR="0056476D">
        <w:rPr>
          <w:szCs w:val="24"/>
        </w:rPr>
        <w:t>de</w:t>
      </w:r>
      <w:r w:rsidR="00277FEB">
        <w:rPr>
          <w:szCs w:val="24"/>
        </w:rPr>
        <w:t xml:space="preserve"> </w:t>
      </w:r>
      <w:r w:rsidR="0056476D">
        <w:rPr>
          <w:szCs w:val="24"/>
        </w:rPr>
        <w:t>l</w:t>
      </w:r>
      <w:r w:rsidR="00810231">
        <w:rPr>
          <w:szCs w:val="24"/>
        </w:rPr>
        <w:t xml:space="preserve">os argumentos expuestos en </w:t>
      </w:r>
      <w:r w:rsidR="00E86528">
        <w:rPr>
          <w:szCs w:val="24"/>
        </w:rPr>
        <w:t xml:space="preserve">su </w:t>
      </w:r>
      <w:r w:rsidR="00810231">
        <w:rPr>
          <w:szCs w:val="24"/>
        </w:rPr>
        <w:t xml:space="preserve">solicitud de elevación de observaciones destinados a cuestionar la </w:t>
      </w:r>
      <w:r w:rsidR="00F45305">
        <w:rPr>
          <w:szCs w:val="24"/>
          <w:lang w:val="es-PE" w:eastAsia="es-ES"/>
        </w:rPr>
        <w:t xml:space="preserve">Observación </w:t>
      </w:r>
      <w:r w:rsidR="00E86528">
        <w:rPr>
          <w:szCs w:val="24"/>
          <w:lang w:val="es-PE" w:eastAsia="es-ES"/>
        </w:rPr>
        <w:br/>
      </w:r>
      <w:r w:rsidR="00F45305">
        <w:rPr>
          <w:szCs w:val="24"/>
          <w:lang w:val="es-PE" w:eastAsia="es-ES"/>
        </w:rPr>
        <w:t xml:space="preserve">Nº </w:t>
      </w:r>
      <w:r w:rsidR="00983DAB">
        <w:rPr>
          <w:szCs w:val="24"/>
          <w:lang w:val="es-PE" w:eastAsia="es-ES"/>
        </w:rPr>
        <w:t xml:space="preserve">2 </w:t>
      </w:r>
      <w:r w:rsidR="00F45305">
        <w:rPr>
          <w:szCs w:val="24"/>
          <w:lang w:val="es-PE" w:eastAsia="es-ES"/>
        </w:rPr>
        <w:t xml:space="preserve">planteada por el participante </w:t>
      </w:r>
      <w:r w:rsidR="00F45305" w:rsidRPr="004674C6">
        <w:rPr>
          <w:szCs w:val="24"/>
          <w:lang w:val="es-PE" w:eastAsia="es-ES"/>
        </w:rPr>
        <w:t>CONALVÍAS CON</w:t>
      </w:r>
      <w:r w:rsidR="004674C6">
        <w:rPr>
          <w:szCs w:val="24"/>
          <w:lang w:val="es-PE" w:eastAsia="es-ES"/>
        </w:rPr>
        <w:t>STRUCCIONES S.A.S. SUCURSAL PERU</w:t>
      </w:r>
      <w:r w:rsidR="00F45305">
        <w:rPr>
          <w:szCs w:val="24"/>
          <w:lang w:val="es-PE" w:eastAsia="es-ES"/>
        </w:rPr>
        <w:t xml:space="preserve">, </w:t>
      </w:r>
      <w:r w:rsidR="004D40B7" w:rsidRPr="00F91DE1">
        <w:rPr>
          <w:szCs w:val="24"/>
          <w:lang w:val="es-PE" w:eastAsia="es-ES"/>
        </w:rPr>
        <w:t xml:space="preserve">cabe resaltar que </w:t>
      </w:r>
      <w:r w:rsidR="00277FEB">
        <w:rPr>
          <w:szCs w:val="24"/>
          <w:lang w:val="es-PE" w:eastAsia="es-ES"/>
        </w:rPr>
        <w:t xml:space="preserve">de la lectura del </w:t>
      </w:r>
      <w:r w:rsidR="004674C6">
        <w:rPr>
          <w:szCs w:val="24"/>
          <w:lang w:val="es-PE" w:eastAsia="es-ES"/>
        </w:rPr>
        <w:t>pliego a</w:t>
      </w:r>
      <w:r w:rsidR="004674C6" w:rsidRPr="00F91DE1">
        <w:rPr>
          <w:szCs w:val="24"/>
          <w:lang w:val="es-PE" w:eastAsia="es-ES"/>
        </w:rPr>
        <w:t>bsolutorio</w:t>
      </w:r>
      <w:r w:rsidR="004674C6">
        <w:rPr>
          <w:szCs w:val="24"/>
          <w:lang w:val="es-PE" w:eastAsia="es-ES"/>
        </w:rPr>
        <w:t xml:space="preserve"> de observaciones </w:t>
      </w:r>
      <w:r w:rsidR="00277FEB">
        <w:rPr>
          <w:szCs w:val="24"/>
          <w:lang w:val="es-PE" w:eastAsia="es-ES"/>
        </w:rPr>
        <w:t xml:space="preserve">se </w:t>
      </w:r>
      <w:r w:rsidR="004674C6">
        <w:rPr>
          <w:szCs w:val="24"/>
          <w:lang w:val="es-PE" w:eastAsia="es-ES"/>
        </w:rPr>
        <w:t xml:space="preserve">advierte </w:t>
      </w:r>
      <w:r w:rsidR="004D40B7" w:rsidRPr="00F91DE1">
        <w:rPr>
          <w:szCs w:val="24"/>
          <w:lang w:val="es-PE" w:eastAsia="es-ES"/>
        </w:rPr>
        <w:t xml:space="preserve">que </w:t>
      </w:r>
      <w:r w:rsidR="00F45305" w:rsidRPr="00F91DE1">
        <w:rPr>
          <w:szCs w:val="24"/>
          <w:lang w:val="es-PE" w:eastAsia="es-ES"/>
        </w:rPr>
        <w:t>ésta</w:t>
      </w:r>
      <w:r w:rsidR="00F91DE1">
        <w:rPr>
          <w:szCs w:val="24"/>
          <w:lang w:val="es-PE" w:eastAsia="es-ES"/>
        </w:rPr>
        <w:t xml:space="preserve"> </w:t>
      </w:r>
      <w:r w:rsidR="009A23AF" w:rsidRPr="00F91DE1">
        <w:rPr>
          <w:szCs w:val="24"/>
        </w:rPr>
        <w:t xml:space="preserve">no </w:t>
      </w:r>
      <w:r w:rsidR="00F45305" w:rsidRPr="00F91DE1">
        <w:rPr>
          <w:szCs w:val="24"/>
        </w:rPr>
        <w:t>fue acogida</w:t>
      </w:r>
      <w:r w:rsidR="004674C6">
        <w:rPr>
          <w:szCs w:val="24"/>
        </w:rPr>
        <w:t xml:space="preserve"> por el Comité Especial; estando a ello, considerando que el cuestionamiento de observaciones no acogidas no es un </w:t>
      </w:r>
      <w:r w:rsidR="00F45305" w:rsidRPr="00F91DE1">
        <w:rPr>
          <w:szCs w:val="24"/>
          <w:lang w:val="es-ES"/>
        </w:rPr>
        <w:t>supuesto regulado en el artículo 58 del Reglamento</w:t>
      </w:r>
      <w:r w:rsidR="00F45305" w:rsidRPr="00F91DE1">
        <w:rPr>
          <w:szCs w:val="24"/>
        </w:rPr>
        <w:t xml:space="preserve">, </w:t>
      </w:r>
      <w:r w:rsidR="009A23AF" w:rsidRPr="00F91DE1">
        <w:rPr>
          <w:szCs w:val="24"/>
        </w:rPr>
        <w:t xml:space="preserve">no corresponde que </w:t>
      </w:r>
      <w:r w:rsidR="004D40B7" w:rsidRPr="00F91DE1">
        <w:rPr>
          <w:szCs w:val="24"/>
        </w:rPr>
        <w:t xml:space="preserve">este Organismo Supervisor </w:t>
      </w:r>
      <w:r w:rsidR="009A23AF" w:rsidRPr="00F91DE1">
        <w:rPr>
          <w:szCs w:val="24"/>
          <w:lang w:val="es-PE" w:eastAsia="es-ES"/>
        </w:rPr>
        <w:t>se pronuncie</w:t>
      </w:r>
      <w:r w:rsidR="00277FEB">
        <w:rPr>
          <w:szCs w:val="24"/>
          <w:lang w:val="es-PE" w:eastAsia="es-ES"/>
        </w:rPr>
        <w:t xml:space="preserve"> </w:t>
      </w:r>
      <w:r w:rsidR="004674C6">
        <w:rPr>
          <w:szCs w:val="24"/>
          <w:lang w:val="es-PE" w:eastAsia="es-ES"/>
        </w:rPr>
        <w:t>al respecto</w:t>
      </w:r>
      <w:r w:rsidR="004D40B7" w:rsidRPr="00F91DE1">
        <w:rPr>
          <w:szCs w:val="24"/>
        </w:rPr>
        <w:t>.</w:t>
      </w:r>
    </w:p>
    <w:p w:rsidR="004D40B7" w:rsidRDefault="004D40B7" w:rsidP="004D40B7">
      <w:pPr>
        <w:pStyle w:val="WW-Sangra3detindependiente"/>
        <w:widowControl/>
        <w:suppressAutoHyphens w:val="0"/>
        <w:ind w:left="2"/>
        <w:rPr>
          <w:szCs w:val="24"/>
        </w:rPr>
      </w:pPr>
    </w:p>
    <w:p w:rsidR="00E86528" w:rsidRPr="00E86528" w:rsidRDefault="00E86528" w:rsidP="00E86528">
      <w:pPr>
        <w:pStyle w:val="WW-Sangra3detindependiente"/>
        <w:widowControl/>
        <w:suppressAutoHyphens w:val="0"/>
        <w:ind w:left="1"/>
        <w:rPr>
          <w:shd w:val="clear" w:color="auto" w:fill="FFFFFF"/>
        </w:rPr>
      </w:pPr>
      <w:r>
        <w:rPr>
          <w:shd w:val="clear" w:color="auto" w:fill="FFFFFF"/>
        </w:rPr>
        <w:t xml:space="preserve">En ese sentido, en atención a lo indicado en el párrafo precedente, no corresponde que este Organismo Supervisor </w:t>
      </w:r>
      <w:r w:rsidRPr="00B477E8">
        <w:rPr>
          <w:shd w:val="clear" w:color="auto" w:fill="FFFFFF"/>
        </w:rPr>
        <w:t xml:space="preserve">emita Pronunciamiento sobre </w:t>
      </w:r>
      <w:r>
        <w:rPr>
          <w:shd w:val="clear" w:color="auto" w:fill="FFFFFF"/>
        </w:rPr>
        <w:t xml:space="preserve">la </w:t>
      </w:r>
      <w:r w:rsidRPr="00B477E8">
        <w:rPr>
          <w:shd w:val="clear" w:color="auto" w:fill="FFFFFF"/>
        </w:rPr>
        <w:t>solicitud de elevación de observaciones</w:t>
      </w:r>
      <w:r>
        <w:rPr>
          <w:shd w:val="clear" w:color="auto" w:fill="FFFFFF"/>
        </w:rPr>
        <w:t xml:space="preserve"> del participante </w:t>
      </w:r>
      <w:r w:rsidRPr="00527730">
        <w:rPr>
          <w:b/>
          <w:color w:val="000000"/>
          <w:szCs w:val="12"/>
          <w:shd w:val="clear" w:color="auto" w:fill="FFFFFF"/>
        </w:rPr>
        <w:t>E.REYNA C.</w:t>
      </w:r>
      <w:r>
        <w:rPr>
          <w:b/>
          <w:color w:val="000000"/>
          <w:szCs w:val="12"/>
          <w:shd w:val="clear" w:color="auto" w:fill="FFFFFF"/>
        </w:rPr>
        <w:t xml:space="preserve"> S.A.C. </w:t>
      </w:r>
      <w:r w:rsidRPr="00527730">
        <w:rPr>
          <w:b/>
          <w:color w:val="000000"/>
          <w:szCs w:val="12"/>
          <w:shd w:val="clear" w:color="auto" w:fill="FFFFFF"/>
        </w:rPr>
        <w:t>CONTRATISTAS GENERALES</w:t>
      </w:r>
      <w:r w:rsidRPr="00B477E8">
        <w:rPr>
          <w:shd w:val="clear" w:color="auto" w:fill="FFFFFF"/>
        </w:rPr>
        <w:t>, quedando expedito el derecho del referido participante a solicitar la devolución de la tasa respectiva.</w:t>
      </w:r>
    </w:p>
    <w:p w:rsidR="00E86528" w:rsidRPr="0013591C" w:rsidRDefault="00E86528" w:rsidP="004D40B7">
      <w:pPr>
        <w:pStyle w:val="WW-Sangra3detindependiente"/>
        <w:widowControl/>
        <w:suppressAutoHyphens w:val="0"/>
        <w:ind w:left="2"/>
        <w:rPr>
          <w:szCs w:val="24"/>
        </w:rPr>
      </w:pPr>
    </w:p>
    <w:p w:rsidR="00E86528" w:rsidRDefault="00E86528" w:rsidP="00E86528">
      <w:pPr>
        <w:pStyle w:val="WW-Sangra3detindependiente"/>
        <w:suppressAutoHyphens w:val="0"/>
        <w:ind w:left="1"/>
        <w:rPr>
          <w:snapToGrid w:val="0"/>
          <w:szCs w:val="24"/>
          <w:lang w:val="es-PE"/>
        </w:rPr>
      </w:pPr>
      <w:r>
        <w:rPr>
          <w:szCs w:val="24"/>
        </w:rPr>
        <w:t>Todo ello, s</w:t>
      </w:r>
      <w:r w:rsidRPr="00B11250">
        <w:rPr>
          <w:szCs w:val="24"/>
        </w:rPr>
        <w:t>in</w:t>
      </w:r>
      <w:r w:rsidRPr="00B11250">
        <w:rPr>
          <w:snapToGrid w:val="0"/>
          <w:szCs w:val="24"/>
          <w:lang w:val="es-PE"/>
        </w:rPr>
        <w:t xml:space="preserve"> perjuicio de las observaciones de oficio que puedan realizarse al amparo de lo previsto por el inciso a) del artículo 58 de la Ley.</w:t>
      </w:r>
    </w:p>
    <w:p w:rsidR="00E86528" w:rsidRDefault="00E86528" w:rsidP="004D40B7">
      <w:pPr>
        <w:widowControl w:val="0"/>
        <w:ind w:left="1" w:firstLine="1"/>
        <w:jc w:val="both"/>
        <w:rPr>
          <w:lang w:val="es-ES_tradnl" w:eastAsia="es-ES"/>
        </w:rPr>
      </w:pPr>
    </w:p>
    <w:p w:rsidR="00B81F81" w:rsidRDefault="00B81F81" w:rsidP="004D40B7">
      <w:pPr>
        <w:widowControl w:val="0"/>
        <w:ind w:left="1" w:firstLine="1"/>
        <w:jc w:val="both"/>
        <w:rPr>
          <w:lang w:val="es-ES_tradnl" w:eastAsia="es-ES"/>
        </w:rPr>
      </w:pPr>
    </w:p>
    <w:p w:rsidR="00B81F81" w:rsidRDefault="00B81F81" w:rsidP="004D40B7">
      <w:pPr>
        <w:widowControl w:val="0"/>
        <w:ind w:left="1" w:firstLine="1"/>
        <w:jc w:val="both"/>
        <w:rPr>
          <w:lang w:val="es-ES_tradnl" w:eastAsia="es-ES"/>
        </w:rPr>
      </w:pPr>
    </w:p>
    <w:p w:rsidR="00B81F81" w:rsidRDefault="00B81F81" w:rsidP="004D40B7">
      <w:pPr>
        <w:widowControl w:val="0"/>
        <w:ind w:left="1" w:firstLine="1"/>
        <w:jc w:val="both"/>
        <w:rPr>
          <w:lang w:val="es-ES_tradnl" w:eastAsia="es-ES"/>
        </w:rPr>
      </w:pPr>
    </w:p>
    <w:p w:rsidR="00B81F81" w:rsidRDefault="00B81F81" w:rsidP="004D40B7">
      <w:pPr>
        <w:widowControl w:val="0"/>
        <w:ind w:left="1" w:firstLine="1"/>
        <w:jc w:val="both"/>
        <w:rPr>
          <w:lang w:val="es-ES_tradnl" w:eastAsia="es-ES"/>
        </w:rPr>
      </w:pPr>
    </w:p>
    <w:p w:rsidR="004D40B7" w:rsidRPr="00730620" w:rsidRDefault="004D40B7" w:rsidP="004D40B7">
      <w:pPr>
        <w:widowControl w:val="0"/>
        <w:numPr>
          <w:ilvl w:val="0"/>
          <w:numId w:val="1"/>
        </w:numPr>
        <w:ind w:left="567" w:hanging="567"/>
        <w:jc w:val="both"/>
        <w:rPr>
          <w:b/>
        </w:rPr>
      </w:pPr>
      <w:r w:rsidRPr="00730620">
        <w:rPr>
          <w:b/>
          <w:lang w:val="es-ES"/>
        </w:rPr>
        <w:t>OBSERVACIONES</w:t>
      </w:r>
    </w:p>
    <w:p w:rsidR="004D40B7" w:rsidRPr="00730620" w:rsidRDefault="004D40B7" w:rsidP="004D40B7">
      <w:pPr>
        <w:pStyle w:val="WW-Sangra3detindependiente"/>
        <w:suppressAutoHyphens w:val="0"/>
        <w:ind w:left="0" w:firstLine="0"/>
        <w:rPr>
          <w:szCs w:val="24"/>
        </w:rPr>
      </w:pPr>
    </w:p>
    <w:p w:rsidR="004D40B7" w:rsidRPr="00F45305" w:rsidRDefault="004D40B7" w:rsidP="004D40B7">
      <w:pPr>
        <w:tabs>
          <w:tab w:val="left" w:pos="567"/>
        </w:tabs>
        <w:ind w:left="4253" w:hanging="4253"/>
        <w:jc w:val="both"/>
        <w:rPr>
          <w:rFonts w:eastAsia="MS Mincho"/>
          <w:b/>
          <w:lang w:val="es-PE" w:eastAsia="es-ES"/>
        </w:rPr>
      </w:pPr>
      <w:r w:rsidRPr="00F45305">
        <w:rPr>
          <w:b/>
          <w:lang w:val="es-PE"/>
        </w:rPr>
        <w:t>Observante:</w:t>
      </w:r>
      <w:r w:rsidRPr="00F45305">
        <w:rPr>
          <w:b/>
          <w:lang w:val="es-PE"/>
        </w:rPr>
        <w:tab/>
      </w:r>
      <w:r w:rsidR="00F45305" w:rsidRPr="00527730">
        <w:rPr>
          <w:b/>
          <w:color w:val="000000"/>
          <w:shd w:val="clear" w:color="auto" w:fill="FFFFFF"/>
          <w:lang w:val="es-PE"/>
        </w:rPr>
        <w:t>ARAMAYO SAC CONT</w:t>
      </w:r>
      <w:r w:rsidR="00F45305">
        <w:rPr>
          <w:b/>
          <w:color w:val="000000"/>
          <w:shd w:val="clear" w:color="auto" w:fill="FFFFFF"/>
          <w:lang w:val="es-PE"/>
        </w:rPr>
        <w:t>RATISTAS</w:t>
      </w:r>
      <w:r w:rsidR="00F45305" w:rsidRPr="00527730">
        <w:rPr>
          <w:b/>
          <w:color w:val="000000"/>
          <w:shd w:val="clear" w:color="auto" w:fill="FFFFFF"/>
          <w:lang w:val="es-PE"/>
        </w:rPr>
        <w:t xml:space="preserve"> G</w:t>
      </w:r>
      <w:r w:rsidR="00F45305">
        <w:rPr>
          <w:b/>
          <w:color w:val="000000"/>
          <w:shd w:val="clear" w:color="auto" w:fill="FFFFFF"/>
          <w:lang w:val="es-PE"/>
        </w:rPr>
        <w:t>ENE</w:t>
      </w:r>
      <w:r w:rsidR="00F45305" w:rsidRPr="00527730">
        <w:rPr>
          <w:b/>
          <w:color w:val="000000"/>
          <w:shd w:val="clear" w:color="auto" w:fill="FFFFFF"/>
          <w:lang w:val="es-PE"/>
        </w:rPr>
        <w:t>R</w:t>
      </w:r>
      <w:r w:rsidR="00F45305">
        <w:rPr>
          <w:b/>
          <w:color w:val="000000"/>
          <w:shd w:val="clear" w:color="auto" w:fill="FFFFFF"/>
          <w:lang w:val="es-PE"/>
        </w:rPr>
        <w:t>ALES</w:t>
      </w:r>
      <w:r w:rsidR="00F45305" w:rsidRPr="00527730">
        <w:rPr>
          <w:b/>
          <w:color w:val="000000"/>
          <w:shd w:val="clear" w:color="auto" w:fill="FFFFFF"/>
          <w:lang w:val="es-PE"/>
        </w:rPr>
        <w:t xml:space="preserve"> ARAMSA CONT</w:t>
      </w:r>
      <w:r w:rsidR="00F45305">
        <w:rPr>
          <w:b/>
          <w:color w:val="000000"/>
          <w:shd w:val="clear" w:color="auto" w:fill="FFFFFF"/>
          <w:lang w:val="es-PE"/>
        </w:rPr>
        <w:t xml:space="preserve">. </w:t>
      </w:r>
      <w:r w:rsidR="00F45305" w:rsidRPr="00527730">
        <w:rPr>
          <w:b/>
          <w:color w:val="000000"/>
          <w:shd w:val="clear" w:color="auto" w:fill="FFFFFF"/>
          <w:lang w:val="es-PE"/>
        </w:rPr>
        <w:t>GRL</w:t>
      </w:r>
      <w:r w:rsidR="00F45305">
        <w:rPr>
          <w:b/>
          <w:color w:val="000000"/>
          <w:shd w:val="clear" w:color="auto" w:fill="FFFFFF"/>
          <w:lang w:val="es-PE"/>
        </w:rPr>
        <w:t>.</w:t>
      </w:r>
      <w:r w:rsidR="00F45305" w:rsidRPr="00527730">
        <w:rPr>
          <w:b/>
          <w:color w:val="000000"/>
          <w:shd w:val="clear" w:color="auto" w:fill="FFFFFF"/>
          <w:lang w:val="es-PE"/>
        </w:rPr>
        <w:t xml:space="preserve"> S</w:t>
      </w:r>
      <w:r w:rsidR="00F45305">
        <w:rPr>
          <w:b/>
          <w:color w:val="000000"/>
          <w:shd w:val="clear" w:color="auto" w:fill="FFFFFF"/>
          <w:lang w:val="es-PE"/>
        </w:rPr>
        <w:t>.</w:t>
      </w:r>
      <w:r w:rsidR="00F45305" w:rsidRPr="00527730">
        <w:rPr>
          <w:b/>
          <w:color w:val="000000"/>
          <w:shd w:val="clear" w:color="auto" w:fill="FFFFFF"/>
          <w:lang w:val="es-PE"/>
        </w:rPr>
        <w:t>A</w:t>
      </w:r>
      <w:r w:rsidR="00F45305">
        <w:rPr>
          <w:b/>
          <w:color w:val="000000"/>
          <w:shd w:val="clear" w:color="auto" w:fill="FFFFFF"/>
          <w:lang w:val="es-PE"/>
        </w:rPr>
        <w:t>.</w:t>
      </w:r>
      <w:r w:rsidR="00F45305" w:rsidRPr="00527730">
        <w:rPr>
          <w:b/>
          <w:color w:val="000000"/>
          <w:shd w:val="clear" w:color="auto" w:fill="FFFFFF"/>
          <w:lang w:val="es-PE"/>
        </w:rPr>
        <w:t>C</w:t>
      </w:r>
    </w:p>
    <w:p w:rsidR="004D40B7" w:rsidRPr="00F45305" w:rsidRDefault="004D40B7" w:rsidP="004D40B7">
      <w:pPr>
        <w:widowControl w:val="0"/>
        <w:ind w:left="4248" w:hanging="4248"/>
        <w:jc w:val="both"/>
        <w:rPr>
          <w:b/>
          <w:lang w:val="es-PE"/>
        </w:rPr>
      </w:pPr>
    </w:p>
    <w:p w:rsidR="00F45305" w:rsidRDefault="004674C6" w:rsidP="00F45305">
      <w:pPr>
        <w:widowControl w:val="0"/>
        <w:tabs>
          <w:tab w:val="left" w:pos="567"/>
          <w:tab w:val="left" w:pos="4253"/>
        </w:tabs>
        <w:ind w:left="4248" w:hanging="4248"/>
        <w:jc w:val="both"/>
        <w:rPr>
          <w:b/>
          <w:lang w:val="es-PE"/>
        </w:rPr>
      </w:pPr>
      <w:r>
        <w:rPr>
          <w:b/>
          <w:lang w:val="es-PE"/>
        </w:rPr>
        <w:t>Observación</w:t>
      </w:r>
      <w:r w:rsidR="004D40B7" w:rsidRPr="00730620">
        <w:rPr>
          <w:b/>
          <w:lang w:val="es-PE"/>
        </w:rPr>
        <w:t xml:space="preserve"> Nº</w:t>
      </w:r>
      <w:r w:rsidR="00F45305">
        <w:rPr>
          <w:b/>
          <w:lang w:val="es-PE"/>
        </w:rPr>
        <w:t xml:space="preserve"> </w:t>
      </w:r>
      <w:r w:rsidR="00B81F81">
        <w:rPr>
          <w:b/>
          <w:lang w:val="es-PE"/>
        </w:rPr>
        <w:t>01</w:t>
      </w:r>
      <w:r w:rsidR="00F45305">
        <w:rPr>
          <w:b/>
          <w:lang w:val="es-PE"/>
        </w:rPr>
        <w:tab/>
        <w:t>Contra la experiencia requerida al Residente de Obra</w:t>
      </w:r>
    </w:p>
    <w:p w:rsidR="00F45305" w:rsidRDefault="00F45305" w:rsidP="00F45305">
      <w:pPr>
        <w:widowControl w:val="0"/>
        <w:tabs>
          <w:tab w:val="left" w:pos="567"/>
          <w:tab w:val="left" w:pos="4253"/>
        </w:tabs>
        <w:ind w:left="4248" w:hanging="4248"/>
        <w:jc w:val="both"/>
        <w:rPr>
          <w:b/>
          <w:lang w:val="es-PE"/>
        </w:rPr>
      </w:pPr>
    </w:p>
    <w:p w:rsidR="009957BA" w:rsidRDefault="007F7362" w:rsidP="007F7362">
      <w:pPr>
        <w:widowControl w:val="0"/>
        <w:tabs>
          <w:tab w:val="left" w:pos="0"/>
        </w:tabs>
        <w:jc w:val="both"/>
      </w:pPr>
      <w:r>
        <w:t xml:space="preserve">El participante </w:t>
      </w:r>
      <w:r w:rsidR="004D40B7" w:rsidRPr="00730620">
        <w:t xml:space="preserve">cuestiona </w:t>
      </w:r>
      <w:r w:rsidR="000336E5">
        <w:t xml:space="preserve">que </w:t>
      </w:r>
      <w:r>
        <w:t xml:space="preserve">al Residente de Obra sólo se admita </w:t>
      </w:r>
      <w:r w:rsidR="000336E5">
        <w:t xml:space="preserve">acreditar, en los requerimientos técnicos mínimos y en los factores de evaluación, </w:t>
      </w:r>
      <w:r>
        <w:t xml:space="preserve">experiencia en el cargo de Residente y no como Inspector y/o Supervisor </w:t>
      </w:r>
      <w:r w:rsidR="000336E5">
        <w:t xml:space="preserve">de obras similares, </w:t>
      </w:r>
      <w:r>
        <w:t>conforme a los pronunciamientos</w:t>
      </w:r>
      <w:r w:rsidR="009957BA">
        <w:t xml:space="preserve"> en esta materia emitidos por el OSCE.</w:t>
      </w:r>
      <w:r w:rsidR="000336E5">
        <w:t xml:space="preserve"> Por lo tanto, solicita que se acepte que el Residente de Obra acredite su experiencia como Residente, Inspector y/o Supervisor de obras similares.</w:t>
      </w:r>
    </w:p>
    <w:p w:rsidR="007F7362" w:rsidRPr="00730620" w:rsidRDefault="007F7362" w:rsidP="007F7362">
      <w:pPr>
        <w:widowControl w:val="0"/>
        <w:tabs>
          <w:tab w:val="left" w:pos="0"/>
        </w:tabs>
        <w:jc w:val="both"/>
      </w:pPr>
    </w:p>
    <w:p w:rsidR="004D40B7" w:rsidRPr="00730620" w:rsidRDefault="004D40B7" w:rsidP="004D40B7">
      <w:pPr>
        <w:jc w:val="both"/>
        <w:rPr>
          <w:b/>
          <w:lang w:val="es-PE"/>
        </w:rPr>
      </w:pPr>
      <w:r w:rsidRPr="00730620">
        <w:rPr>
          <w:b/>
          <w:lang w:val="es-PE"/>
        </w:rPr>
        <w:t>Pronunciamiento</w:t>
      </w:r>
    </w:p>
    <w:p w:rsidR="004D40B7" w:rsidRPr="00730620" w:rsidRDefault="004D40B7" w:rsidP="004D40B7">
      <w:pPr>
        <w:jc w:val="both"/>
      </w:pPr>
    </w:p>
    <w:p w:rsidR="000336E5" w:rsidRDefault="004D40B7" w:rsidP="004D40B7">
      <w:pPr>
        <w:widowControl w:val="0"/>
        <w:tabs>
          <w:tab w:val="left" w:pos="3969"/>
        </w:tabs>
        <w:jc w:val="both"/>
      </w:pPr>
      <w:r w:rsidRPr="00730620">
        <w:t xml:space="preserve">De la revisión de las Bases, se advierte que en </w:t>
      </w:r>
      <w:r w:rsidR="00FD6EE3">
        <w:t>numeral 1 d</w:t>
      </w:r>
      <w:r w:rsidRPr="00730620">
        <w:t xml:space="preserve">el Capítulo III </w:t>
      </w:r>
      <w:r w:rsidR="006308E4">
        <w:t xml:space="preserve">y en el literal </w:t>
      </w:r>
      <w:r w:rsidR="000336E5">
        <w:t>c</w:t>
      </w:r>
      <w:r w:rsidR="006308E4">
        <w:t xml:space="preserve">) del Capítulo IV </w:t>
      </w:r>
      <w:r w:rsidRPr="00730620">
        <w:t xml:space="preserve">de la Sección Específica, se ha establecido lo siguiente: </w:t>
      </w:r>
    </w:p>
    <w:p w:rsidR="000336E5" w:rsidRDefault="000336E5" w:rsidP="004D40B7">
      <w:pPr>
        <w:widowControl w:val="0"/>
        <w:tabs>
          <w:tab w:val="left" w:pos="3969"/>
        </w:tabs>
        <w:jc w:val="both"/>
      </w:pPr>
    </w:p>
    <w:p w:rsidR="000336E5" w:rsidRPr="000336E5" w:rsidRDefault="000336E5" w:rsidP="000336E5">
      <w:pPr>
        <w:widowControl w:val="0"/>
        <w:tabs>
          <w:tab w:val="left" w:pos="426"/>
        </w:tabs>
        <w:jc w:val="both"/>
      </w:pPr>
      <w:r>
        <w:tab/>
      </w:r>
      <w:r w:rsidRPr="000336E5">
        <w:rPr>
          <w:b/>
          <w:u w:val="single"/>
        </w:rPr>
        <w:t>Capítulo III de la Sección Específica</w:t>
      </w:r>
      <w:r w:rsidRPr="000336E5">
        <w:t>:</w:t>
      </w:r>
      <w:r w:rsidRPr="000336E5">
        <w:rPr>
          <w:b/>
          <w:u w:val="single"/>
        </w:rPr>
        <w:t xml:space="preserve"> </w:t>
      </w:r>
    </w:p>
    <w:p w:rsidR="000336E5" w:rsidRPr="00730620" w:rsidRDefault="000336E5" w:rsidP="004D40B7">
      <w:pPr>
        <w:widowControl w:val="0"/>
        <w:tabs>
          <w:tab w:val="left" w:pos="3969"/>
        </w:tabs>
        <w:jc w:val="both"/>
      </w:pPr>
    </w:p>
    <w:tbl>
      <w:tblPr>
        <w:tblW w:w="8221"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3"/>
        <w:gridCol w:w="1286"/>
        <w:gridCol w:w="5812"/>
      </w:tblGrid>
      <w:tr w:rsidR="00FD6EE3" w:rsidRPr="000336E5" w:rsidTr="000336E5">
        <w:tc>
          <w:tcPr>
            <w:tcW w:w="1123" w:type="dxa"/>
            <w:shd w:val="clear" w:color="auto" w:fill="B8CCE4"/>
            <w:vAlign w:val="center"/>
          </w:tcPr>
          <w:p w:rsidR="00FD6EE3" w:rsidRPr="000336E5" w:rsidRDefault="00FD6EE3" w:rsidP="00B96F29">
            <w:pPr>
              <w:jc w:val="center"/>
              <w:rPr>
                <w:b/>
                <w:i/>
              </w:rPr>
            </w:pPr>
            <w:r w:rsidRPr="000336E5">
              <w:rPr>
                <w:b/>
                <w:i/>
              </w:rPr>
              <w:t>Cantidad</w:t>
            </w:r>
          </w:p>
        </w:tc>
        <w:tc>
          <w:tcPr>
            <w:tcW w:w="1286" w:type="dxa"/>
            <w:shd w:val="clear" w:color="auto" w:fill="B8CCE4"/>
            <w:vAlign w:val="center"/>
          </w:tcPr>
          <w:p w:rsidR="00FD6EE3" w:rsidRPr="000336E5" w:rsidRDefault="00FD6EE3" w:rsidP="00B96F29">
            <w:pPr>
              <w:jc w:val="center"/>
              <w:rPr>
                <w:b/>
                <w:i/>
              </w:rPr>
            </w:pPr>
            <w:r w:rsidRPr="000336E5">
              <w:rPr>
                <w:b/>
                <w:i/>
              </w:rPr>
              <w:t>Cargo</w:t>
            </w:r>
          </w:p>
        </w:tc>
        <w:tc>
          <w:tcPr>
            <w:tcW w:w="5812" w:type="dxa"/>
            <w:shd w:val="clear" w:color="auto" w:fill="B8CCE4"/>
            <w:vAlign w:val="center"/>
          </w:tcPr>
          <w:p w:rsidR="00FD6EE3" w:rsidRPr="000336E5" w:rsidRDefault="00FD6EE3" w:rsidP="00B96F29">
            <w:pPr>
              <w:jc w:val="center"/>
              <w:rPr>
                <w:b/>
                <w:i/>
              </w:rPr>
            </w:pPr>
            <w:r w:rsidRPr="000336E5">
              <w:rPr>
                <w:b/>
                <w:i/>
              </w:rPr>
              <w:t>RTM</w:t>
            </w:r>
          </w:p>
        </w:tc>
      </w:tr>
      <w:tr w:rsidR="00FD6EE3" w:rsidRPr="000336E5" w:rsidTr="000336E5">
        <w:tc>
          <w:tcPr>
            <w:tcW w:w="1123" w:type="dxa"/>
            <w:shd w:val="clear" w:color="auto" w:fill="auto"/>
            <w:vAlign w:val="center"/>
          </w:tcPr>
          <w:p w:rsidR="00FD6EE3" w:rsidRPr="000336E5" w:rsidRDefault="00FD6EE3" w:rsidP="00B96F29">
            <w:pPr>
              <w:jc w:val="center"/>
              <w:rPr>
                <w:i/>
              </w:rPr>
            </w:pPr>
            <w:r w:rsidRPr="000336E5">
              <w:rPr>
                <w:i/>
              </w:rPr>
              <w:t>03</w:t>
            </w:r>
          </w:p>
        </w:tc>
        <w:tc>
          <w:tcPr>
            <w:tcW w:w="1286" w:type="dxa"/>
            <w:shd w:val="clear" w:color="auto" w:fill="auto"/>
            <w:vAlign w:val="center"/>
          </w:tcPr>
          <w:p w:rsidR="00FD6EE3" w:rsidRPr="000336E5" w:rsidRDefault="00FD6EE3" w:rsidP="00B96F29">
            <w:pPr>
              <w:jc w:val="center"/>
              <w:rPr>
                <w:i/>
              </w:rPr>
            </w:pPr>
            <w:r w:rsidRPr="000336E5">
              <w:rPr>
                <w:i/>
              </w:rPr>
              <w:t>Residente de Obra</w:t>
            </w:r>
          </w:p>
        </w:tc>
        <w:tc>
          <w:tcPr>
            <w:tcW w:w="5812" w:type="dxa"/>
            <w:shd w:val="clear" w:color="auto" w:fill="auto"/>
          </w:tcPr>
          <w:p w:rsidR="00FD6EE3" w:rsidRPr="000336E5" w:rsidRDefault="00FD6EE3" w:rsidP="00B96F29">
            <w:pPr>
              <w:jc w:val="both"/>
              <w:rPr>
                <w:i/>
              </w:rPr>
            </w:pPr>
            <w:r w:rsidRPr="000336E5">
              <w:rPr>
                <w:i/>
              </w:rPr>
              <w:t xml:space="preserve">Ingeniero Civil colegiado y habilitado con veinticuatro (24) meses de experiencia como </w:t>
            </w:r>
            <w:r w:rsidRPr="000336E5">
              <w:rPr>
                <w:b/>
                <w:i/>
              </w:rPr>
              <w:t xml:space="preserve">residente </w:t>
            </w:r>
            <w:r w:rsidRPr="000336E5">
              <w:rPr>
                <w:i/>
              </w:rPr>
              <w:t>en obras similares</w:t>
            </w:r>
          </w:p>
        </w:tc>
      </w:tr>
    </w:tbl>
    <w:p w:rsidR="00095016" w:rsidRDefault="00095016" w:rsidP="00FD6EE3">
      <w:pPr>
        <w:widowControl w:val="0"/>
        <w:rPr>
          <w:rFonts w:eastAsia="MS Mincho"/>
          <w:lang w:eastAsia="es-PE"/>
        </w:rPr>
      </w:pPr>
    </w:p>
    <w:p w:rsidR="000336E5" w:rsidRPr="000336E5" w:rsidRDefault="000336E5" w:rsidP="000336E5">
      <w:pPr>
        <w:widowControl w:val="0"/>
        <w:tabs>
          <w:tab w:val="left" w:pos="3969"/>
        </w:tabs>
        <w:ind w:firstLine="426"/>
        <w:jc w:val="both"/>
        <w:rPr>
          <w:b/>
          <w:u w:val="single"/>
        </w:rPr>
      </w:pPr>
      <w:r w:rsidRPr="000336E5">
        <w:rPr>
          <w:b/>
          <w:u w:val="single"/>
        </w:rPr>
        <w:t xml:space="preserve">Capítulo </w:t>
      </w:r>
      <w:r>
        <w:rPr>
          <w:b/>
          <w:u w:val="single"/>
        </w:rPr>
        <w:t xml:space="preserve">IV </w:t>
      </w:r>
      <w:r w:rsidRPr="000336E5">
        <w:rPr>
          <w:b/>
          <w:u w:val="single"/>
        </w:rPr>
        <w:t>de la Sección Espec</w:t>
      </w:r>
      <w:r>
        <w:rPr>
          <w:b/>
          <w:u w:val="single"/>
        </w:rPr>
        <w:t>ífica</w:t>
      </w:r>
      <w:r w:rsidRPr="000336E5">
        <w:t>:</w:t>
      </w:r>
    </w:p>
    <w:p w:rsidR="000336E5" w:rsidRDefault="000336E5" w:rsidP="000336E5">
      <w:pPr>
        <w:widowControl w:val="0"/>
        <w:rPr>
          <w:rFonts w:eastAsia="MS Mincho"/>
          <w:lang w:eastAsia="es-PE"/>
        </w:rPr>
      </w:pPr>
    </w:p>
    <w:p w:rsidR="006308E4" w:rsidRPr="00740E4F" w:rsidRDefault="00740E4F" w:rsidP="000336E5">
      <w:pPr>
        <w:widowControl w:val="0"/>
        <w:ind w:left="426"/>
        <w:jc w:val="both"/>
        <w:rPr>
          <w:b/>
          <w:i/>
          <w:lang w:eastAsia="es-ES"/>
        </w:rPr>
      </w:pPr>
      <w:r w:rsidRPr="00740E4F">
        <w:rPr>
          <w:b/>
          <w:i/>
          <w:lang w:eastAsia="es-ES"/>
        </w:rPr>
        <w:t>“</w:t>
      </w:r>
      <w:r w:rsidR="006308E4" w:rsidRPr="00740E4F">
        <w:rPr>
          <w:b/>
          <w:i/>
          <w:lang w:eastAsia="es-ES"/>
        </w:rPr>
        <w:t>EXPERIENCIA Y CALIFICACIONES DEL PERSONAL PROFESIONAL PROPUESTO.</w:t>
      </w:r>
    </w:p>
    <w:p w:rsidR="006308E4" w:rsidRPr="00740E4F" w:rsidRDefault="006308E4" w:rsidP="006308E4">
      <w:pPr>
        <w:widowControl w:val="0"/>
        <w:jc w:val="both"/>
        <w:rPr>
          <w:b/>
          <w:i/>
          <w:lang w:eastAsia="es-ES"/>
        </w:rPr>
      </w:pPr>
    </w:p>
    <w:p w:rsidR="006308E4" w:rsidRPr="00740E4F" w:rsidRDefault="006308E4" w:rsidP="000336E5">
      <w:pPr>
        <w:widowControl w:val="0"/>
        <w:ind w:firstLine="426"/>
        <w:jc w:val="both"/>
        <w:rPr>
          <w:i/>
          <w:u w:val="single"/>
          <w:lang w:eastAsia="es-ES"/>
        </w:rPr>
      </w:pPr>
      <w:r w:rsidRPr="00740E4F">
        <w:rPr>
          <w:i/>
          <w:u w:val="single"/>
          <w:lang w:eastAsia="es-ES"/>
        </w:rPr>
        <w:t>Criterio:</w:t>
      </w:r>
    </w:p>
    <w:p w:rsidR="006308E4" w:rsidRPr="00740E4F" w:rsidRDefault="006308E4" w:rsidP="000336E5">
      <w:pPr>
        <w:widowControl w:val="0"/>
        <w:ind w:left="426"/>
        <w:jc w:val="both"/>
        <w:rPr>
          <w:i/>
          <w:lang w:eastAsia="es-ES"/>
        </w:rPr>
      </w:pPr>
      <w:r w:rsidRPr="00740E4F">
        <w:rPr>
          <w:i/>
          <w:lang w:eastAsia="es-ES"/>
        </w:rPr>
        <w:t>Se evaluará en función al tiempo de experiencia en la especialidad del personal propuesto para la ejecución de la obra según corresponda</w:t>
      </w:r>
      <w:r w:rsidR="00740E4F" w:rsidRPr="00740E4F">
        <w:rPr>
          <w:i/>
          <w:lang w:eastAsia="es-ES"/>
        </w:rPr>
        <w:t xml:space="preserve"> (…)</w:t>
      </w:r>
      <w:r w:rsidRPr="00740E4F">
        <w:rPr>
          <w:i/>
          <w:lang w:eastAsia="es-ES"/>
        </w:rPr>
        <w:t>.</w:t>
      </w:r>
    </w:p>
    <w:p w:rsidR="001D328D" w:rsidRPr="00740E4F" w:rsidRDefault="001D328D" w:rsidP="001D328D">
      <w:pPr>
        <w:autoSpaceDE w:val="0"/>
        <w:autoSpaceDN w:val="0"/>
        <w:adjustRightInd w:val="0"/>
        <w:rPr>
          <w:b/>
          <w:i/>
        </w:rPr>
      </w:pPr>
    </w:p>
    <w:p w:rsidR="001D328D" w:rsidRPr="00740E4F" w:rsidRDefault="001D328D" w:rsidP="000336E5">
      <w:pPr>
        <w:autoSpaceDE w:val="0"/>
        <w:autoSpaceDN w:val="0"/>
        <w:adjustRightInd w:val="0"/>
        <w:ind w:firstLine="426"/>
        <w:rPr>
          <w:b/>
          <w:i/>
        </w:rPr>
      </w:pPr>
      <w:r w:rsidRPr="00740E4F">
        <w:rPr>
          <w:b/>
          <w:i/>
        </w:rPr>
        <w:t>RESIDENTE DE OBRA:</w:t>
      </w:r>
    </w:p>
    <w:p w:rsidR="001D328D" w:rsidRPr="00740E4F" w:rsidRDefault="001D328D" w:rsidP="001D328D">
      <w:pPr>
        <w:autoSpaceDE w:val="0"/>
        <w:autoSpaceDN w:val="0"/>
        <w:adjustRightInd w:val="0"/>
        <w:jc w:val="both"/>
        <w:rPr>
          <w:i/>
        </w:rPr>
      </w:pPr>
    </w:p>
    <w:p w:rsidR="001D328D" w:rsidRPr="00740E4F" w:rsidRDefault="001D328D" w:rsidP="008626A6">
      <w:pPr>
        <w:autoSpaceDE w:val="0"/>
        <w:autoSpaceDN w:val="0"/>
        <w:adjustRightInd w:val="0"/>
        <w:ind w:left="426"/>
        <w:jc w:val="both"/>
        <w:rPr>
          <w:i/>
        </w:rPr>
      </w:pPr>
      <w:r w:rsidRPr="00740E4F">
        <w:rPr>
          <w:i/>
        </w:rPr>
        <w:t xml:space="preserve">Se evaluará en función al tiempo de experiencia </w:t>
      </w:r>
      <w:r w:rsidR="00740E4F" w:rsidRPr="00740E4F">
        <w:rPr>
          <w:i/>
        </w:rPr>
        <w:t>en ejecución de obras similares (…)</w:t>
      </w:r>
    </w:p>
    <w:p w:rsidR="006308E4" w:rsidRDefault="006308E4" w:rsidP="004D40B7">
      <w:pPr>
        <w:widowControl w:val="0"/>
        <w:jc w:val="both"/>
        <w:rPr>
          <w:rFonts w:eastAsia="MS Mincho"/>
          <w:i/>
          <w:lang w:eastAsia="es-PE"/>
        </w:rPr>
      </w:pPr>
    </w:p>
    <w:p w:rsidR="00B81F81" w:rsidRDefault="00B81F81" w:rsidP="004D40B7">
      <w:pPr>
        <w:widowControl w:val="0"/>
        <w:jc w:val="both"/>
        <w:rPr>
          <w:rFonts w:eastAsia="MS Mincho"/>
          <w:i/>
          <w:lang w:eastAsia="es-PE"/>
        </w:rPr>
      </w:pPr>
    </w:p>
    <w:p w:rsidR="00B81F81" w:rsidRPr="00740E4F" w:rsidRDefault="00B81F81" w:rsidP="004D40B7">
      <w:pPr>
        <w:widowControl w:val="0"/>
        <w:jc w:val="both"/>
        <w:rPr>
          <w:rFonts w:eastAsia="MS Mincho"/>
          <w:i/>
          <w:lang w:eastAsia="es-PE"/>
        </w:rPr>
      </w:pPr>
    </w:p>
    <w:p w:rsidR="004D40B7" w:rsidRPr="00730620" w:rsidRDefault="004D40B7" w:rsidP="004D40B7">
      <w:pPr>
        <w:widowControl w:val="0"/>
        <w:jc w:val="both"/>
        <w:rPr>
          <w:rFonts w:eastAsia="MS Mincho"/>
          <w:lang w:eastAsia="es-PE"/>
        </w:rPr>
      </w:pPr>
      <w:r w:rsidRPr="00730620">
        <w:rPr>
          <w:rFonts w:eastAsia="MS Mincho"/>
          <w:lang w:eastAsia="es-PE"/>
        </w:rPr>
        <w:lastRenderedPageBreak/>
        <w:t>Ahora bien, el Comité Especial, al absolver la</w:t>
      </w:r>
      <w:r w:rsidR="002F6E94">
        <w:rPr>
          <w:rFonts w:eastAsia="MS Mincho"/>
          <w:lang w:eastAsia="es-PE"/>
        </w:rPr>
        <w:t xml:space="preserve"> </w:t>
      </w:r>
      <w:r w:rsidRPr="00730620">
        <w:rPr>
          <w:rFonts w:eastAsia="MS Mincho"/>
          <w:lang w:eastAsia="es-PE"/>
        </w:rPr>
        <w:t xml:space="preserve">presente </w:t>
      </w:r>
      <w:r w:rsidR="002A4F6A" w:rsidRPr="00730620">
        <w:rPr>
          <w:rFonts w:eastAsia="MS Mincho"/>
          <w:lang w:eastAsia="es-PE"/>
        </w:rPr>
        <w:t>observación</w:t>
      </w:r>
      <w:r w:rsidRPr="00730620">
        <w:rPr>
          <w:rFonts w:eastAsia="MS Mincho"/>
          <w:lang w:eastAsia="es-PE"/>
        </w:rPr>
        <w:t xml:space="preserve"> señaló lo siguiente:</w:t>
      </w:r>
    </w:p>
    <w:p w:rsidR="004D40B7" w:rsidRDefault="004D40B7" w:rsidP="006308E4">
      <w:pPr>
        <w:jc w:val="both"/>
        <w:rPr>
          <w:rFonts w:cstheme="minorBidi"/>
        </w:rPr>
      </w:pPr>
    </w:p>
    <w:p w:rsidR="002A4F6A" w:rsidRDefault="00740E4F" w:rsidP="002A4F6A">
      <w:pPr>
        <w:ind w:left="708"/>
        <w:jc w:val="both"/>
        <w:rPr>
          <w:rFonts w:cstheme="minorBidi"/>
          <w:i/>
        </w:rPr>
      </w:pPr>
      <w:r w:rsidRPr="00740E4F">
        <w:rPr>
          <w:rFonts w:cstheme="minorBidi"/>
          <w:i/>
        </w:rPr>
        <w:t>“El área usuaria no acoge la observación, y aclara que la experiencia requerida para el profesional: Residente de Obra, por tratarse de la ejecución de una obra, es en obras similares y eso porque la experiencia es entendida como la destreza adquirida por la práctica reiterada de una conducta durante un período determinado, siendo que, en el caso del profesional propuesto, la experiencia se adquiere por los trabajos efectivamente ejecutados y culminados en cierto período.</w:t>
      </w:r>
    </w:p>
    <w:p w:rsidR="002A4F6A" w:rsidRDefault="002A4F6A" w:rsidP="002A4F6A">
      <w:pPr>
        <w:ind w:left="708"/>
        <w:jc w:val="both"/>
        <w:rPr>
          <w:rFonts w:cstheme="minorBidi"/>
          <w:i/>
        </w:rPr>
      </w:pPr>
    </w:p>
    <w:p w:rsidR="00740E4F" w:rsidRPr="00740E4F" w:rsidRDefault="00740E4F" w:rsidP="002A4F6A">
      <w:pPr>
        <w:ind w:left="708"/>
        <w:jc w:val="both"/>
        <w:rPr>
          <w:rFonts w:cstheme="minorBidi"/>
          <w:i/>
        </w:rPr>
      </w:pPr>
      <w:r w:rsidRPr="00740E4F">
        <w:rPr>
          <w:rFonts w:cstheme="minorBidi"/>
          <w:i/>
        </w:rPr>
        <w:t>Adicionalmente, la experiencia de este profesional que ejecutará la obra objeto de la contratación es la obtenida en su respectiva especialidad, es decir, en la ejecución de obras iguales y/o similares”.</w:t>
      </w:r>
    </w:p>
    <w:p w:rsidR="00740E4F" w:rsidRPr="006308E4" w:rsidRDefault="00740E4F" w:rsidP="006308E4">
      <w:pPr>
        <w:jc w:val="both"/>
        <w:rPr>
          <w:rFonts w:eastAsia="Calibri"/>
          <w:lang w:eastAsia="en-US"/>
        </w:rPr>
      </w:pPr>
    </w:p>
    <w:p w:rsidR="00EB40C6" w:rsidRDefault="00EB40C6" w:rsidP="00EB40C6">
      <w:pPr>
        <w:autoSpaceDE w:val="0"/>
        <w:autoSpaceDN w:val="0"/>
        <w:adjustRightInd w:val="0"/>
        <w:jc w:val="both"/>
      </w:pPr>
      <w:r>
        <w:rPr>
          <w:lang w:val="es-ES_tradnl"/>
        </w:rPr>
        <w:t xml:space="preserve">Al respecto, cabe señalar que </w:t>
      </w:r>
      <w:r>
        <w:t xml:space="preserve">si bien, </w:t>
      </w:r>
      <w:r w:rsidRPr="00C315C4">
        <w:t xml:space="preserve">en atención a lo establecido en </w:t>
      </w:r>
      <w:r w:rsidRPr="00C315C4">
        <w:rPr>
          <w:snapToGrid w:val="0"/>
        </w:rPr>
        <w:t>el artículo 13 de la Ley, concordado con el artículo 11 del Reglamento</w:t>
      </w:r>
      <w:r>
        <w:rPr>
          <w:snapToGrid w:val="0"/>
        </w:rPr>
        <w:t xml:space="preserve">, </w:t>
      </w:r>
      <w:r w:rsidRPr="000B4AE9">
        <w:t xml:space="preserve">es facultad de la Entidad establecer los requerimientos que consideren más adecuados para la atención de sus necesidades, </w:t>
      </w:r>
      <w:r w:rsidRPr="000B4AE9">
        <w:rPr>
          <w:b/>
          <w:u w:val="single"/>
        </w:rPr>
        <w:t>estos deben ser razonables y congruentes con el objeto de la convocatoria, así como acorde con los principios establecidos en el artículo 4 de la Ley</w:t>
      </w:r>
      <w:r w:rsidRPr="000B4AE9">
        <w:t>.</w:t>
      </w:r>
    </w:p>
    <w:p w:rsidR="00EB40C6" w:rsidRDefault="00EB40C6" w:rsidP="00EB40C6">
      <w:pPr>
        <w:autoSpaceDE w:val="0"/>
        <w:autoSpaceDN w:val="0"/>
        <w:adjustRightInd w:val="0"/>
        <w:jc w:val="both"/>
      </w:pPr>
    </w:p>
    <w:p w:rsidR="00EB40C6" w:rsidRDefault="00C315C4" w:rsidP="00EB40C6">
      <w:pPr>
        <w:autoSpaceDE w:val="0"/>
        <w:autoSpaceDN w:val="0"/>
        <w:adjustRightInd w:val="0"/>
        <w:jc w:val="both"/>
        <w:rPr>
          <w:lang w:val="es-ES_tradnl"/>
        </w:rPr>
      </w:pPr>
      <w:r>
        <w:rPr>
          <w:color w:val="000000"/>
        </w:rPr>
        <w:t xml:space="preserve">Del mismo modo, </w:t>
      </w:r>
      <w:r w:rsidRPr="000B2915">
        <w:rPr>
          <w:bCs/>
          <w:sz w:val="23"/>
          <w:szCs w:val="23"/>
        </w:rPr>
        <w:t>de conformidad con l</w:t>
      </w:r>
      <w:r w:rsidR="00EB40C6">
        <w:rPr>
          <w:bCs/>
          <w:sz w:val="23"/>
          <w:szCs w:val="23"/>
        </w:rPr>
        <w:t xml:space="preserve">o dispuesto por el artículo 43 </w:t>
      </w:r>
      <w:r w:rsidRPr="000B2915">
        <w:rPr>
          <w:bCs/>
          <w:sz w:val="23"/>
          <w:szCs w:val="23"/>
        </w:rPr>
        <w:t>del Reglamento, señala que el Comité Especial es el encargado de fijar los factores de evaluación técnicos, los que deberán ser objetivos y congruentes co</w:t>
      </w:r>
      <w:r>
        <w:rPr>
          <w:bCs/>
          <w:sz w:val="23"/>
          <w:szCs w:val="23"/>
        </w:rPr>
        <w:t xml:space="preserve">n el objeto de la convocatoria observando los </w:t>
      </w:r>
      <w:r w:rsidRPr="000B2915">
        <w:rPr>
          <w:bCs/>
          <w:sz w:val="23"/>
          <w:szCs w:val="23"/>
        </w:rPr>
        <w:t xml:space="preserve">criterios de </w:t>
      </w:r>
      <w:r w:rsidRPr="000B2915">
        <w:rPr>
          <w:bCs/>
          <w:sz w:val="23"/>
          <w:szCs w:val="23"/>
          <w:u w:val="single"/>
        </w:rPr>
        <w:t>razonabilidad</w:t>
      </w:r>
      <w:r w:rsidRPr="000B2915">
        <w:rPr>
          <w:bCs/>
          <w:sz w:val="23"/>
          <w:szCs w:val="23"/>
        </w:rPr>
        <w:t xml:space="preserve"> y proporcionalidad.</w:t>
      </w:r>
    </w:p>
    <w:p w:rsidR="00EB40C6" w:rsidRDefault="00EB40C6" w:rsidP="00EB40C6">
      <w:pPr>
        <w:autoSpaceDE w:val="0"/>
        <w:autoSpaceDN w:val="0"/>
        <w:adjustRightInd w:val="0"/>
        <w:jc w:val="both"/>
        <w:rPr>
          <w:lang w:val="es-ES_tradnl"/>
        </w:rPr>
      </w:pPr>
    </w:p>
    <w:p w:rsidR="00EB40C6" w:rsidRPr="00EB40C6" w:rsidRDefault="00EB40C6" w:rsidP="00EB40C6">
      <w:pPr>
        <w:autoSpaceDE w:val="0"/>
        <w:autoSpaceDN w:val="0"/>
        <w:adjustRightInd w:val="0"/>
        <w:jc w:val="both"/>
        <w:rPr>
          <w:lang w:val="es-ES_tradnl"/>
        </w:rPr>
      </w:pPr>
      <w:r>
        <w:t xml:space="preserve">Aunado a ello, cabe resaltar que </w:t>
      </w:r>
      <w:r w:rsidRPr="00AD05D4">
        <w:t xml:space="preserve">el artículo 185 del Reglamento establece que el residente de obra podrá ser ingeniero o arquitecto, según corresponda a la naturaleza de los trabajos, con no menos de </w:t>
      </w:r>
      <w:r w:rsidRPr="00AC7A0B">
        <w:t>dos (2) años</w:t>
      </w:r>
      <w:r>
        <w:t xml:space="preserve"> </w:t>
      </w:r>
      <w:r w:rsidRPr="002E06A1">
        <w:rPr>
          <w:b/>
          <w:u w:val="single"/>
        </w:rPr>
        <w:t>de experiencia en la especialidad</w:t>
      </w:r>
      <w:r>
        <w:t xml:space="preserve">; lo que en el presente supuesto se traduce </w:t>
      </w:r>
      <w:r w:rsidRPr="00AC7A0B">
        <w:rPr>
          <w:b/>
          <w:lang w:val="es-ES"/>
        </w:rPr>
        <w:t xml:space="preserve">en la ejecución de prestaciones </w:t>
      </w:r>
      <w:r w:rsidRPr="00AC7A0B">
        <w:rPr>
          <w:b/>
          <w:u w:val="single"/>
          <w:lang w:val="es-ES"/>
        </w:rPr>
        <w:t>iguales o similares</w:t>
      </w:r>
      <w:r w:rsidRPr="00AC7A0B">
        <w:rPr>
          <w:lang w:val="es-ES"/>
        </w:rPr>
        <w:t xml:space="preserve"> al objeto de la convocatoria; </w:t>
      </w:r>
      <w:r>
        <w:rPr>
          <w:lang w:val="es-ES"/>
        </w:rPr>
        <w:t xml:space="preserve">toda vez que </w:t>
      </w:r>
      <w:r w:rsidRPr="00AC7A0B">
        <w:rPr>
          <w:lang w:val="es-ES"/>
        </w:rPr>
        <w:t>la similitud se encuentra referida a que los trabajos deben compartir las mismas características esenciales que poseen las labores que ejecutará el personal dentro del contrato.</w:t>
      </w:r>
    </w:p>
    <w:p w:rsidR="00740E4F" w:rsidRDefault="00740E4F" w:rsidP="00740E4F">
      <w:pPr>
        <w:ind w:right="-1"/>
        <w:jc w:val="both"/>
      </w:pPr>
    </w:p>
    <w:p w:rsidR="00EB40C6" w:rsidRPr="00EB40C6" w:rsidRDefault="00C315C4" w:rsidP="00EB40C6">
      <w:pPr>
        <w:ind w:right="-1"/>
        <w:jc w:val="both"/>
      </w:pPr>
      <w:r>
        <w:t>Así, l</w:t>
      </w:r>
      <w:r w:rsidR="00740E4F">
        <w:t xml:space="preserve">a especialidad de un residente de obra queda demostrada a través de la experiencia obtenida como residente y/o supervisor y/o inspector de obras iguales y/o similares; toda vez que </w:t>
      </w:r>
      <w:r w:rsidR="00740E4F" w:rsidRPr="00EB40C6">
        <w:rPr>
          <w:b/>
        </w:rPr>
        <w:t xml:space="preserve">el </w:t>
      </w:r>
      <w:r w:rsidR="00740E4F" w:rsidRPr="00EB40C6">
        <w:rPr>
          <w:b/>
          <w:lang w:val="es-PE"/>
        </w:rPr>
        <w:t xml:space="preserve">hecho que un ingeniero residente realice labores que son supervisadas por un supervisor (jefe de supervisión) o por un inspector, permite que la experiencia obtenida </w:t>
      </w:r>
      <w:r w:rsidR="00740E4F" w:rsidRPr="00EB40C6">
        <w:rPr>
          <w:b/>
        </w:rPr>
        <w:t>al desempeñarse en el puesto de éstos, también califique para acreditar la experiencia del residente de obra requerido</w:t>
      </w:r>
      <w:r w:rsidR="00740E4F" w:rsidRPr="00EB40C6">
        <w:t>.</w:t>
      </w:r>
    </w:p>
    <w:p w:rsidR="00EB40C6" w:rsidRDefault="00EB40C6" w:rsidP="00EB40C6">
      <w:pPr>
        <w:ind w:right="-1"/>
        <w:jc w:val="both"/>
      </w:pPr>
    </w:p>
    <w:p w:rsidR="00EB40C6" w:rsidRDefault="00B81F81" w:rsidP="00740E4F">
      <w:pPr>
        <w:ind w:right="-1"/>
        <w:jc w:val="both"/>
      </w:pPr>
      <w:r>
        <w:t>Bajo ese contexto</w:t>
      </w:r>
      <w:r w:rsidR="00EB40C6">
        <w:t xml:space="preserve">, resulta importante indicar que </w:t>
      </w:r>
      <w:r w:rsidR="00EB40C6" w:rsidRPr="00EB40C6">
        <w:rPr>
          <w:b/>
        </w:rPr>
        <w:t xml:space="preserve">este Organismo Supervisor ha indicado en reiterados Pronunciamientos que experiencia del Residente de Obra </w:t>
      </w:r>
      <w:r>
        <w:rPr>
          <w:b/>
        </w:rPr>
        <w:t xml:space="preserve">podrá ser acreditada </w:t>
      </w:r>
      <w:r w:rsidR="00EB40C6" w:rsidRPr="00EB40C6">
        <w:rPr>
          <w:b/>
        </w:rPr>
        <w:t>como Residente y/o Supervisor y/o Inspector de obras iguales o similares</w:t>
      </w:r>
      <w:r w:rsidR="00EB40C6" w:rsidRPr="00EB40C6">
        <w:t>; motivo por el cual no resu</w:t>
      </w:r>
      <w:r w:rsidR="00EB40C6">
        <w:t>ltaría acorde con lo antes descrito que la experiencia obtenida por el Residente de Obra se circunscriba únicamente a la obtenida como residente, pudiendo ser también como supervisor y/o inspector de obras similares.</w:t>
      </w:r>
    </w:p>
    <w:p w:rsidR="00740E4F" w:rsidRPr="00EB40C6" w:rsidRDefault="00740E4F" w:rsidP="00740E4F">
      <w:pPr>
        <w:ind w:right="-1"/>
        <w:jc w:val="both"/>
      </w:pPr>
      <w:r>
        <w:lastRenderedPageBreak/>
        <w:t xml:space="preserve">En virtud de lo expuesto, este Organismo Supervisor ha decidido </w:t>
      </w:r>
      <w:r w:rsidRPr="0004532F">
        <w:rPr>
          <w:b/>
        </w:rPr>
        <w:t>ACOGER</w:t>
      </w:r>
      <w:r>
        <w:t xml:space="preserve"> la </w:t>
      </w:r>
      <w:r w:rsidR="00904659">
        <w:t>presente o</w:t>
      </w:r>
      <w:r>
        <w:t xml:space="preserve">bservación; por lo que, </w:t>
      </w:r>
      <w:r w:rsidRPr="0004532F">
        <w:rPr>
          <w:lang w:val="es-PE"/>
        </w:rPr>
        <w:t>con ocasión de la integración de las Bases,</w:t>
      </w:r>
      <w:r w:rsidR="00EB40C6">
        <w:rPr>
          <w:lang w:val="es-PE"/>
        </w:rPr>
        <w:t xml:space="preserve"> </w:t>
      </w:r>
      <w:r w:rsidRPr="00EB40C6">
        <w:rPr>
          <w:b/>
          <w:u w:val="single"/>
          <w:lang w:val="es-PE"/>
        </w:rPr>
        <w:t xml:space="preserve">deberá </w:t>
      </w:r>
      <w:r w:rsidR="00EB40C6" w:rsidRPr="00EB40C6">
        <w:rPr>
          <w:b/>
          <w:u w:val="single"/>
        </w:rPr>
        <w:t xml:space="preserve">precisarse, tanto en el perfil del Residente de Obra, como en los factores de evaluación, que dicho profesional acreditará su experiencia </w:t>
      </w:r>
      <w:r w:rsidRPr="00EB40C6">
        <w:rPr>
          <w:b/>
          <w:u w:val="single"/>
        </w:rPr>
        <w:t>como residente y/o supervisor y/o inspector de obras iguales y/o similares</w:t>
      </w:r>
      <w:r w:rsidRPr="003A09EB">
        <w:rPr>
          <w:lang w:val="es-PE"/>
        </w:rPr>
        <w:t>.</w:t>
      </w:r>
    </w:p>
    <w:p w:rsidR="004D40B7" w:rsidRPr="00730620" w:rsidRDefault="004D40B7" w:rsidP="00740E4F">
      <w:pPr>
        <w:tabs>
          <w:tab w:val="left" w:pos="567"/>
        </w:tabs>
        <w:jc w:val="both"/>
        <w:rPr>
          <w:b/>
        </w:rPr>
      </w:pPr>
    </w:p>
    <w:p w:rsidR="004D40B7" w:rsidRPr="004A7CD2" w:rsidRDefault="004D40B7" w:rsidP="004D40B7">
      <w:pPr>
        <w:widowControl w:val="0"/>
        <w:numPr>
          <w:ilvl w:val="0"/>
          <w:numId w:val="1"/>
        </w:numPr>
        <w:ind w:left="567" w:hanging="567"/>
        <w:jc w:val="both"/>
      </w:pPr>
      <w:r w:rsidRPr="00730620">
        <w:rPr>
          <w:b/>
        </w:rPr>
        <w:t xml:space="preserve">CONTENIDO DE LAS BASES CONTRARIO A LA NORMATIVA SOBRE  CONTRATACIONES DEL ESTADO </w:t>
      </w:r>
    </w:p>
    <w:p w:rsidR="004D40B7" w:rsidRPr="00730620" w:rsidRDefault="004D40B7" w:rsidP="004D40B7">
      <w:pPr>
        <w:widowControl w:val="0"/>
        <w:tabs>
          <w:tab w:val="left" w:pos="540"/>
        </w:tabs>
        <w:jc w:val="both"/>
      </w:pPr>
    </w:p>
    <w:p w:rsidR="004D40B7" w:rsidRPr="00730620" w:rsidRDefault="004D40B7" w:rsidP="004D40B7">
      <w:pPr>
        <w:widowControl w:val="0"/>
        <w:tabs>
          <w:tab w:val="left" w:pos="540"/>
        </w:tabs>
        <w:jc w:val="both"/>
      </w:pPr>
      <w:r w:rsidRPr="00730620">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900E8E" w:rsidRPr="00900E8E" w:rsidRDefault="00900E8E" w:rsidP="004D40B7">
      <w:pPr>
        <w:pStyle w:val="Textoindependiente2"/>
        <w:widowControl w:val="0"/>
        <w:spacing w:after="0" w:line="240" w:lineRule="auto"/>
        <w:jc w:val="both"/>
        <w:rPr>
          <w:b/>
          <w:lang w:val="es-ES"/>
        </w:rPr>
      </w:pPr>
    </w:p>
    <w:p w:rsidR="002F6E94" w:rsidRDefault="00326BEE" w:rsidP="002F6E94">
      <w:pPr>
        <w:pStyle w:val="Textoindependiente2"/>
        <w:widowControl w:val="0"/>
        <w:spacing w:after="0" w:line="240" w:lineRule="auto"/>
        <w:jc w:val="both"/>
        <w:rPr>
          <w:b/>
        </w:rPr>
      </w:pPr>
      <w:r>
        <w:rPr>
          <w:b/>
        </w:rPr>
        <w:t>3.</w:t>
      </w:r>
      <w:r w:rsidR="002F6E94">
        <w:rPr>
          <w:b/>
        </w:rPr>
        <w:t>1</w:t>
      </w:r>
      <w:r>
        <w:rPr>
          <w:b/>
        </w:rPr>
        <w:t xml:space="preserve">. </w:t>
      </w:r>
      <w:r w:rsidR="000B4EA4">
        <w:rPr>
          <w:b/>
        </w:rPr>
        <w:t>Suscripción</w:t>
      </w:r>
      <w:r w:rsidR="00615C97">
        <w:rPr>
          <w:b/>
        </w:rPr>
        <w:t xml:space="preserve"> del contrato</w:t>
      </w:r>
    </w:p>
    <w:p w:rsidR="002F6E94" w:rsidRDefault="002F6E94" w:rsidP="002F6E94">
      <w:pPr>
        <w:pStyle w:val="Textoindependiente2"/>
        <w:widowControl w:val="0"/>
        <w:spacing w:after="0" w:line="240" w:lineRule="auto"/>
        <w:jc w:val="both"/>
        <w:rPr>
          <w:b/>
        </w:rPr>
      </w:pPr>
    </w:p>
    <w:p w:rsidR="00615C97" w:rsidRPr="002F6E94" w:rsidRDefault="00615C97" w:rsidP="002F6E94">
      <w:pPr>
        <w:pStyle w:val="Textoindependiente2"/>
        <w:widowControl w:val="0"/>
        <w:spacing w:after="0" w:line="240" w:lineRule="auto"/>
        <w:jc w:val="both"/>
        <w:rPr>
          <w:b/>
        </w:rPr>
      </w:pPr>
      <w:r w:rsidRPr="001E2332">
        <w:t xml:space="preserve">En el numeral 2.8 </w:t>
      </w:r>
      <w:r w:rsidR="00604C27">
        <w:t xml:space="preserve">de la Sección Específica, </w:t>
      </w:r>
      <w:r w:rsidR="0062121E" w:rsidRPr="002F6E94">
        <w:rPr>
          <w:b/>
        </w:rPr>
        <w:t xml:space="preserve">se </w:t>
      </w:r>
      <w:r w:rsidR="001E2332" w:rsidRPr="002F6E94">
        <w:rPr>
          <w:b/>
        </w:rPr>
        <w:t>ha omitido precisar el lugar y la dirección exacta donde el adjudicatario de la Buena Pro deberá dejar la documentación requerida para efectos de la suscripción del contrato</w:t>
      </w:r>
      <w:r w:rsidR="001E2332" w:rsidRPr="001E2332">
        <w:t>.</w:t>
      </w:r>
      <w:r w:rsidR="00604C27">
        <w:t xml:space="preserve"> </w:t>
      </w:r>
      <w:r w:rsidR="00604C27" w:rsidRPr="002F6E94">
        <w:rPr>
          <w:b/>
          <w:u w:val="single"/>
        </w:rPr>
        <w:t>Por lo tanto con ocasión de la integración de las Bases deberá indicarse este aspecto</w:t>
      </w:r>
      <w:r w:rsidR="00604C27">
        <w:t>.</w:t>
      </w:r>
    </w:p>
    <w:p w:rsidR="00615C97" w:rsidRDefault="00615C97" w:rsidP="004D40B7">
      <w:pPr>
        <w:pStyle w:val="Textoindependiente2"/>
        <w:widowControl w:val="0"/>
        <w:spacing w:after="0" w:line="240" w:lineRule="auto"/>
        <w:jc w:val="both"/>
        <w:rPr>
          <w:b/>
        </w:rPr>
      </w:pPr>
    </w:p>
    <w:p w:rsidR="009311BE" w:rsidRDefault="00326BEE" w:rsidP="004D40B7">
      <w:pPr>
        <w:pStyle w:val="Textoindependiente2"/>
        <w:widowControl w:val="0"/>
        <w:spacing w:after="0" w:line="240" w:lineRule="auto"/>
        <w:jc w:val="both"/>
      </w:pPr>
      <w:r>
        <w:rPr>
          <w:b/>
        </w:rPr>
        <w:t>3.</w:t>
      </w:r>
      <w:r w:rsidR="008F43E9">
        <w:rPr>
          <w:b/>
        </w:rPr>
        <w:t>2</w:t>
      </w:r>
      <w:r w:rsidR="00615C97">
        <w:rPr>
          <w:b/>
        </w:rPr>
        <w:t xml:space="preserve">. </w:t>
      </w:r>
      <w:r w:rsidR="00D92028" w:rsidRPr="00D92028">
        <w:rPr>
          <w:b/>
        </w:rPr>
        <w:t>Forma de pago</w:t>
      </w:r>
    </w:p>
    <w:p w:rsidR="008F43E9" w:rsidRDefault="008F43E9" w:rsidP="008F43E9">
      <w:pPr>
        <w:widowControl w:val="0"/>
        <w:tabs>
          <w:tab w:val="left" w:pos="540"/>
        </w:tabs>
        <w:contextualSpacing/>
        <w:jc w:val="both"/>
      </w:pPr>
    </w:p>
    <w:p w:rsidR="00615C97" w:rsidRPr="00615C97" w:rsidRDefault="00D92028" w:rsidP="008F43E9">
      <w:pPr>
        <w:widowControl w:val="0"/>
        <w:tabs>
          <w:tab w:val="left" w:pos="540"/>
        </w:tabs>
        <w:contextualSpacing/>
        <w:jc w:val="both"/>
      </w:pPr>
      <w:r w:rsidRPr="00615C97">
        <w:t>En el num</w:t>
      </w:r>
      <w:r w:rsidR="00615C97">
        <w:t xml:space="preserve">eral 2.10 del Capítulo II de la Sección Específica </w:t>
      </w:r>
      <w:r w:rsidR="0025779A">
        <w:t xml:space="preserve">no </w:t>
      </w:r>
      <w:r w:rsidRPr="00615C97">
        <w:t xml:space="preserve">se ha establecido la forma de pago de la prestación, </w:t>
      </w:r>
      <w:r w:rsidR="0025779A">
        <w:t xml:space="preserve">tampoco ello consta en el Capítulo III de la referida sección. </w:t>
      </w:r>
      <w:r w:rsidR="008F2129" w:rsidRPr="00615C97">
        <w:t xml:space="preserve">Por lo </w:t>
      </w:r>
      <w:r w:rsidR="0025779A">
        <w:t xml:space="preserve">tanto, </w:t>
      </w:r>
      <w:r w:rsidR="008F2129" w:rsidRPr="0025779A">
        <w:rPr>
          <w:b/>
          <w:u w:val="single"/>
        </w:rPr>
        <w:t xml:space="preserve">con ocasión de la integración de las </w:t>
      </w:r>
      <w:r w:rsidR="0025779A" w:rsidRPr="0025779A">
        <w:rPr>
          <w:b/>
          <w:u w:val="single"/>
        </w:rPr>
        <w:t xml:space="preserve">Bases, </w:t>
      </w:r>
      <w:r w:rsidR="008F2129" w:rsidRPr="0025779A">
        <w:rPr>
          <w:b/>
          <w:u w:val="single"/>
        </w:rPr>
        <w:t xml:space="preserve">deberá precisarse </w:t>
      </w:r>
      <w:r w:rsidR="0025779A" w:rsidRPr="0025779A">
        <w:rPr>
          <w:b/>
          <w:u w:val="single"/>
        </w:rPr>
        <w:t>en el mencionado numeral 2.10 el procedimiento del pago</w:t>
      </w:r>
      <w:r w:rsidR="008F2129" w:rsidRPr="00615C97">
        <w:t>.</w:t>
      </w:r>
    </w:p>
    <w:p w:rsidR="00077A4E" w:rsidRDefault="004D40B7" w:rsidP="00077A4E">
      <w:pPr>
        <w:widowControl w:val="0"/>
        <w:tabs>
          <w:tab w:val="left" w:pos="540"/>
        </w:tabs>
        <w:contextualSpacing/>
        <w:jc w:val="both"/>
        <w:rPr>
          <w:b/>
        </w:rPr>
      </w:pPr>
      <w:r w:rsidRPr="00730620">
        <w:rPr>
          <w:b/>
        </w:rPr>
        <w:tab/>
      </w:r>
    </w:p>
    <w:p w:rsidR="004D40B7" w:rsidRPr="00077A4E" w:rsidRDefault="00326BEE" w:rsidP="00077A4E">
      <w:pPr>
        <w:widowControl w:val="0"/>
        <w:tabs>
          <w:tab w:val="left" w:pos="540"/>
        </w:tabs>
        <w:contextualSpacing/>
        <w:jc w:val="both"/>
        <w:rPr>
          <w:b/>
        </w:rPr>
      </w:pPr>
      <w:r>
        <w:rPr>
          <w:b/>
        </w:rPr>
        <w:t>3.</w:t>
      </w:r>
      <w:r w:rsidR="0025779A">
        <w:rPr>
          <w:b/>
        </w:rPr>
        <w:t>3</w:t>
      </w:r>
      <w:r w:rsidR="00077A4E">
        <w:rPr>
          <w:b/>
        </w:rPr>
        <w:t xml:space="preserve">. </w:t>
      </w:r>
      <w:r w:rsidR="0025779A">
        <w:rPr>
          <w:b/>
        </w:rPr>
        <w:t xml:space="preserve">Asistente de Residente de Obra </w:t>
      </w:r>
    </w:p>
    <w:p w:rsidR="00077A4E" w:rsidRDefault="00077A4E" w:rsidP="00077A4E">
      <w:pPr>
        <w:autoSpaceDE w:val="0"/>
        <w:autoSpaceDN w:val="0"/>
        <w:adjustRightInd w:val="0"/>
        <w:rPr>
          <w:rFonts w:ascii="Arial" w:hAnsi="Arial" w:cs="Arial"/>
          <w:b/>
          <w:sz w:val="20"/>
        </w:rPr>
      </w:pPr>
    </w:p>
    <w:p w:rsidR="00077A4E" w:rsidRPr="0025779A" w:rsidRDefault="00077A4E" w:rsidP="0025779A">
      <w:pPr>
        <w:widowControl w:val="0"/>
        <w:tabs>
          <w:tab w:val="left" w:pos="5103"/>
        </w:tabs>
        <w:spacing w:line="240" w:lineRule="exact"/>
        <w:jc w:val="both"/>
        <w:rPr>
          <w:rFonts w:eastAsia="Calibri"/>
          <w:i/>
          <w:color w:val="000000"/>
          <w:lang w:eastAsia="en-US"/>
        </w:rPr>
      </w:pPr>
      <w:r w:rsidRPr="0025779A">
        <w:rPr>
          <w:rFonts w:eastAsia="Calibri"/>
          <w:bCs/>
          <w:color w:val="000000"/>
          <w:lang w:eastAsia="en-US"/>
        </w:rPr>
        <w:t xml:space="preserve">De la revisión del </w:t>
      </w:r>
      <w:r w:rsidRPr="0025779A">
        <w:rPr>
          <w:rFonts w:eastAsia="Calibri"/>
          <w:color w:val="000000"/>
          <w:lang w:eastAsia="en-US"/>
        </w:rPr>
        <w:t>numeral 1 del Capítulo III de la Sección Específica</w:t>
      </w:r>
      <w:r w:rsidR="00095016" w:rsidRPr="0025779A">
        <w:rPr>
          <w:rFonts w:eastAsia="Calibri"/>
          <w:color w:val="000000"/>
          <w:lang w:eastAsia="en-US"/>
        </w:rPr>
        <w:t xml:space="preserve"> de las Bases</w:t>
      </w:r>
      <w:r w:rsidRPr="0025779A">
        <w:rPr>
          <w:rFonts w:eastAsia="Calibri"/>
          <w:color w:val="000000"/>
          <w:lang w:eastAsia="en-US"/>
        </w:rPr>
        <w:t xml:space="preserve">, se advierte que </w:t>
      </w:r>
      <w:r w:rsidR="0025779A">
        <w:rPr>
          <w:rFonts w:eastAsia="Calibri"/>
          <w:color w:val="000000"/>
          <w:lang w:eastAsia="en-US"/>
        </w:rPr>
        <w:t>el perfil del Asistente de Residente ha sido consignado de acuerdo a lo siguiente:</w:t>
      </w:r>
    </w:p>
    <w:p w:rsidR="00077A4E" w:rsidRPr="00604C27" w:rsidRDefault="00604C27" w:rsidP="0025779A">
      <w:pPr>
        <w:tabs>
          <w:tab w:val="num" w:pos="567"/>
        </w:tabs>
        <w:autoSpaceDE w:val="0"/>
        <w:autoSpaceDN w:val="0"/>
        <w:adjustRightInd w:val="0"/>
        <w:rPr>
          <w:i/>
        </w:rPr>
      </w:pPr>
      <w:r>
        <w:rPr>
          <w:b/>
          <w:i/>
          <w:sz w:val="20"/>
        </w:rPr>
        <w:tab/>
      </w:r>
    </w:p>
    <w:tbl>
      <w:tblPr>
        <w:tblW w:w="819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2"/>
        <w:gridCol w:w="1513"/>
        <w:gridCol w:w="5607"/>
      </w:tblGrid>
      <w:tr w:rsidR="003F1AE8" w:rsidRPr="00150B8F" w:rsidTr="0025779A">
        <w:tc>
          <w:tcPr>
            <w:tcW w:w="1072" w:type="dxa"/>
            <w:shd w:val="clear" w:color="auto" w:fill="B8CCE4"/>
            <w:vAlign w:val="center"/>
          </w:tcPr>
          <w:p w:rsidR="003F1AE8" w:rsidRPr="00150B8F" w:rsidRDefault="003F1AE8" w:rsidP="00702D02">
            <w:pPr>
              <w:jc w:val="center"/>
              <w:rPr>
                <w:rFonts w:ascii="Arial" w:hAnsi="Arial" w:cs="Arial"/>
                <w:b/>
                <w:sz w:val="20"/>
              </w:rPr>
            </w:pPr>
            <w:r w:rsidRPr="00150B8F">
              <w:rPr>
                <w:rFonts w:ascii="Arial" w:hAnsi="Arial" w:cs="Arial"/>
                <w:b/>
                <w:sz w:val="20"/>
              </w:rPr>
              <w:t>Cantidad</w:t>
            </w:r>
          </w:p>
        </w:tc>
        <w:tc>
          <w:tcPr>
            <w:tcW w:w="1513" w:type="dxa"/>
            <w:shd w:val="clear" w:color="auto" w:fill="B8CCE4"/>
            <w:vAlign w:val="center"/>
          </w:tcPr>
          <w:p w:rsidR="003F1AE8" w:rsidRPr="00150B8F" w:rsidRDefault="003F1AE8" w:rsidP="00702D02">
            <w:pPr>
              <w:jc w:val="center"/>
              <w:rPr>
                <w:rFonts w:ascii="Arial" w:hAnsi="Arial" w:cs="Arial"/>
                <w:b/>
                <w:sz w:val="20"/>
              </w:rPr>
            </w:pPr>
            <w:r w:rsidRPr="00150B8F">
              <w:rPr>
                <w:rFonts w:ascii="Arial" w:hAnsi="Arial" w:cs="Arial"/>
                <w:b/>
                <w:sz w:val="20"/>
              </w:rPr>
              <w:t>Cargo</w:t>
            </w:r>
          </w:p>
        </w:tc>
        <w:tc>
          <w:tcPr>
            <w:tcW w:w="5607" w:type="dxa"/>
            <w:shd w:val="clear" w:color="auto" w:fill="B8CCE4"/>
            <w:vAlign w:val="center"/>
          </w:tcPr>
          <w:p w:rsidR="003F1AE8" w:rsidRPr="00150B8F" w:rsidRDefault="003F1AE8" w:rsidP="00702D02">
            <w:pPr>
              <w:jc w:val="center"/>
              <w:rPr>
                <w:rFonts w:ascii="Arial" w:hAnsi="Arial" w:cs="Arial"/>
                <w:b/>
                <w:sz w:val="20"/>
              </w:rPr>
            </w:pPr>
            <w:r w:rsidRPr="00150B8F">
              <w:rPr>
                <w:rFonts w:ascii="Arial" w:hAnsi="Arial" w:cs="Arial"/>
                <w:b/>
                <w:sz w:val="20"/>
              </w:rPr>
              <w:t>RTM</w:t>
            </w:r>
          </w:p>
        </w:tc>
      </w:tr>
      <w:tr w:rsidR="003F1AE8" w:rsidRPr="00150B8F" w:rsidTr="0025779A">
        <w:tc>
          <w:tcPr>
            <w:tcW w:w="1072" w:type="dxa"/>
            <w:shd w:val="clear" w:color="auto" w:fill="auto"/>
            <w:vAlign w:val="center"/>
          </w:tcPr>
          <w:p w:rsidR="003F1AE8" w:rsidRPr="00150B8F" w:rsidRDefault="003F1AE8" w:rsidP="00702D02">
            <w:pPr>
              <w:jc w:val="center"/>
              <w:rPr>
                <w:rFonts w:ascii="Arial" w:hAnsi="Arial" w:cs="Arial"/>
                <w:sz w:val="20"/>
              </w:rPr>
            </w:pPr>
            <w:r w:rsidRPr="00150B8F">
              <w:rPr>
                <w:rFonts w:ascii="Arial" w:hAnsi="Arial" w:cs="Arial"/>
                <w:sz w:val="20"/>
              </w:rPr>
              <w:t>03</w:t>
            </w:r>
          </w:p>
        </w:tc>
        <w:tc>
          <w:tcPr>
            <w:tcW w:w="1513" w:type="dxa"/>
            <w:shd w:val="clear" w:color="auto" w:fill="auto"/>
            <w:vAlign w:val="center"/>
          </w:tcPr>
          <w:p w:rsidR="003F1AE8" w:rsidRPr="00150B8F" w:rsidRDefault="003F1AE8" w:rsidP="00702D02">
            <w:pPr>
              <w:jc w:val="center"/>
              <w:rPr>
                <w:rFonts w:ascii="Arial" w:hAnsi="Arial" w:cs="Arial"/>
                <w:sz w:val="20"/>
              </w:rPr>
            </w:pPr>
            <w:r w:rsidRPr="00150B8F">
              <w:rPr>
                <w:rFonts w:ascii="Arial" w:hAnsi="Arial" w:cs="Arial"/>
                <w:sz w:val="20"/>
              </w:rPr>
              <w:t>Ingeniero Asistente de Residente</w:t>
            </w:r>
          </w:p>
        </w:tc>
        <w:tc>
          <w:tcPr>
            <w:tcW w:w="5607" w:type="dxa"/>
            <w:shd w:val="clear" w:color="auto" w:fill="auto"/>
          </w:tcPr>
          <w:p w:rsidR="003F1AE8" w:rsidRPr="00150B8F" w:rsidRDefault="003F1AE8" w:rsidP="00702D02">
            <w:pPr>
              <w:jc w:val="both"/>
              <w:rPr>
                <w:rFonts w:ascii="Arial" w:hAnsi="Arial" w:cs="Arial"/>
                <w:sz w:val="20"/>
              </w:rPr>
            </w:pPr>
            <w:r w:rsidRPr="00150B8F">
              <w:rPr>
                <w:rFonts w:ascii="Arial" w:hAnsi="Arial" w:cs="Arial"/>
                <w:sz w:val="20"/>
              </w:rPr>
              <w:t>Ingeniero Civil colegiado y habilitado con doce (12 ) meses de experiencia como Ingeniero Asistente en la ejecución de obras similares.</w:t>
            </w:r>
          </w:p>
        </w:tc>
      </w:tr>
    </w:tbl>
    <w:p w:rsidR="003F1AE8" w:rsidRDefault="003F1AE8" w:rsidP="003F1AE8">
      <w:pPr>
        <w:widowControl w:val="0"/>
        <w:tabs>
          <w:tab w:val="left" w:pos="540"/>
        </w:tabs>
        <w:contextualSpacing/>
        <w:jc w:val="both"/>
      </w:pPr>
    </w:p>
    <w:p w:rsidR="0025779A" w:rsidRDefault="0025779A" w:rsidP="003F1AE8">
      <w:pPr>
        <w:widowControl w:val="0"/>
        <w:tabs>
          <w:tab w:val="left" w:pos="540"/>
        </w:tabs>
        <w:contextualSpacing/>
        <w:jc w:val="both"/>
      </w:pPr>
      <w:r>
        <w:t>Adicionalmente, en el Capítulo IV de la Sección Específica de las Bases se precisó, con relación al Asistente de Residente, lo siguiente:</w:t>
      </w:r>
    </w:p>
    <w:p w:rsidR="0025779A" w:rsidRDefault="0025779A" w:rsidP="003F1AE8">
      <w:pPr>
        <w:widowControl w:val="0"/>
        <w:tabs>
          <w:tab w:val="left" w:pos="540"/>
        </w:tabs>
        <w:contextualSpacing/>
        <w:jc w:val="both"/>
      </w:pPr>
    </w:p>
    <w:p w:rsidR="0025779A" w:rsidRDefault="0025779A" w:rsidP="0025779A">
      <w:pPr>
        <w:widowControl w:val="0"/>
        <w:ind w:left="426"/>
        <w:jc w:val="both"/>
        <w:rPr>
          <w:b/>
          <w:i/>
          <w:lang w:eastAsia="es-ES"/>
        </w:rPr>
      </w:pPr>
      <w:r w:rsidRPr="00740E4F">
        <w:rPr>
          <w:b/>
          <w:i/>
          <w:lang w:eastAsia="es-ES"/>
        </w:rPr>
        <w:t>“EXPERIENCIA Y CALIFICACIONES DEL PERSONAL PROFESIONAL PROPUESTO.</w:t>
      </w:r>
    </w:p>
    <w:p w:rsidR="00A77A13" w:rsidRDefault="00A77A13" w:rsidP="0025779A">
      <w:pPr>
        <w:widowControl w:val="0"/>
        <w:ind w:left="426"/>
        <w:jc w:val="both"/>
        <w:rPr>
          <w:i/>
          <w:lang w:eastAsia="es-ES"/>
        </w:rPr>
      </w:pPr>
    </w:p>
    <w:p w:rsidR="0025779A" w:rsidRPr="0025779A" w:rsidRDefault="0025779A" w:rsidP="0025779A">
      <w:pPr>
        <w:widowControl w:val="0"/>
        <w:ind w:left="426"/>
        <w:jc w:val="both"/>
        <w:rPr>
          <w:i/>
          <w:lang w:eastAsia="es-ES"/>
        </w:rPr>
      </w:pPr>
      <w:r w:rsidRPr="0025779A">
        <w:rPr>
          <w:i/>
          <w:lang w:eastAsia="es-ES"/>
        </w:rPr>
        <w:t>(…)</w:t>
      </w:r>
    </w:p>
    <w:p w:rsidR="0025779A" w:rsidRPr="00740E4F" w:rsidRDefault="0025779A" w:rsidP="0025779A">
      <w:pPr>
        <w:widowControl w:val="0"/>
        <w:ind w:firstLine="426"/>
        <w:jc w:val="both"/>
        <w:rPr>
          <w:i/>
          <w:u w:val="single"/>
          <w:lang w:eastAsia="es-ES"/>
        </w:rPr>
      </w:pPr>
      <w:r w:rsidRPr="00740E4F">
        <w:rPr>
          <w:i/>
          <w:u w:val="single"/>
          <w:lang w:eastAsia="es-ES"/>
        </w:rPr>
        <w:lastRenderedPageBreak/>
        <w:t>Criterio:</w:t>
      </w:r>
    </w:p>
    <w:p w:rsidR="0025779A" w:rsidRPr="00740E4F" w:rsidRDefault="0025779A" w:rsidP="0025779A">
      <w:pPr>
        <w:widowControl w:val="0"/>
        <w:ind w:left="426"/>
        <w:jc w:val="both"/>
        <w:rPr>
          <w:i/>
          <w:lang w:eastAsia="es-ES"/>
        </w:rPr>
      </w:pPr>
      <w:r w:rsidRPr="00740E4F">
        <w:rPr>
          <w:i/>
          <w:lang w:eastAsia="es-ES"/>
        </w:rPr>
        <w:t>Se evaluará en función al tiempo de experiencia en la especialidad del personal propuesto para la ejecución de la obra según corresponda (…).</w:t>
      </w:r>
    </w:p>
    <w:p w:rsidR="0025779A" w:rsidRPr="00740E4F" w:rsidRDefault="0025779A" w:rsidP="0025779A">
      <w:pPr>
        <w:autoSpaceDE w:val="0"/>
        <w:autoSpaceDN w:val="0"/>
        <w:adjustRightInd w:val="0"/>
        <w:rPr>
          <w:b/>
          <w:i/>
        </w:rPr>
      </w:pPr>
    </w:p>
    <w:p w:rsidR="0025779A" w:rsidRPr="00740E4F" w:rsidRDefault="0025779A" w:rsidP="0025779A">
      <w:pPr>
        <w:autoSpaceDE w:val="0"/>
        <w:autoSpaceDN w:val="0"/>
        <w:adjustRightInd w:val="0"/>
        <w:ind w:firstLine="426"/>
        <w:rPr>
          <w:b/>
          <w:i/>
        </w:rPr>
      </w:pPr>
      <w:r>
        <w:rPr>
          <w:b/>
          <w:i/>
        </w:rPr>
        <w:t xml:space="preserve">ASISTENTE </w:t>
      </w:r>
      <w:r w:rsidRPr="00740E4F">
        <w:rPr>
          <w:b/>
          <w:i/>
        </w:rPr>
        <w:t>RESIDENTE:</w:t>
      </w:r>
    </w:p>
    <w:p w:rsidR="0025779A" w:rsidRPr="00740E4F" w:rsidRDefault="0025779A" w:rsidP="0025779A">
      <w:pPr>
        <w:autoSpaceDE w:val="0"/>
        <w:autoSpaceDN w:val="0"/>
        <w:adjustRightInd w:val="0"/>
        <w:jc w:val="both"/>
        <w:rPr>
          <w:i/>
        </w:rPr>
      </w:pPr>
    </w:p>
    <w:p w:rsidR="007A5F65" w:rsidRDefault="0025779A" w:rsidP="007A5F65">
      <w:pPr>
        <w:autoSpaceDE w:val="0"/>
        <w:autoSpaceDN w:val="0"/>
        <w:adjustRightInd w:val="0"/>
        <w:ind w:left="426"/>
        <w:jc w:val="both"/>
        <w:rPr>
          <w:i/>
        </w:rPr>
      </w:pPr>
      <w:r w:rsidRPr="00740E4F">
        <w:rPr>
          <w:i/>
        </w:rPr>
        <w:t>Se evaluará en función al tiempo de experiencia en ejecución de obras similares (…)</w:t>
      </w:r>
    </w:p>
    <w:p w:rsidR="007A5F65" w:rsidRDefault="007A5F65" w:rsidP="007A5F65">
      <w:pPr>
        <w:autoSpaceDE w:val="0"/>
        <w:autoSpaceDN w:val="0"/>
        <w:adjustRightInd w:val="0"/>
        <w:jc w:val="both"/>
        <w:rPr>
          <w:i/>
        </w:rPr>
      </w:pPr>
    </w:p>
    <w:p w:rsidR="0025779A" w:rsidRPr="007A5F65" w:rsidRDefault="0025779A" w:rsidP="007A5F65">
      <w:pPr>
        <w:autoSpaceDE w:val="0"/>
        <w:autoSpaceDN w:val="0"/>
        <w:adjustRightInd w:val="0"/>
        <w:jc w:val="both"/>
        <w:rPr>
          <w:i/>
        </w:rPr>
      </w:pPr>
      <w:r>
        <w:t xml:space="preserve">Al respecto, cabe señalar que este Organismo Supervisor ha indicado en reiterados Pronunciamientos que la </w:t>
      </w:r>
      <w:r w:rsidRPr="00EB40C6">
        <w:rPr>
          <w:b/>
        </w:rPr>
        <w:t xml:space="preserve">forma de acreditación de experiencia del </w:t>
      </w:r>
      <w:r>
        <w:rPr>
          <w:b/>
        </w:rPr>
        <w:t xml:space="preserve">Asistente de </w:t>
      </w:r>
      <w:r w:rsidRPr="00EB40C6">
        <w:rPr>
          <w:b/>
        </w:rPr>
        <w:t xml:space="preserve">Residente de Obra es como Residente y/o </w:t>
      </w:r>
      <w:r>
        <w:rPr>
          <w:b/>
        </w:rPr>
        <w:t xml:space="preserve">Asistente de Residente y/o </w:t>
      </w:r>
      <w:r w:rsidRPr="00EB40C6">
        <w:rPr>
          <w:b/>
        </w:rPr>
        <w:t>Supervisor y/o</w:t>
      </w:r>
      <w:r>
        <w:rPr>
          <w:b/>
        </w:rPr>
        <w:t xml:space="preserve"> Asistente de Supervisor y/o</w:t>
      </w:r>
      <w:r w:rsidRPr="00EB40C6">
        <w:rPr>
          <w:b/>
        </w:rPr>
        <w:t xml:space="preserve"> Inspector </w:t>
      </w:r>
      <w:r>
        <w:rPr>
          <w:b/>
        </w:rPr>
        <w:t xml:space="preserve">y/o Asistente de Inspector </w:t>
      </w:r>
      <w:r w:rsidRPr="00EB40C6">
        <w:rPr>
          <w:b/>
        </w:rPr>
        <w:t>de obras iguales o similares</w:t>
      </w:r>
      <w:r w:rsidRPr="00EB40C6">
        <w:t>; motivo por el cual no resu</w:t>
      </w:r>
      <w:r>
        <w:t>ltaría acorde con lo antes descrito que la experiencia obtenida por el Ingeniero Asistente de Residente se circunscriba únicamente a la obtenida como ingeniero asistente, pudiendo ser también de la forma descrita anteriormente.</w:t>
      </w:r>
    </w:p>
    <w:p w:rsidR="0025779A" w:rsidRDefault="0025779A" w:rsidP="0025779A">
      <w:pPr>
        <w:widowControl w:val="0"/>
        <w:tabs>
          <w:tab w:val="left" w:pos="540"/>
        </w:tabs>
        <w:contextualSpacing/>
        <w:jc w:val="both"/>
      </w:pPr>
    </w:p>
    <w:p w:rsidR="0025779A" w:rsidRPr="00EB40C6" w:rsidRDefault="0025779A" w:rsidP="0025779A">
      <w:pPr>
        <w:widowControl w:val="0"/>
        <w:tabs>
          <w:tab w:val="left" w:pos="540"/>
        </w:tabs>
        <w:contextualSpacing/>
        <w:jc w:val="both"/>
      </w:pPr>
      <w:r>
        <w:t xml:space="preserve">Por lo tanto, </w:t>
      </w:r>
      <w:r w:rsidRPr="0004532F">
        <w:rPr>
          <w:lang w:val="es-PE"/>
        </w:rPr>
        <w:t>con ocasión de la integración de las Bases,</w:t>
      </w:r>
      <w:r>
        <w:rPr>
          <w:lang w:val="es-PE"/>
        </w:rPr>
        <w:t xml:space="preserve"> </w:t>
      </w:r>
      <w:r w:rsidRPr="00EB40C6">
        <w:rPr>
          <w:b/>
          <w:u w:val="single"/>
          <w:lang w:val="es-PE"/>
        </w:rPr>
        <w:t xml:space="preserve">deberá </w:t>
      </w:r>
      <w:r w:rsidRPr="00EB40C6">
        <w:rPr>
          <w:b/>
          <w:u w:val="single"/>
        </w:rPr>
        <w:t xml:space="preserve">precisarse, tanto en el perfil del </w:t>
      </w:r>
      <w:r w:rsidR="007A5F65">
        <w:rPr>
          <w:b/>
          <w:u w:val="single"/>
        </w:rPr>
        <w:t xml:space="preserve">Asistente de </w:t>
      </w:r>
      <w:r w:rsidRPr="00EB40C6">
        <w:rPr>
          <w:b/>
          <w:u w:val="single"/>
        </w:rPr>
        <w:t>Residente de Obra, como en los factores de evaluación, que dicho profesional acreditará su e</w:t>
      </w:r>
      <w:r w:rsidRPr="007A5F65">
        <w:rPr>
          <w:b/>
          <w:u w:val="single"/>
        </w:rPr>
        <w:t xml:space="preserve">xperiencia como </w:t>
      </w:r>
      <w:r w:rsidR="007A5F65" w:rsidRPr="007A5F65">
        <w:rPr>
          <w:b/>
          <w:u w:val="single"/>
        </w:rPr>
        <w:t>Residente y/o Asistente de Residente y/o Supervisor y/o Asistente de Supervisor y/o Inspector y/o Asistente de Inspector de obras iguales o similares</w:t>
      </w:r>
      <w:r w:rsidRPr="003A09EB">
        <w:rPr>
          <w:lang w:val="es-PE"/>
        </w:rPr>
        <w:t>.</w:t>
      </w:r>
    </w:p>
    <w:p w:rsidR="00037021" w:rsidRDefault="00037021" w:rsidP="00F91DE1">
      <w:pPr>
        <w:widowControl w:val="0"/>
        <w:jc w:val="both"/>
        <w:rPr>
          <w:rFonts w:eastAsiaTheme="minorHAnsi"/>
          <w:bCs/>
          <w:lang w:val="es-PE" w:eastAsia="en-US"/>
        </w:rPr>
      </w:pPr>
    </w:p>
    <w:p w:rsidR="00F91DE1" w:rsidRDefault="00326BEE" w:rsidP="00F91DE1">
      <w:pPr>
        <w:widowControl w:val="0"/>
        <w:jc w:val="both"/>
        <w:rPr>
          <w:rFonts w:eastAsiaTheme="minorHAnsi"/>
          <w:b/>
          <w:bCs/>
          <w:lang w:val="es-PE" w:eastAsia="en-US"/>
        </w:rPr>
      </w:pPr>
      <w:r>
        <w:rPr>
          <w:rFonts w:eastAsiaTheme="minorHAnsi"/>
          <w:b/>
          <w:bCs/>
          <w:lang w:val="es-PE" w:eastAsia="en-US"/>
        </w:rPr>
        <w:t>3.</w:t>
      </w:r>
      <w:r w:rsidR="00037021">
        <w:rPr>
          <w:rFonts w:eastAsiaTheme="minorHAnsi"/>
          <w:b/>
          <w:bCs/>
          <w:lang w:val="es-PE" w:eastAsia="en-US"/>
        </w:rPr>
        <w:t>4</w:t>
      </w:r>
      <w:r w:rsidR="00F91DE1" w:rsidRPr="00F91DE1">
        <w:rPr>
          <w:rFonts w:eastAsiaTheme="minorHAnsi"/>
          <w:b/>
          <w:bCs/>
          <w:lang w:val="es-PE" w:eastAsia="en-US"/>
        </w:rPr>
        <w:t>. Factores de evaluación</w:t>
      </w:r>
    </w:p>
    <w:p w:rsidR="00F91DE1" w:rsidRDefault="00F91DE1" w:rsidP="00F91DE1">
      <w:pPr>
        <w:widowControl w:val="0"/>
        <w:jc w:val="both"/>
        <w:rPr>
          <w:rFonts w:eastAsiaTheme="minorHAnsi"/>
          <w:b/>
          <w:bCs/>
          <w:lang w:val="es-PE" w:eastAsia="en-US"/>
        </w:rPr>
      </w:pPr>
    </w:p>
    <w:p w:rsidR="00037021" w:rsidRDefault="00E82F44" w:rsidP="00F91DE1">
      <w:pPr>
        <w:pStyle w:val="Prrafodelista"/>
        <w:widowControl w:val="0"/>
        <w:numPr>
          <w:ilvl w:val="0"/>
          <w:numId w:val="15"/>
        </w:numPr>
        <w:jc w:val="both"/>
        <w:rPr>
          <w:rFonts w:eastAsiaTheme="minorHAnsi"/>
          <w:bCs/>
          <w:lang w:eastAsia="en-US"/>
        </w:rPr>
      </w:pPr>
      <w:r w:rsidRPr="00037021">
        <w:rPr>
          <w:rFonts w:eastAsiaTheme="minorHAnsi"/>
          <w:bCs/>
          <w:lang w:eastAsia="en-US"/>
        </w:rPr>
        <w:t xml:space="preserve">En </w:t>
      </w:r>
      <w:r w:rsidR="00037021" w:rsidRPr="00037021">
        <w:rPr>
          <w:rFonts w:eastAsiaTheme="minorHAnsi"/>
          <w:bCs/>
          <w:lang w:eastAsia="en-US"/>
        </w:rPr>
        <w:t>los factores de evaluación “</w:t>
      </w:r>
      <w:r w:rsidR="00037021">
        <w:rPr>
          <w:rFonts w:eastAsiaTheme="minorHAnsi"/>
          <w:bCs/>
          <w:lang w:eastAsia="en-US"/>
        </w:rPr>
        <w:t xml:space="preserve">A. </w:t>
      </w:r>
      <w:r w:rsidR="00037021" w:rsidRPr="00037021">
        <w:rPr>
          <w:rFonts w:eastAsiaTheme="minorHAnsi"/>
          <w:bCs/>
          <w:lang w:eastAsia="en-US"/>
        </w:rPr>
        <w:t>Experiencia en obras en general” y “</w:t>
      </w:r>
      <w:r w:rsidR="00037021">
        <w:rPr>
          <w:rFonts w:eastAsiaTheme="minorHAnsi"/>
          <w:bCs/>
          <w:lang w:eastAsia="en-US"/>
        </w:rPr>
        <w:t xml:space="preserve">B. </w:t>
      </w:r>
      <w:r w:rsidR="00037021" w:rsidRPr="00037021">
        <w:rPr>
          <w:rFonts w:eastAsiaTheme="minorHAnsi"/>
          <w:bCs/>
          <w:lang w:eastAsia="en-US"/>
        </w:rPr>
        <w:t xml:space="preserve">Experiencia en obras similares” </w:t>
      </w:r>
      <w:r w:rsidRPr="00037021">
        <w:rPr>
          <w:rFonts w:eastAsiaTheme="minorHAnsi"/>
          <w:bCs/>
          <w:lang w:eastAsia="en-US"/>
        </w:rPr>
        <w:t xml:space="preserve">se ha </w:t>
      </w:r>
      <w:r w:rsidR="00037021" w:rsidRPr="00037021">
        <w:rPr>
          <w:rFonts w:eastAsiaTheme="minorHAnsi"/>
          <w:bCs/>
          <w:lang w:eastAsia="en-US"/>
        </w:rPr>
        <w:t xml:space="preserve">precisado </w:t>
      </w:r>
      <w:r w:rsidRPr="00037021">
        <w:rPr>
          <w:rFonts w:eastAsiaTheme="minorHAnsi"/>
          <w:bCs/>
          <w:lang w:eastAsia="en-US"/>
        </w:rPr>
        <w:t xml:space="preserve">que </w:t>
      </w:r>
      <w:r w:rsidR="00037021" w:rsidRPr="00037021">
        <w:rPr>
          <w:rFonts w:eastAsiaTheme="minorHAnsi"/>
          <w:bCs/>
          <w:lang w:eastAsia="en-US"/>
        </w:rPr>
        <w:t>se podrán a</w:t>
      </w:r>
      <w:r w:rsidR="00037021" w:rsidRPr="00037021">
        <w:rPr>
          <w:rFonts w:eastAsiaTheme="minorHAnsi"/>
          <w:lang w:eastAsia="en-US"/>
        </w:rPr>
        <w:t xml:space="preserve">ceptar </w:t>
      </w:r>
      <w:r w:rsidRPr="00037021">
        <w:rPr>
          <w:rFonts w:eastAsiaTheme="minorHAnsi"/>
          <w:bCs/>
          <w:lang w:eastAsia="en-US"/>
        </w:rPr>
        <w:t>obras en proceso de liquidación, controversia y/o sometidas a arbitraje</w:t>
      </w:r>
      <w:r w:rsidR="00042DAF" w:rsidRPr="00037021">
        <w:rPr>
          <w:rFonts w:eastAsiaTheme="minorHAnsi"/>
          <w:bCs/>
          <w:lang w:eastAsia="en-US"/>
        </w:rPr>
        <w:t>, siempre que se acredite la documentación de la cual pueda desprenderse el monto.</w:t>
      </w:r>
    </w:p>
    <w:p w:rsidR="00037021" w:rsidRDefault="00037021" w:rsidP="00037021">
      <w:pPr>
        <w:pStyle w:val="Prrafodelista"/>
        <w:widowControl w:val="0"/>
        <w:ind w:left="720"/>
        <w:jc w:val="both"/>
        <w:rPr>
          <w:rFonts w:eastAsiaTheme="minorHAnsi"/>
          <w:bCs/>
          <w:lang w:eastAsia="en-US"/>
        </w:rPr>
      </w:pPr>
    </w:p>
    <w:p w:rsidR="00042DAF" w:rsidRPr="00AB20A0" w:rsidRDefault="00037021" w:rsidP="00AB20A0">
      <w:pPr>
        <w:pStyle w:val="Prrafodelista"/>
        <w:widowControl w:val="0"/>
        <w:ind w:left="720"/>
        <w:jc w:val="both"/>
        <w:rPr>
          <w:rFonts w:eastAsiaTheme="minorHAnsi"/>
          <w:bCs/>
          <w:lang w:eastAsia="en-US"/>
        </w:rPr>
      </w:pPr>
      <w:r>
        <w:rPr>
          <w:rFonts w:eastAsiaTheme="minorHAnsi"/>
          <w:bCs/>
          <w:lang w:eastAsia="en-US"/>
        </w:rPr>
        <w:t xml:space="preserve">Al respecto, de conformidad con el artículo 47 del Reglamento, </w:t>
      </w:r>
      <w:r w:rsidR="00AB20A0">
        <w:rPr>
          <w:rFonts w:eastAsiaTheme="minorHAnsi"/>
          <w:bCs/>
          <w:lang w:eastAsia="en-US"/>
        </w:rPr>
        <w:t xml:space="preserve">para la acreditación de la experiencia obtenida en la ejecución de obras, la obra debe encontrarse concluida, por lo tanto, con ocasión de la integración de las Bases, </w:t>
      </w:r>
      <w:r w:rsidR="00042DAF" w:rsidRPr="00AB20A0">
        <w:rPr>
          <w:rFonts w:eastAsiaTheme="minorHAnsi"/>
          <w:b/>
          <w:bCs/>
          <w:u w:val="single"/>
          <w:lang w:eastAsia="en-US"/>
        </w:rPr>
        <w:t xml:space="preserve">deberá precisarse </w:t>
      </w:r>
      <w:r w:rsidR="00AB20A0" w:rsidRPr="00AB20A0">
        <w:rPr>
          <w:rFonts w:eastAsiaTheme="minorHAnsi"/>
          <w:b/>
          <w:bCs/>
          <w:u w:val="single"/>
          <w:lang w:eastAsia="en-US"/>
        </w:rPr>
        <w:t xml:space="preserve">que en el referido supuesto, </w:t>
      </w:r>
      <w:r w:rsidR="00042DAF" w:rsidRPr="00AB20A0">
        <w:rPr>
          <w:rFonts w:eastAsiaTheme="minorHAnsi"/>
          <w:b/>
          <w:bCs/>
          <w:u w:val="single"/>
          <w:lang w:eastAsia="en-US"/>
        </w:rPr>
        <w:t>las obras consideradas deben ser obras concluidas</w:t>
      </w:r>
      <w:r w:rsidR="00042DAF" w:rsidRPr="00AB20A0">
        <w:rPr>
          <w:rFonts w:eastAsiaTheme="minorHAnsi"/>
          <w:bCs/>
          <w:lang w:eastAsia="en-US"/>
        </w:rPr>
        <w:t>.</w:t>
      </w:r>
    </w:p>
    <w:p w:rsidR="00037021" w:rsidRDefault="00037021" w:rsidP="00037021">
      <w:pPr>
        <w:pStyle w:val="Prrafodelista"/>
        <w:widowControl w:val="0"/>
        <w:ind w:left="720"/>
        <w:jc w:val="both"/>
        <w:rPr>
          <w:rFonts w:eastAsiaTheme="minorHAnsi"/>
          <w:bCs/>
          <w:lang w:eastAsia="en-US"/>
        </w:rPr>
      </w:pPr>
    </w:p>
    <w:p w:rsidR="00AB20A0" w:rsidRDefault="00AB20A0" w:rsidP="00AB20A0">
      <w:pPr>
        <w:pStyle w:val="Prrafodelista"/>
        <w:widowControl w:val="0"/>
        <w:numPr>
          <w:ilvl w:val="0"/>
          <w:numId w:val="15"/>
        </w:numPr>
        <w:jc w:val="both"/>
        <w:rPr>
          <w:rFonts w:eastAsiaTheme="minorHAnsi"/>
          <w:bCs/>
          <w:lang w:eastAsia="en-US"/>
        </w:rPr>
      </w:pPr>
      <w:r>
        <w:rPr>
          <w:rFonts w:eastAsiaTheme="minorHAnsi"/>
          <w:bCs/>
          <w:lang w:eastAsia="en-US"/>
        </w:rPr>
        <w:t xml:space="preserve">En el factor de evaluación </w:t>
      </w:r>
      <w:r w:rsidRPr="00AB20A0">
        <w:rPr>
          <w:rFonts w:eastAsiaTheme="minorHAnsi"/>
          <w:bCs/>
          <w:lang w:eastAsia="en-US"/>
        </w:rPr>
        <w:t>“B. Experiencia en obras similares”</w:t>
      </w:r>
      <w:r>
        <w:rPr>
          <w:rFonts w:eastAsiaTheme="minorHAnsi"/>
          <w:bCs/>
          <w:lang w:eastAsia="en-US"/>
        </w:rPr>
        <w:t xml:space="preserve"> se ha precisado que el criterio a considerar para su evaluación será el siguiente:</w:t>
      </w:r>
    </w:p>
    <w:p w:rsidR="00B81F81" w:rsidRDefault="00B81F81" w:rsidP="00AB20A0">
      <w:pPr>
        <w:widowControl w:val="0"/>
        <w:ind w:left="1416"/>
        <w:jc w:val="both"/>
        <w:rPr>
          <w:i/>
          <w:iCs/>
          <w:u w:val="single"/>
          <w:lang w:eastAsia="es-ES"/>
        </w:rPr>
      </w:pPr>
    </w:p>
    <w:p w:rsidR="00AB20A0" w:rsidRPr="00AB20A0" w:rsidRDefault="00AB20A0" w:rsidP="00AB20A0">
      <w:pPr>
        <w:widowControl w:val="0"/>
        <w:ind w:left="1416"/>
        <w:jc w:val="both"/>
        <w:rPr>
          <w:i/>
          <w:iCs/>
          <w:u w:val="single"/>
          <w:lang w:eastAsia="es-ES"/>
        </w:rPr>
      </w:pPr>
      <w:r w:rsidRPr="00B81F81">
        <w:rPr>
          <w:i/>
          <w:iCs/>
          <w:lang w:eastAsia="es-ES"/>
        </w:rPr>
        <w:t>“</w:t>
      </w:r>
      <w:r w:rsidRPr="00AB20A0">
        <w:rPr>
          <w:i/>
          <w:iCs/>
          <w:u w:val="single"/>
          <w:lang w:eastAsia="es-ES"/>
        </w:rPr>
        <w:t>Criterio</w:t>
      </w:r>
      <w:r w:rsidRPr="00AB20A0">
        <w:rPr>
          <w:i/>
          <w:iCs/>
          <w:lang w:eastAsia="es-ES"/>
        </w:rPr>
        <w:t>:</w:t>
      </w:r>
    </w:p>
    <w:p w:rsidR="00B81F81" w:rsidRDefault="00B81F81" w:rsidP="00AB20A0">
      <w:pPr>
        <w:widowControl w:val="0"/>
        <w:ind w:left="1416"/>
        <w:jc w:val="both"/>
        <w:rPr>
          <w:i/>
          <w:iCs/>
          <w:lang w:eastAsia="es-ES"/>
        </w:rPr>
      </w:pPr>
    </w:p>
    <w:p w:rsidR="00AB20A0" w:rsidRPr="00AB20A0" w:rsidRDefault="00AB20A0" w:rsidP="00AB20A0">
      <w:pPr>
        <w:widowControl w:val="0"/>
        <w:ind w:left="1416"/>
        <w:jc w:val="both"/>
        <w:rPr>
          <w:iCs/>
          <w:lang w:eastAsia="es-ES"/>
        </w:rPr>
      </w:pPr>
      <w:r w:rsidRPr="00AB20A0">
        <w:rPr>
          <w:i/>
          <w:iCs/>
          <w:lang w:eastAsia="es-ES"/>
        </w:rPr>
        <w:t xml:space="preserve">Se evaluará considerando el monto facturado acumulado por el postor correspondiente a la ejecución de obras similares, durante un periodo de </w:t>
      </w:r>
      <w:r w:rsidRPr="00AB20A0">
        <w:rPr>
          <w:b/>
          <w:i/>
          <w:iCs/>
          <w:u w:val="single"/>
          <w:lang w:eastAsia="es-ES"/>
        </w:rPr>
        <w:t>DIEZ (10) AÑOS</w:t>
      </w:r>
      <w:r w:rsidRPr="00AB20A0">
        <w:rPr>
          <w:i/>
          <w:iCs/>
          <w:lang w:eastAsia="es-ES"/>
        </w:rPr>
        <w:t xml:space="preserve"> a la fecha de presentación de propuestas, hasta por un </w:t>
      </w:r>
      <w:r w:rsidRPr="00AB20A0">
        <w:rPr>
          <w:i/>
          <w:iCs/>
          <w:lang w:eastAsia="es-ES"/>
        </w:rPr>
        <w:lastRenderedPageBreak/>
        <w:t xml:space="preserve">monto máximo acumulado equivalente a UNA (01) vez el Valor Referencial de la Contratación. Esto es, </w:t>
      </w:r>
      <w:r w:rsidRPr="00AB20A0">
        <w:rPr>
          <w:b/>
          <w:i/>
          <w:iCs/>
          <w:lang w:eastAsia="es-ES"/>
        </w:rPr>
        <w:t>S/. 19 282 298,62</w:t>
      </w:r>
      <w:r w:rsidRPr="00AB20A0">
        <w:rPr>
          <w:i/>
          <w:iCs/>
          <w:lang w:eastAsia="es-ES"/>
        </w:rPr>
        <w:t xml:space="preserve">”      </w:t>
      </w:r>
    </w:p>
    <w:p w:rsidR="00AB20A0" w:rsidRPr="00AB20A0" w:rsidRDefault="00AB20A0" w:rsidP="00AB20A0">
      <w:pPr>
        <w:pStyle w:val="Prrafodelista"/>
        <w:widowControl w:val="0"/>
        <w:ind w:left="720"/>
        <w:jc w:val="both"/>
        <w:rPr>
          <w:rFonts w:eastAsiaTheme="minorHAnsi"/>
          <w:bCs/>
          <w:lang w:eastAsia="en-US"/>
        </w:rPr>
      </w:pPr>
    </w:p>
    <w:p w:rsidR="00AB20A0" w:rsidRDefault="00AB20A0" w:rsidP="00AB20A0">
      <w:pPr>
        <w:pStyle w:val="Prrafodelista"/>
        <w:widowControl w:val="0"/>
        <w:ind w:left="720"/>
        <w:jc w:val="both"/>
        <w:rPr>
          <w:rFonts w:eastAsiaTheme="minorHAnsi"/>
          <w:bCs/>
          <w:lang w:eastAsia="en-US"/>
        </w:rPr>
      </w:pPr>
      <w:r>
        <w:rPr>
          <w:rFonts w:eastAsiaTheme="minorHAnsi"/>
          <w:bCs/>
          <w:lang w:eastAsia="en-US"/>
        </w:rPr>
        <w:t>Al respecto, de acuerdo al artículo 47 del Reglamento, en el caso de la acreditación de experiencia en obras similares, el valor mínimo de cada obra similar debe ser de quince por ciento (15%) del valor referencial, aspecto que no ha sido precisado en el citado factor de evaluación.</w:t>
      </w:r>
    </w:p>
    <w:p w:rsidR="00AB20A0" w:rsidRDefault="00AB20A0" w:rsidP="00AB20A0">
      <w:pPr>
        <w:pStyle w:val="Prrafodelista"/>
        <w:widowControl w:val="0"/>
        <w:ind w:left="720"/>
        <w:jc w:val="both"/>
        <w:rPr>
          <w:rFonts w:eastAsiaTheme="minorHAnsi"/>
          <w:bCs/>
          <w:lang w:eastAsia="en-US"/>
        </w:rPr>
      </w:pPr>
    </w:p>
    <w:p w:rsidR="00AB20A0" w:rsidRPr="00B81F81" w:rsidRDefault="00AB20A0" w:rsidP="00AB20A0">
      <w:pPr>
        <w:pStyle w:val="Prrafodelista"/>
        <w:widowControl w:val="0"/>
        <w:ind w:left="720"/>
        <w:jc w:val="both"/>
        <w:rPr>
          <w:rFonts w:eastAsiaTheme="minorHAnsi"/>
          <w:bCs/>
          <w:lang w:eastAsia="en-US"/>
        </w:rPr>
      </w:pPr>
      <w:r>
        <w:rPr>
          <w:rFonts w:eastAsiaTheme="minorHAnsi"/>
          <w:bCs/>
          <w:lang w:eastAsia="en-US"/>
        </w:rPr>
        <w:t xml:space="preserve">Por lo tanto, con ocasión de la integración de las Bases, </w:t>
      </w:r>
      <w:r w:rsidRPr="00AB20A0">
        <w:rPr>
          <w:rFonts w:eastAsiaTheme="minorHAnsi"/>
          <w:b/>
          <w:bCs/>
          <w:u w:val="single"/>
          <w:lang w:eastAsia="en-US"/>
        </w:rPr>
        <w:t xml:space="preserve">deberá precisarse que </w:t>
      </w:r>
      <w:r w:rsidRPr="00B81F81">
        <w:rPr>
          <w:rFonts w:eastAsiaTheme="minorHAnsi"/>
          <w:b/>
          <w:bCs/>
          <w:u w:val="single"/>
          <w:lang w:eastAsia="en-US"/>
        </w:rPr>
        <w:t>el valor mínimo de cada obra similar a ser presentada en el factor de evaluación “B. Experiencia en obras similares” debe ser equivalente al quince por ciento (15%) del valor referencial</w:t>
      </w:r>
      <w:r w:rsidRPr="00B81F81">
        <w:rPr>
          <w:rFonts w:eastAsiaTheme="minorHAnsi"/>
          <w:bCs/>
          <w:lang w:eastAsia="en-US"/>
        </w:rPr>
        <w:t>.</w:t>
      </w:r>
    </w:p>
    <w:p w:rsidR="00397BDF" w:rsidRPr="00B81F81" w:rsidRDefault="00397BDF" w:rsidP="00F91DE1">
      <w:pPr>
        <w:widowControl w:val="0"/>
        <w:jc w:val="both"/>
        <w:rPr>
          <w:rFonts w:eastAsiaTheme="minorHAnsi"/>
          <w:bCs/>
          <w:lang w:eastAsia="en-US"/>
        </w:rPr>
      </w:pPr>
    </w:p>
    <w:p w:rsidR="00B81F81" w:rsidRPr="00B81F81" w:rsidRDefault="00B81F81" w:rsidP="00B81F81">
      <w:pPr>
        <w:widowControl w:val="0"/>
        <w:tabs>
          <w:tab w:val="left" w:pos="540"/>
        </w:tabs>
        <w:contextualSpacing/>
        <w:jc w:val="both"/>
        <w:rPr>
          <w:b/>
        </w:rPr>
      </w:pPr>
      <w:r w:rsidRPr="00B81F81">
        <w:rPr>
          <w:b/>
        </w:rPr>
        <w:t xml:space="preserve">3.5. Definición de obras similares </w:t>
      </w:r>
    </w:p>
    <w:p w:rsidR="00B81F81" w:rsidRPr="00B81F81" w:rsidRDefault="00B81F81" w:rsidP="00F91DE1">
      <w:pPr>
        <w:widowControl w:val="0"/>
        <w:jc w:val="both"/>
        <w:rPr>
          <w:rFonts w:eastAsiaTheme="minorHAnsi"/>
          <w:bCs/>
          <w:lang w:eastAsia="en-US"/>
        </w:rPr>
      </w:pPr>
    </w:p>
    <w:p w:rsidR="00B81F81" w:rsidRDefault="00B81F81" w:rsidP="00F91DE1">
      <w:pPr>
        <w:widowControl w:val="0"/>
        <w:jc w:val="both"/>
        <w:rPr>
          <w:rFonts w:eastAsiaTheme="minorHAnsi"/>
          <w:bCs/>
          <w:lang w:eastAsia="en-US"/>
        </w:rPr>
      </w:pPr>
      <w:r w:rsidRPr="00B81F81">
        <w:rPr>
          <w:rFonts w:eastAsiaTheme="minorHAnsi"/>
          <w:bCs/>
          <w:lang w:eastAsia="en-US"/>
        </w:rPr>
        <w:t>De la revisión de las Bases</w:t>
      </w:r>
      <w:r>
        <w:rPr>
          <w:rFonts w:eastAsiaTheme="minorHAnsi"/>
          <w:bCs/>
          <w:lang w:eastAsia="en-US"/>
        </w:rPr>
        <w:t xml:space="preserve"> se advierte que en los requerimientos técnicos mínimos y en el factor de evaluación “B. Experiencia en Obras similares” se establecieron dos (2) definiciones diferentes de obras similares; ahora bien, con motivo de las absoluciones dadas por el Comité Especial en el pliego absolutorio de consultas, se aprecia que la Entidad estableció una nueva definición de obras similares.</w:t>
      </w:r>
    </w:p>
    <w:p w:rsidR="00B81F81" w:rsidRDefault="00B81F81" w:rsidP="00F91DE1">
      <w:pPr>
        <w:widowControl w:val="0"/>
        <w:jc w:val="both"/>
        <w:rPr>
          <w:rFonts w:eastAsiaTheme="minorHAnsi"/>
          <w:bCs/>
          <w:lang w:eastAsia="en-US"/>
        </w:rPr>
      </w:pPr>
    </w:p>
    <w:p w:rsidR="00B81F81" w:rsidRPr="00C579D2" w:rsidRDefault="00B81F81" w:rsidP="00B81F81">
      <w:pPr>
        <w:widowControl w:val="0"/>
        <w:jc w:val="both"/>
        <w:rPr>
          <w:b/>
        </w:rPr>
      </w:pPr>
      <w:r>
        <w:rPr>
          <w:rFonts w:eastAsiaTheme="minorHAnsi"/>
          <w:bCs/>
          <w:lang w:eastAsia="en-US"/>
        </w:rPr>
        <w:t xml:space="preserve">Al respecto, </w:t>
      </w:r>
      <w:r w:rsidRPr="00C579D2">
        <w:rPr>
          <w:rFonts w:eastAsia="Calibri"/>
          <w:lang w:val="es-PE"/>
        </w:rPr>
        <w:t xml:space="preserve">cabe señalar que </w:t>
      </w:r>
      <w:r w:rsidRPr="00C579D2">
        <w:rPr>
          <w:b/>
          <w:u w:val="single"/>
        </w:rPr>
        <w:t xml:space="preserve">la definición de </w:t>
      </w:r>
      <w:r>
        <w:rPr>
          <w:b/>
          <w:u w:val="single"/>
        </w:rPr>
        <w:t xml:space="preserve">obras </w:t>
      </w:r>
      <w:r w:rsidRPr="00C579D2">
        <w:rPr>
          <w:b/>
          <w:u w:val="single"/>
        </w:rPr>
        <w:t>similares es única y debe utilizarse</w:t>
      </w:r>
      <w:r w:rsidRPr="00C579D2">
        <w:t>, indistintamente, para la acreditación de requisitos técnicos mínimos como factores de evaluación, sea del postor o de determinado personal propuesto; estando a ello.</w:t>
      </w:r>
    </w:p>
    <w:p w:rsidR="00B81F81" w:rsidRPr="00C579D2" w:rsidRDefault="00B81F81" w:rsidP="00B81F81">
      <w:pPr>
        <w:autoSpaceDE w:val="0"/>
        <w:autoSpaceDN w:val="0"/>
        <w:adjustRightInd w:val="0"/>
        <w:jc w:val="both"/>
      </w:pPr>
    </w:p>
    <w:p w:rsidR="00A77A13" w:rsidRDefault="00B81F81" w:rsidP="00B81F81">
      <w:pPr>
        <w:autoSpaceDE w:val="0"/>
        <w:autoSpaceDN w:val="0"/>
        <w:adjustRightInd w:val="0"/>
        <w:jc w:val="both"/>
        <w:rPr>
          <w:b/>
          <w:u w:val="single"/>
        </w:rPr>
      </w:pPr>
      <w:r w:rsidRPr="00C579D2">
        <w:t xml:space="preserve">Por lo tanto, con ocasión de la integración de las Bases, </w:t>
      </w:r>
      <w:r w:rsidRPr="00C579D2">
        <w:rPr>
          <w:b/>
          <w:u w:val="single"/>
        </w:rPr>
        <w:t xml:space="preserve">deberá </w:t>
      </w:r>
      <w:r w:rsidR="00A77A13">
        <w:rPr>
          <w:b/>
          <w:u w:val="single"/>
        </w:rPr>
        <w:t>consignarse la definición de obras similares dada en el pliego absolutorio de consultas en todos los extremos de las Bases donde se haga referencia a dicha definición, a fin que en las Bases exista una única definición.</w:t>
      </w:r>
    </w:p>
    <w:p w:rsidR="00A77A13" w:rsidRDefault="00A77A13" w:rsidP="00B81F81">
      <w:pPr>
        <w:autoSpaceDE w:val="0"/>
        <w:autoSpaceDN w:val="0"/>
        <w:adjustRightInd w:val="0"/>
        <w:jc w:val="both"/>
        <w:rPr>
          <w:b/>
          <w:u w:val="single"/>
        </w:rPr>
      </w:pPr>
    </w:p>
    <w:p w:rsidR="004D40B7" w:rsidRPr="004A7CD2" w:rsidRDefault="007A5F65" w:rsidP="00F91DE1">
      <w:pPr>
        <w:widowControl w:val="0"/>
        <w:jc w:val="both"/>
      </w:pPr>
      <w:r>
        <w:rPr>
          <w:b/>
          <w:lang w:val="es-PE"/>
        </w:rPr>
        <w:t xml:space="preserve">4. </w:t>
      </w:r>
      <w:r w:rsidR="004D40B7" w:rsidRPr="004A7CD2">
        <w:rPr>
          <w:b/>
          <w:lang w:val="es-PE"/>
        </w:rPr>
        <w:t>CONCLUSIONES</w:t>
      </w:r>
    </w:p>
    <w:p w:rsidR="004D40B7" w:rsidRPr="00730620" w:rsidRDefault="004D40B7" w:rsidP="004D40B7">
      <w:pPr>
        <w:pStyle w:val="Textoindependiente2"/>
        <w:spacing w:after="0" w:line="240" w:lineRule="auto"/>
        <w:ind w:left="426"/>
        <w:jc w:val="both"/>
        <w:rPr>
          <w:b/>
        </w:rPr>
      </w:pPr>
    </w:p>
    <w:p w:rsidR="004D40B7" w:rsidRPr="00730620" w:rsidRDefault="004D40B7" w:rsidP="004D40B7">
      <w:pPr>
        <w:widowControl w:val="0"/>
        <w:jc w:val="both"/>
        <w:rPr>
          <w:snapToGrid w:val="0"/>
        </w:rPr>
      </w:pPr>
      <w:r w:rsidRPr="00730620">
        <w:rPr>
          <w:snapToGrid w:val="0"/>
        </w:rPr>
        <w:t>En virtud de lo expuesto, este Organismo Supervisor ha dispuesto:</w:t>
      </w:r>
    </w:p>
    <w:p w:rsidR="004D40B7" w:rsidRPr="00730620" w:rsidRDefault="004D40B7" w:rsidP="004D40B7">
      <w:pPr>
        <w:tabs>
          <w:tab w:val="left" w:pos="567"/>
        </w:tabs>
        <w:ind w:left="567"/>
        <w:jc w:val="both"/>
        <w:rPr>
          <w:b/>
        </w:rPr>
      </w:pPr>
    </w:p>
    <w:p w:rsidR="004D40B7" w:rsidRPr="00730620" w:rsidRDefault="004D40B7" w:rsidP="004D40B7">
      <w:pPr>
        <w:widowControl w:val="0"/>
        <w:numPr>
          <w:ilvl w:val="1"/>
          <w:numId w:val="2"/>
        </w:numPr>
        <w:ind w:left="567" w:hanging="567"/>
        <w:jc w:val="both"/>
      </w:pPr>
      <w:r w:rsidRPr="00730620">
        <w:rPr>
          <w:snapToGrid w:val="0"/>
        </w:rPr>
        <w:t xml:space="preserve">El </w:t>
      </w:r>
      <w:r w:rsidRPr="00730620">
        <w:t>Comité Especial deberá cumplir con lo dispuesto por este Organismo Supervisor al absolver las observaciones indicadas en el numeral 2 del presente Pronunciamiento.</w:t>
      </w:r>
    </w:p>
    <w:p w:rsidR="004D40B7" w:rsidRPr="00730620" w:rsidRDefault="004D40B7" w:rsidP="004D40B7">
      <w:pPr>
        <w:widowControl w:val="0"/>
        <w:ind w:left="567"/>
        <w:jc w:val="both"/>
      </w:pPr>
    </w:p>
    <w:p w:rsidR="004D40B7" w:rsidRPr="00730620" w:rsidRDefault="004D40B7" w:rsidP="004D40B7">
      <w:pPr>
        <w:widowControl w:val="0"/>
        <w:numPr>
          <w:ilvl w:val="1"/>
          <w:numId w:val="2"/>
        </w:numPr>
        <w:ind w:left="567" w:hanging="567"/>
        <w:jc w:val="both"/>
      </w:pPr>
      <w:r w:rsidRPr="00730620">
        <w:rPr>
          <w:iCs/>
        </w:rPr>
        <w:t>El Comité Especial deberá tener en cuenta lo indicado en el numeral 3 del presente Pronunciamiento a fin de efectuar las modificaciones a las Bases que hubiere a lugar, así como registrar en el SEACE la documentación solicitada.</w:t>
      </w:r>
    </w:p>
    <w:p w:rsidR="00A77A13" w:rsidRPr="00730620" w:rsidRDefault="00A77A13" w:rsidP="004D40B7">
      <w:pPr>
        <w:widowControl w:val="0"/>
        <w:ind w:left="567"/>
        <w:jc w:val="both"/>
      </w:pPr>
    </w:p>
    <w:p w:rsidR="004D40B7" w:rsidRPr="00730620" w:rsidRDefault="004D40B7" w:rsidP="004D40B7">
      <w:pPr>
        <w:widowControl w:val="0"/>
        <w:numPr>
          <w:ilvl w:val="1"/>
          <w:numId w:val="2"/>
        </w:numPr>
        <w:ind w:left="567" w:hanging="567"/>
        <w:jc w:val="both"/>
      </w:pPr>
      <w:r w:rsidRPr="00730620">
        <w:rPr>
          <w:iCs/>
        </w:rPr>
        <w:t xml:space="preserve">Publicado el Pronunciamiento del OSCE en el SEACE, el Comité Especial deberá implementarlo estrictamente, aun cuando ello implique que dicho órgano acuerde </w:t>
      </w:r>
      <w:r w:rsidRPr="00730620">
        <w:rPr>
          <w:iCs/>
        </w:rPr>
        <w:lastRenderedPageBreak/>
        <w:t>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4D40B7" w:rsidRPr="00730620" w:rsidRDefault="004D40B7" w:rsidP="004D40B7">
      <w:pPr>
        <w:widowControl w:val="0"/>
        <w:ind w:left="567"/>
        <w:jc w:val="both"/>
      </w:pPr>
    </w:p>
    <w:p w:rsidR="004D40B7" w:rsidRPr="00730620" w:rsidRDefault="004D40B7" w:rsidP="004D40B7">
      <w:pPr>
        <w:widowControl w:val="0"/>
        <w:numPr>
          <w:ilvl w:val="1"/>
          <w:numId w:val="2"/>
        </w:numPr>
        <w:ind w:left="567" w:hanging="567"/>
        <w:jc w:val="both"/>
      </w:pPr>
      <w:r w:rsidRPr="00730620">
        <w:rPr>
          <w:iCs/>
        </w:rPr>
        <w:t>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w:t>
      </w:r>
      <w:r w:rsidRPr="00730620">
        <w:t xml:space="preserve"> (1) día después de haber quedado integradas las Bases, y que, a tenor del artículo 24° del Reglamento, entre la integración de Bases y la presentación de propuestas no podrá mediar menos de cinco (5) días hábiles, computados a partir del día siguiente de la publicación de las Bases integradas en el SEACE.</w:t>
      </w:r>
    </w:p>
    <w:p w:rsidR="004D40B7" w:rsidRPr="00730620" w:rsidRDefault="004D40B7" w:rsidP="004D40B7">
      <w:pPr>
        <w:widowControl w:val="0"/>
        <w:ind w:left="567"/>
        <w:jc w:val="both"/>
        <w:rPr>
          <w:iCs/>
        </w:rPr>
      </w:pPr>
    </w:p>
    <w:p w:rsidR="004D40B7" w:rsidRPr="00730620" w:rsidRDefault="004D40B7" w:rsidP="004D40B7">
      <w:pPr>
        <w:widowControl w:val="0"/>
        <w:numPr>
          <w:ilvl w:val="1"/>
          <w:numId w:val="2"/>
        </w:numPr>
        <w:ind w:left="567" w:hanging="567"/>
        <w:jc w:val="both"/>
      </w:pPr>
      <w:r w:rsidRPr="00730620">
        <w:rPr>
          <w:iCs/>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4D40B7" w:rsidRPr="00730620" w:rsidRDefault="004D40B7" w:rsidP="004D40B7">
      <w:pPr>
        <w:widowControl w:val="0"/>
        <w:ind w:left="567"/>
        <w:jc w:val="both"/>
      </w:pPr>
    </w:p>
    <w:p w:rsidR="004D40B7" w:rsidRPr="00730620" w:rsidRDefault="004D40B7" w:rsidP="004D40B7">
      <w:pPr>
        <w:widowControl w:val="0"/>
        <w:numPr>
          <w:ilvl w:val="1"/>
          <w:numId w:val="2"/>
        </w:numPr>
        <w:ind w:left="567" w:hanging="567"/>
        <w:jc w:val="both"/>
        <w:rPr>
          <w:iCs/>
        </w:rPr>
      </w:pPr>
      <w:r w:rsidRPr="00730620">
        <w:rPr>
          <w:iCs/>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4D40B7" w:rsidRPr="00730620" w:rsidRDefault="004D40B7" w:rsidP="004D40B7">
      <w:pPr>
        <w:pStyle w:val="Prrafodelista"/>
        <w:jc w:val="both"/>
        <w:rPr>
          <w:iCs/>
        </w:rPr>
      </w:pPr>
    </w:p>
    <w:p w:rsidR="004D40B7" w:rsidRPr="00730620" w:rsidRDefault="004D40B7" w:rsidP="004D40B7">
      <w:pPr>
        <w:widowControl w:val="0"/>
        <w:numPr>
          <w:ilvl w:val="1"/>
          <w:numId w:val="2"/>
        </w:numPr>
        <w:ind w:left="567" w:hanging="567"/>
        <w:jc w:val="both"/>
        <w:rPr>
          <w:iCs/>
        </w:rPr>
      </w:pPr>
      <w:r w:rsidRPr="00730620">
        <w:rPr>
          <w:iCs/>
        </w:rPr>
        <w:t>En caso la Entidad continúe con el proceso sin sujetarse a lo dispuesto en el presente Pronunciamiento, tal actuación constituirá un elemento a tomar en cuenta para la no emisión de las constancias necesarias para la suscripción del respectivo contrato; siendo que el aplazamiento del proceso y los costos en los que podrían incurrir los postores y el ganador de la buena pro son de exclusiva responsabilidad de la Entidad.</w:t>
      </w:r>
    </w:p>
    <w:p w:rsidR="004D40B7" w:rsidRPr="00730620" w:rsidRDefault="004D40B7" w:rsidP="004D40B7">
      <w:pPr>
        <w:pStyle w:val="Prrafodelista"/>
        <w:widowControl w:val="0"/>
        <w:tabs>
          <w:tab w:val="left" w:pos="540"/>
        </w:tabs>
        <w:ind w:left="0"/>
        <w:contextualSpacing/>
        <w:jc w:val="both"/>
      </w:pPr>
    </w:p>
    <w:p w:rsidR="004D40B7" w:rsidRPr="00730620" w:rsidRDefault="004D40B7" w:rsidP="004D40B7">
      <w:pPr>
        <w:widowControl w:val="0"/>
        <w:jc w:val="right"/>
      </w:pPr>
      <w:r w:rsidRPr="00730620">
        <w:t xml:space="preserve">Jesús María, </w:t>
      </w:r>
      <w:r w:rsidR="00AB20A0">
        <w:t>28</w:t>
      </w:r>
      <w:r w:rsidRPr="00730620">
        <w:t xml:space="preserve"> de </w:t>
      </w:r>
      <w:r w:rsidR="00AB20A0">
        <w:t xml:space="preserve">diciembre </w:t>
      </w:r>
      <w:r w:rsidRPr="00730620">
        <w:t>de 2015</w:t>
      </w:r>
    </w:p>
    <w:p w:rsidR="004D40B7" w:rsidRPr="00AB20A0" w:rsidRDefault="004D40B7" w:rsidP="004D40B7">
      <w:pPr>
        <w:widowControl w:val="0"/>
        <w:rPr>
          <w:b/>
        </w:rPr>
      </w:pPr>
    </w:p>
    <w:p w:rsidR="004D40B7" w:rsidRPr="00AB20A0" w:rsidRDefault="004D40B7" w:rsidP="004D40B7">
      <w:pPr>
        <w:autoSpaceDE w:val="0"/>
        <w:autoSpaceDN w:val="0"/>
        <w:adjustRightInd w:val="0"/>
        <w:ind w:left="567"/>
        <w:jc w:val="both"/>
        <w:rPr>
          <w:rFonts w:eastAsia="Calibri"/>
          <w:b/>
          <w:lang w:eastAsia="en-US"/>
        </w:rPr>
      </w:pPr>
      <w:r w:rsidRPr="00AB20A0">
        <w:rPr>
          <w:b/>
          <w:iCs/>
        </w:rPr>
        <w:tab/>
      </w:r>
      <w:r w:rsidRPr="00AB20A0">
        <w:rPr>
          <w:b/>
          <w:iCs/>
        </w:rPr>
        <w:tab/>
      </w:r>
      <w:r w:rsidRPr="00AB20A0">
        <w:rPr>
          <w:b/>
          <w:iCs/>
        </w:rPr>
        <w:tab/>
      </w:r>
      <w:r w:rsidRPr="00AB20A0">
        <w:rPr>
          <w:rFonts w:eastAsia="Calibri"/>
          <w:b/>
          <w:lang w:eastAsia="en-US"/>
        </w:rPr>
        <w:t xml:space="preserve">Elaborado: </w:t>
      </w:r>
      <w:r w:rsidRPr="00AB20A0">
        <w:rPr>
          <w:rFonts w:eastAsia="Calibri"/>
          <w:b/>
          <w:lang w:eastAsia="en-US"/>
        </w:rPr>
        <w:tab/>
      </w:r>
      <w:r w:rsidRPr="00AB20A0">
        <w:rPr>
          <w:rFonts w:eastAsia="Calibri"/>
          <w:b/>
          <w:lang w:eastAsia="en-US"/>
        </w:rPr>
        <w:tab/>
      </w:r>
      <w:r w:rsidR="00AB20A0">
        <w:rPr>
          <w:rFonts w:eastAsia="Calibri"/>
          <w:b/>
          <w:lang w:eastAsia="en-US"/>
        </w:rPr>
        <w:t>Alberto Egoavil Cornejo</w:t>
      </w:r>
    </w:p>
    <w:p w:rsidR="004D40B7" w:rsidRPr="00AB20A0" w:rsidRDefault="004D40B7" w:rsidP="004D40B7">
      <w:pPr>
        <w:autoSpaceDE w:val="0"/>
        <w:autoSpaceDN w:val="0"/>
        <w:adjustRightInd w:val="0"/>
        <w:ind w:left="567"/>
        <w:jc w:val="both"/>
        <w:rPr>
          <w:rFonts w:eastAsia="Calibri"/>
          <w:b/>
          <w:lang w:eastAsia="en-US"/>
        </w:rPr>
      </w:pPr>
      <w:r w:rsidRPr="00AB20A0">
        <w:rPr>
          <w:rFonts w:eastAsia="Calibri"/>
          <w:b/>
          <w:lang w:eastAsia="en-US"/>
        </w:rPr>
        <w:tab/>
      </w:r>
      <w:r w:rsidRPr="00AB20A0">
        <w:rPr>
          <w:rFonts w:eastAsia="Calibri"/>
          <w:b/>
          <w:lang w:eastAsia="en-US"/>
        </w:rPr>
        <w:tab/>
      </w:r>
      <w:r w:rsidRPr="00AB20A0">
        <w:rPr>
          <w:rFonts w:eastAsia="Calibri"/>
          <w:b/>
          <w:lang w:eastAsia="en-US"/>
        </w:rPr>
        <w:tab/>
        <w:t xml:space="preserve">Supervisado: </w:t>
      </w:r>
      <w:r w:rsidRPr="00AB20A0">
        <w:rPr>
          <w:rFonts w:eastAsia="Calibri"/>
          <w:b/>
          <w:lang w:eastAsia="en-US"/>
        </w:rPr>
        <w:tab/>
      </w:r>
      <w:r w:rsidRPr="00AB20A0">
        <w:rPr>
          <w:rFonts w:eastAsia="Calibri"/>
          <w:b/>
          <w:lang w:eastAsia="en-US"/>
        </w:rPr>
        <w:tab/>
      </w:r>
      <w:r w:rsidR="00A77A13">
        <w:rPr>
          <w:rFonts w:eastAsia="Calibri"/>
          <w:b/>
          <w:lang w:eastAsia="en-US"/>
        </w:rPr>
        <w:t>Pamela Hawkins Tacchino</w:t>
      </w:r>
      <w:r w:rsidR="00AB20A0">
        <w:rPr>
          <w:rFonts w:eastAsia="Calibri"/>
          <w:b/>
          <w:lang w:eastAsia="en-US"/>
        </w:rPr>
        <w:t xml:space="preserve"> </w:t>
      </w:r>
    </w:p>
    <w:p w:rsidR="004D40B7" w:rsidRPr="00AB20A0" w:rsidRDefault="004D40B7" w:rsidP="004D40B7">
      <w:pPr>
        <w:widowControl w:val="0"/>
        <w:ind w:left="567"/>
        <w:jc w:val="both"/>
        <w:rPr>
          <w:rFonts w:eastAsia="Calibri"/>
          <w:b/>
          <w:lang w:eastAsia="en-US"/>
        </w:rPr>
      </w:pPr>
      <w:r w:rsidRPr="00AB20A0">
        <w:rPr>
          <w:rFonts w:eastAsia="Calibri"/>
          <w:b/>
          <w:lang w:eastAsia="en-US"/>
        </w:rPr>
        <w:tab/>
      </w:r>
      <w:r w:rsidRPr="00AB20A0">
        <w:rPr>
          <w:rFonts w:eastAsia="Calibri"/>
          <w:b/>
          <w:lang w:eastAsia="en-US"/>
        </w:rPr>
        <w:tab/>
      </w:r>
      <w:r w:rsidRPr="00AB20A0">
        <w:rPr>
          <w:rFonts w:eastAsia="Calibri"/>
          <w:b/>
          <w:lang w:eastAsia="en-US"/>
        </w:rPr>
        <w:tab/>
        <w:t xml:space="preserve">Validado:  </w:t>
      </w:r>
      <w:r w:rsidRPr="00AB20A0">
        <w:rPr>
          <w:rFonts w:eastAsia="Calibri"/>
          <w:b/>
          <w:lang w:eastAsia="en-US"/>
        </w:rPr>
        <w:tab/>
      </w:r>
      <w:r w:rsidRPr="00AB20A0">
        <w:rPr>
          <w:rFonts w:eastAsia="Calibri"/>
          <w:b/>
          <w:lang w:eastAsia="en-US"/>
        </w:rPr>
        <w:tab/>
        <w:t>Laura Gutierrez Gonz</w:t>
      </w:r>
      <w:r w:rsidR="00AB20A0">
        <w:rPr>
          <w:rFonts w:eastAsia="Calibri"/>
          <w:b/>
          <w:lang w:eastAsia="en-US"/>
        </w:rPr>
        <w:t>a</w:t>
      </w:r>
      <w:r w:rsidR="000B4EA4">
        <w:rPr>
          <w:rFonts w:eastAsia="Calibri"/>
          <w:b/>
          <w:lang w:eastAsia="en-US"/>
        </w:rPr>
        <w:t>les</w:t>
      </w:r>
    </w:p>
    <w:p w:rsidR="004D40B7" w:rsidRPr="00730620" w:rsidRDefault="00A77A13" w:rsidP="004D40B7">
      <w:pPr>
        <w:widowControl w:val="0"/>
        <w:ind w:left="567"/>
        <w:jc w:val="both"/>
        <w:rPr>
          <w:rFonts w:eastAsia="Calibri"/>
          <w:lang w:eastAsia="en-US"/>
        </w:rPr>
      </w:pPr>
      <w:r>
        <w:rPr>
          <w:rFonts w:eastAsia="Calibri"/>
          <w:noProof/>
          <w:lang w:val="es-PE" w:eastAsia="es-PE"/>
        </w:rPr>
        <w:drawing>
          <wp:anchor distT="0" distB="0" distL="114300" distR="114300" simplePos="0" relativeHeight="251657216" behindDoc="1" locked="0" layoutInCell="1" allowOverlap="1" wp14:anchorId="4AE15035" wp14:editId="40CEF16C">
            <wp:simplePos x="0" y="0"/>
            <wp:positionH relativeFrom="column">
              <wp:posOffset>1049630</wp:posOffset>
            </wp:positionH>
            <wp:positionV relativeFrom="paragraph">
              <wp:posOffset>4572</wp:posOffset>
            </wp:positionV>
            <wp:extent cx="2899410" cy="1075055"/>
            <wp:effectExtent l="1905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7"/>
                    <a:srcRect t="5208" r="7138" b="15625"/>
                    <a:stretch>
                      <a:fillRect/>
                    </a:stretch>
                  </pic:blipFill>
                  <pic:spPr bwMode="auto">
                    <a:xfrm>
                      <a:off x="0" y="0"/>
                      <a:ext cx="2899410" cy="1075055"/>
                    </a:xfrm>
                    <a:prstGeom prst="rect">
                      <a:avLst/>
                    </a:prstGeom>
                    <a:noFill/>
                    <a:ln w="9525">
                      <a:noFill/>
                      <a:miter lim="800000"/>
                      <a:headEnd/>
                      <a:tailEnd/>
                    </a:ln>
                  </pic:spPr>
                </pic:pic>
              </a:graphicData>
            </a:graphic>
          </wp:anchor>
        </w:drawing>
      </w:r>
    </w:p>
    <w:sectPr w:rsidR="004D40B7" w:rsidRPr="00730620" w:rsidSect="00C24DE4">
      <w:headerReference w:type="default" r:id="rId8"/>
      <w:pgSz w:w="12240" w:h="15840"/>
      <w:pgMar w:top="1588" w:right="1701" w:bottom="158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509" w:rsidRDefault="00483509" w:rsidP="004D40B7">
      <w:r>
        <w:separator/>
      </w:r>
    </w:p>
  </w:endnote>
  <w:endnote w:type="continuationSeparator" w:id="0">
    <w:p w:rsidR="00483509" w:rsidRDefault="00483509" w:rsidP="004D4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509" w:rsidRDefault="00483509" w:rsidP="004D40B7">
      <w:r>
        <w:separator/>
      </w:r>
    </w:p>
  </w:footnote>
  <w:footnote w:type="continuationSeparator" w:id="0">
    <w:p w:rsidR="00483509" w:rsidRDefault="00483509" w:rsidP="004D40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DE4" w:rsidRDefault="00CC63C0">
    <w:pPr>
      <w:pStyle w:val="Encabezado"/>
      <w:jc w:val="center"/>
    </w:pPr>
    <w:r>
      <w:fldChar w:fldCharType="begin"/>
    </w:r>
    <w:r w:rsidR="00B96F29">
      <w:instrText xml:space="preserve"> PAGE   \* MERGEFORMAT </w:instrText>
    </w:r>
    <w:r>
      <w:fldChar w:fldCharType="separate"/>
    </w:r>
    <w:r w:rsidR="00A713C8">
      <w:rPr>
        <w:noProof/>
      </w:rPr>
      <w:t>1</w:t>
    </w:r>
    <w:r>
      <w:rPr>
        <w:noProof/>
      </w:rPr>
      <w:fldChar w:fldCharType="end"/>
    </w:r>
  </w:p>
  <w:p w:rsidR="00C24DE4" w:rsidRDefault="00C24DE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A7192"/>
    <w:multiLevelType w:val="hybridMultilevel"/>
    <w:tmpl w:val="0458F0D8"/>
    <w:lvl w:ilvl="0" w:tplc="280A0009">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0F4A3F72"/>
    <w:multiLevelType w:val="hybridMultilevel"/>
    <w:tmpl w:val="4F9ED908"/>
    <w:lvl w:ilvl="0" w:tplc="280A0011">
      <w:start w:val="1"/>
      <w:numFmt w:val="decimal"/>
      <w:lvlText w:val="%1)"/>
      <w:lvlJc w:val="left"/>
      <w:pPr>
        <w:ind w:left="1287" w:hanging="360"/>
      </w:p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2">
    <w:nsid w:val="1A8648E0"/>
    <w:multiLevelType w:val="hybridMultilevel"/>
    <w:tmpl w:val="03400B1C"/>
    <w:lvl w:ilvl="0" w:tplc="280A0005">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21771AB2"/>
    <w:multiLevelType w:val="hybridMultilevel"/>
    <w:tmpl w:val="6EB82630"/>
    <w:lvl w:ilvl="0" w:tplc="4BD6B394">
      <w:start w:val="1"/>
      <w:numFmt w:val="decimal"/>
      <w:lvlText w:val="%1."/>
      <w:lvlJc w:val="left"/>
      <w:pPr>
        <w:ind w:left="720" w:hanging="360"/>
      </w:pPr>
      <w:rPr>
        <w:b/>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4">
    <w:nsid w:val="39FE0690"/>
    <w:multiLevelType w:val="hybridMultilevel"/>
    <w:tmpl w:val="0A8863A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484C5F5A"/>
    <w:multiLevelType w:val="hybridMultilevel"/>
    <w:tmpl w:val="7C564D8E"/>
    <w:lvl w:ilvl="0" w:tplc="89AE5ED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48C86A6F"/>
    <w:multiLevelType w:val="hybridMultilevel"/>
    <w:tmpl w:val="823821D2"/>
    <w:lvl w:ilvl="0" w:tplc="B7BAD03E">
      <w:start w:val="3"/>
      <w:numFmt w:val="bullet"/>
      <w:lvlText w:val="-"/>
      <w:lvlJc w:val="left"/>
      <w:pPr>
        <w:ind w:left="720" w:hanging="360"/>
      </w:pPr>
      <w:rPr>
        <w:rFonts w:ascii="Times New Roman" w:eastAsiaTheme="minorHAns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48EB2592"/>
    <w:multiLevelType w:val="hybridMultilevel"/>
    <w:tmpl w:val="2F44CE8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4B9C5440"/>
    <w:multiLevelType w:val="multilevel"/>
    <w:tmpl w:val="A65CB1F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C7F4890"/>
    <w:multiLevelType w:val="multilevel"/>
    <w:tmpl w:val="2D0C9144"/>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60061C4D"/>
    <w:multiLevelType w:val="multilevel"/>
    <w:tmpl w:val="A8B25592"/>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11">
    <w:nsid w:val="62EC5625"/>
    <w:multiLevelType w:val="hybridMultilevel"/>
    <w:tmpl w:val="D59C47F0"/>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6A2E2342"/>
    <w:multiLevelType w:val="hybridMultilevel"/>
    <w:tmpl w:val="70806B58"/>
    <w:lvl w:ilvl="0" w:tplc="EF3A0D30">
      <w:start w:val="1"/>
      <w:numFmt w:val="lowerRoman"/>
      <w:lvlText w:val="%1)"/>
      <w:lvlJc w:val="left"/>
      <w:pPr>
        <w:ind w:left="1428" w:hanging="720"/>
      </w:pPr>
      <w:rPr>
        <w:rFonts w:cs="Times New Roman" w:hint="default"/>
        <w:b w:val="0"/>
      </w:rPr>
    </w:lvl>
    <w:lvl w:ilvl="1" w:tplc="16306E82">
      <w:start w:val="1"/>
      <w:numFmt w:val="decimal"/>
      <w:lvlText w:val="%2."/>
      <w:lvlJc w:val="left"/>
      <w:pPr>
        <w:tabs>
          <w:tab w:val="num" w:pos="1788"/>
        </w:tabs>
        <w:ind w:left="1788" w:hanging="360"/>
      </w:pPr>
      <w:rPr>
        <w:rFonts w:hint="default"/>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13">
    <w:nsid w:val="73497C32"/>
    <w:multiLevelType w:val="hybridMultilevel"/>
    <w:tmpl w:val="21B2030A"/>
    <w:lvl w:ilvl="0" w:tplc="280A0009">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75010A26"/>
    <w:multiLevelType w:val="hybridMultilevel"/>
    <w:tmpl w:val="8C900E00"/>
    <w:lvl w:ilvl="0" w:tplc="0134A10A">
      <w:start w:val="3"/>
      <w:numFmt w:val="bullet"/>
      <w:lvlText w:val="-"/>
      <w:lvlJc w:val="left"/>
      <w:pPr>
        <w:ind w:left="720" w:hanging="360"/>
      </w:pPr>
      <w:rPr>
        <w:rFonts w:ascii="Times New Roman" w:eastAsiaTheme="minorHAns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11"/>
  </w:num>
  <w:num w:numId="5">
    <w:abstractNumId w:val="1"/>
  </w:num>
  <w:num w:numId="6">
    <w:abstractNumId w:val="7"/>
  </w:num>
  <w:num w:numId="7">
    <w:abstractNumId w:val="2"/>
  </w:num>
  <w:num w:numId="8">
    <w:abstractNumId w:val="12"/>
  </w:num>
  <w:num w:numId="9">
    <w:abstractNumId w:val="8"/>
  </w:num>
  <w:num w:numId="10">
    <w:abstractNumId w:val="4"/>
  </w:num>
  <w:num w:numId="11">
    <w:abstractNumId w:val="10"/>
  </w:num>
  <w:num w:numId="12">
    <w:abstractNumId w:val="13"/>
  </w:num>
  <w:num w:numId="13">
    <w:abstractNumId w:val="0"/>
  </w:num>
  <w:num w:numId="14">
    <w:abstractNumId w:val="1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D40B7"/>
    <w:rsid w:val="00007036"/>
    <w:rsid w:val="00031B08"/>
    <w:rsid w:val="000336E5"/>
    <w:rsid w:val="00037021"/>
    <w:rsid w:val="00042DAF"/>
    <w:rsid w:val="00060A63"/>
    <w:rsid w:val="00077A4E"/>
    <w:rsid w:val="00095016"/>
    <w:rsid w:val="000B4EA4"/>
    <w:rsid w:val="000B617B"/>
    <w:rsid w:val="000E4D15"/>
    <w:rsid w:val="00161F00"/>
    <w:rsid w:val="0016202C"/>
    <w:rsid w:val="00164E17"/>
    <w:rsid w:val="001808F1"/>
    <w:rsid w:val="00182B78"/>
    <w:rsid w:val="001D328D"/>
    <w:rsid w:val="001E0CF3"/>
    <w:rsid w:val="001E2332"/>
    <w:rsid w:val="001E4F10"/>
    <w:rsid w:val="00200F1E"/>
    <w:rsid w:val="00207610"/>
    <w:rsid w:val="0025779A"/>
    <w:rsid w:val="00277FEB"/>
    <w:rsid w:val="002A4F6A"/>
    <w:rsid w:val="002D630D"/>
    <w:rsid w:val="002F6E94"/>
    <w:rsid w:val="003031CB"/>
    <w:rsid w:val="00326BEE"/>
    <w:rsid w:val="00397BDF"/>
    <w:rsid w:val="003F1AE8"/>
    <w:rsid w:val="004153F1"/>
    <w:rsid w:val="00423109"/>
    <w:rsid w:val="004674C6"/>
    <w:rsid w:val="00481AF7"/>
    <w:rsid w:val="00483509"/>
    <w:rsid w:val="004C43CE"/>
    <w:rsid w:val="004D40B7"/>
    <w:rsid w:val="00514BEF"/>
    <w:rsid w:val="00524640"/>
    <w:rsid w:val="00527730"/>
    <w:rsid w:val="00541670"/>
    <w:rsid w:val="00551C0A"/>
    <w:rsid w:val="0055524E"/>
    <w:rsid w:val="00563486"/>
    <w:rsid w:val="0056476D"/>
    <w:rsid w:val="0059561B"/>
    <w:rsid w:val="005B4BCD"/>
    <w:rsid w:val="00604C27"/>
    <w:rsid w:val="00605C98"/>
    <w:rsid w:val="00606AEE"/>
    <w:rsid w:val="00615C97"/>
    <w:rsid w:val="0062121E"/>
    <w:rsid w:val="006308E4"/>
    <w:rsid w:val="006675DD"/>
    <w:rsid w:val="00680DB2"/>
    <w:rsid w:val="00740E4F"/>
    <w:rsid w:val="007A5F65"/>
    <w:rsid w:val="007F7362"/>
    <w:rsid w:val="00810231"/>
    <w:rsid w:val="008106FB"/>
    <w:rsid w:val="008269A8"/>
    <w:rsid w:val="008344BD"/>
    <w:rsid w:val="008626A6"/>
    <w:rsid w:val="00865C9A"/>
    <w:rsid w:val="00887EC5"/>
    <w:rsid w:val="008F2129"/>
    <w:rsid w:val="008F43E9"/>
    <w:rsid w:val="00900E8E"/>
    <w:rsid w:val="00904659"/>
    <w:rsid w:val="00930ADF"/>
    <w:rsid w:val="009311BE"/>
    <w:rsid w:val="009341ED"/>
    <w:rsid w:val="00983DAB"/>
    <w:rsid w:val="009957BA"/>
    <w:rsid w:val="009A23AF"/>
    <w:rsid w:val="00A330EB"/>
    <w:rsid w:val="00A713C8"/>
    <w:rsid w:val="00A77A13"/>
    <w:rsid w:val="00A90B13"/>
    <w:rsid w:val="00AB20A0"/>
    <w:rsid w:val="00AB480A"/>
    <w:rsid w:val="00AC3622"/>
    <w:rsid w:val="00B41FDF"/>
    <w:rsid w:val="00B80A9A"/>
    <w:rsid w:val="00B81F81"/>
    <w:rsid w:val="00B96F29"/>
    <w:rsid w:val="00BB0D8C"/>
    <w:rsid w:val="00BE2A80"/>
    <w:rsid w:val="00C24DE4"/>
    <w:rsid w:val="00C315C4"/>
    <w:rsid w:val="00CB04BB"/>
    <w:rsid w:val="00CC63C0"/>
    <w:rsid w:val="00CF7107"/>
    <w:rsid w:val="00D0545A"/>
    <w:rsid w:val="00D13DFF"/>
    <w:rsid w:val="00D1547F"/>
    <w:rsid w:val="00D5742A"/>
    <w:rsid w:val="00D92028"/>
    <w:rsid w:val="00DD72B4"/>
    <w:rsid w:val="00E13480"/>
    <w:rsid w:val="00E30DBF"/>
    <w:rsid w:val="00E63683"/>
    <w:rsid w:val="00E676A2"/>
    <w:rsid w:val="00E82F44"/>
    <w:rsid w:val="00E86528"/>
    <w:rsid w:val="00EB40C6"/>
    <w:rsid w:val="00EF5F6D"/>
    <w:rsid w:val="00F45305"/>
    <w:rsid w:val="00F642BC"/>
    <w:rsid w:val="00F77FB6"/>
    <w:rsid w:val="00F91DE1"/>
    <w:rsid w:val="00F92852"/>
    <w:rsid w:val="00FD34FC"/>
    <w:rsid w:val="00FD6EE3"/>
    <w:rsid w:val="00FD6FC1"/>
    <w:rsid w:val="00FE3B8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9A670E-A5A1-4430-8D87-9A57FCBBF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40B7"/>
    <w:pPr>
      <w:spacing w:after="0" w:line="240" w:lineRule="auto"/>
    </w:pPr>
    <w:rPr>
      <w:rFonts w:ascii="Times New Roman" w:eastAsia="Times New Roman" w:hAnsi="Times New Roman" w:cs="Times New Roman"/>
      <w:sz w:val="24"/>
      <w:szCs w:val="24"/>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unhideWhenUsed/>
    <w:rsid w:val="004D40B7"/>
    <w:pPr>
      <w:spacing w:after="120" w:line="480" w:lineRule="auto"/>
    </w:pPr>
  </w:style>
  <w:style w:type="character" w:customStyle="1" w:styleId="Textoindependiente2Car">
    <w:name w:val="Texto independiente 2 Car"/>
    <w:basedOn w:val="Fuentedeprrafopredeter"/>
    <w:link w:val="Textoindependiente2"/>
    <w:uiPriority w:val="99"/>
    <w:rsid w:val="004D40B7"/>
    <w:rPr>
      <w:rFonts w:ascii="Times New Roman" w:eastAsia="Times New Roman" w:hAnsi="Times New Roman" w:cs="Times New Roman"/>
      <w:sz w:val="24"/>
      <w:szCs w:val="24"/>
      <w:lang w:val="es-MX" w:eastAsia="es-MX"/>
    </w:rPr>
  </w:style>
  <w:style w:type="paragraph" w:customStyle="1" w:styleId="WW-Textoindependiente2">
    <w:name w:val="WW-Texto independiente 2"/>
    <w:basedOn w:val="Normal"/>
    <w:rsid w:val="004D40B7"/>
    <w:pPr>
      <w:snapToGrid w:val="0"/>
      <w:jc w:val="both"/>
    </w:pPr>
    <w:rPr>
      <w:rFonts w:ascii="Arial" w:hAnsi="Arial"/>
    </w:rPr>
  </w:style>
  <w:style w:type="paragraph" w:customStyle="1" w:styleId="WW-Sangra3detindependiente">
    <w:name w:val="WW-Sangría 3 de t. independiente"/>
    <w:basedOn w:val="Normal"/>
    <w:rsid w:val="004D40B7"/>
    <w:pPr>
      <w:widowControl w:val="0"/>
      <w:suppressAutoHyphens/>
      <w:ind w:left="426" w:firstLine="1"/>
      <w:jc w:val="both"/>
    </w:pPr>
    <w:rPr>
      <w:szCs w:val="20"/>
      <w:lang w:val="es-ES_tradnl"/>
    </w:rPr>
  </w:style>
  <w:style w:type="character" w:customStyle="1" w:styleId="PrrafodelistaCar">
    <w:name w:val="Párrafo de lista Car"/>
    <w:aliases w:val="Titulo de Fígura Car,TITULO A Car,Párrafo de lista1 Car,Titulo parrafo Car,Punto Car,TITULO Car,Imagen 01. Car,Párrafo de lista2 Car,Párrafo de lista4 Car,Párrafo de lista21 Car,Iz - Párrafo de lista Car,Sivsa Parrafo Car"/>
    <w:link w:val="Prrafodelista"/>
    <w:uiPriority w:val="34"/>
    <w:locked/>
    <w:rsid w:val="004D40B7"/>
    <w:rPr>
      <w:rFonts w:ascii="Times New Roman" w:eastAsia="Times New Roman" w:hAnsi="Times New Roman"/>
      <w:sz w:val="24"/>
      <w:szCs w:val="24"/>
      <w:lang w:val="es-MX" w:eastAsia="es-MX"/>
    </w:rPr>
  </w:style>
  <w:style w:type="paragraph" w:styleId="Prrafodelista">
    <w:name w:val="List Paragraph"/>
    <w:aliases w:val="Titulo de Fígura,TITULO A,Párrafo de lista1,Titulo parrafo,Punto,TITULO,Imagen 01.,Párrafo de lista2,Párrafo de lista4,Párrafo de lista21,Iz - Párrafo de lista,Sivsa Parrafo,Cuadro 2-1,Conclusiones,Párrafo de lista3"/>
    <w:basedOn w:val="Normal"/>
    <w:link w:val="PrrafodelistaCar"/>
    <w:uiPriority w:val="34"/>
    <w:qFormat/>
    <w:rsid w:val="004D40B7"/>
    <w:pPr>
      <w:ind w:left="708"/>
    </w:pPr>
    <w:rPr>
      <w:rFonts w:cstheme="minorBidi"/>
    </w:rPr>
  </w:style>
  <w:style w:type="character" w:styleId="Refdenotaalpie">
    <w:name w:val="footnote reference"/>
    <w:aliases w:val="FC,16 Point,Superscript 6 Point,referencia nota al pie,CVR Ref. de nota al pie"/>
    <w:unhideWhenUsed/>
    <w:rsid w:val="004D40B7"/>
    <w:rPr>
      <w:vertAlign w:val="superscript"/>
    </w:rPr>
  </w:style>
  <w:style w:type="paragraph" w:styleId="Encabezado">
    <w:name w:val="header"/>
    <w:aliases w:val="maria"/>
    <w:basedOn w:val="Normal"/>
    <w:link w:val="EncabezadoCar"/>
    <w:uiPriority w:val="99"/>
    <w:unhideWhenUsed/>
    <w:rsid w:val="004D40B7"/>
    <w:pPr>
      <w:tabs>
        <w:tab w:val="center" w:pos="4252"/>
        <w:tab w:val="right" w:pos="8504"/>
      </w:tabs>
    </w:pPr>
  </w:style>
  <w:style w:type="character" w:customStyle="1" w:styleId="EncabezadoCar">
    <w:name w:val="Encabezado Car"/>
    <w:aliases w:val="maria Car"/>
    <w:basedOn w:val="Fuentedeprrafopredeter"/>
    <w:link w:val="Encabezado"/>
    <w:uiPriority w:val="99"/>
    <w:rsid w:val="004D40B7"/>
    <w:rPr>
      <w:rFonts w:ascii="Times New Roman" w:eastAsia="Times New Roman" w:hAnsi="Times New Roman" w:cs="Times New Roman"/>
      <w:sz w:val="24"/>
      <w:szCs w:val="24"/>
      <w:lang w:val="es-MX" w:eastAsia="es-MX"/>
    </w:rPr>
  </w:style>
  <w:style w:type="paragraph" w:styleId="Textonotapie">
    <w:name w:val="footnote text"/>
    <w:aliases w:val=" Car2, Car2 Car Car Car Car Car, Car1 Car, Car2 Car Car,Car,Car2 Car Car Car Car Car,Car2 Car,Car2,Car1 Car Car Car Car, Car1 Car Car Car Car Car Car,Car1 Car,Car1,Car1 Car Car Car Car Car Car, Car1 Car Car Car Car Car, Car1 Car Car Car C"/>
    <w:basedOn w:val="Normal"/>
    <w:link w:val="TextonotapieCar"/>
    <w:rsid w:val="004D40B7"/>
    <w:rPr>
      <w:rFonts w:ascii="Bookman Old Style" w:hAnsi="Bookman Old Style"/>
      <w:i/>
      <w:sz w:val="20"/>
      <w:szCs w:val="20"/>
      <w:lang w:val="es-PE"/>
    </w:rPr>
  </w:style>
  <w:style w:type="character" w:customStyle="1" w:styleId="TextonotapieCar">
    <w:name w:val="Texto nota pie Car"/>
    <w:aliases w:val=" Car2 Car, Car2 Car Car Car Car Car Car, Car1 Car Car, Car2 Car Car Car,Car Car,Car2 Car Car Car Car Car Car,Car2 Car Car,Car2 Car1,Car1 Car Car Car Car Car, Car1 Car Car Car Car Car Car Car,Car1 Car Car,Car1 Car1"/>
    <w:basedOn w:val="Fuentedeprrafopredeter"/>
    <w:link w:val="Textonotapie"/>
    <w:rsid w:val="004D40B7"/>
    <w:rPr>
      <w:rFonts w:ascii="Bookman Old Style" w:eastAsia="Times New Roman" w:hAnsi="Bookman Old Style" w:cs="Times New Roman"/>
      <w:i/>
      <w:sz w:val="20"/>
      <w:szCs w:val="20"/>
      <w:lang w:eastAsia="es-MX"/>
    </w:rPr>
  </w:style>
  <w:style w:type="paragraph" w:customStyle="1" w:styleId="Normaltimes">
    <w:name w:val="Normal+times"/>
    <w:basedOn w:val="Normal"/>
    <w:link w:val="NormaltimesCar"/>
    <w:rsid w:val="004D40B7"/>
    <w:rPr>
      <w:szCs w:val="20"/>
    </w:rPr>
  </w:style>
  <w:style w:type="character" w:customStyle="1" w:styleId="NormaltimesCar">
    <w:name w:val="Normal+times Car"/>
    <w:link w:val="Normaltimes"/>
    <w:rsid w:val="004D40B7"/>
    <w:rPr>
      <w:rFonts w:ascii="Times New Roman" w:eastAsia="Times New Roman" w:hAnsi="Times New Roman" w:cs="Times New Roman"/>
      <w:sz w:val="24"/>
      <w:szCs w:val="20"/>
      <w:lang w:val="es-MX" w:eastAsia="es-MX"/>
    </w:rPr>
  </w:style>
  <w:style w:type="paragraph" w:styleId="Sinespaciado">
    <w:name w:val="No Spacing"/>
    <w:link w:val="SinespaciadoCar"/>
    <w:uiPriority w:val="1"/>
    <w:qFormat/>
    <w:rsid w:val="004D40B7"/>
    <w:pPr>
      <w:spacing w:after="0" w:line="240" w:lineRule="auto"/>
    </w:pPr>
    <w:rPr>
      <w:rFonts w:ascii="Calibri" w:eastAsia="Calibri" w:hAnsi="Calibri" w:cs="Times New Roman"/>
    </w:rPr>
  </w:style>
  <w:style w:type="character" w:customStyle="1" w:styleId="SinespaciadoCar">
    <w:name w:val="Sin espaciado Car"/>
    <w:link w:val="Sinespaciado"/>
    <w:uiPriority w:val="1"/>
    <w:rsid w:val="004D40B7"/>
    <w:rPr>
      <w:rFonts w:ascii="Calibri" w:eastAsia="Calibri" w:hAnsi="Calibri" w:cs="Times New Roman"/>
    </w:rPr>
  </w:style>
  <w:style w:type="character" w:styleId="Hipervnculo">
    <w:name w:val="Hyperlink"/>
    <w:basedOn w:val="Fuentedeprrafopredeter"/>
    <w:uiPriority w:val="99"/>
    <w:unhideWhenUsed/>
    <w:rsid w:val="004D40B7"/>
    <w:rPr>
      <w:color w:val="0000FF"/>
      <w:u w:val="single"/>
    </w:rPr>
  </w:style>
  <w:style w:type="character" w:customStyle="1" w:styleId="hps">
    <w:name w:val="hps"/>
    <w:basedOn w:val="Fuentedeprrafopredeter"/>
    <w:rsid w:val="004D40B7"/>
  </w:style>
  <w:style w:type="paragraph" w:styleId="Sangra3detindependiente">
    <w:name w:val="Body Text Indent 3"/>
    <w:basedOn w:val="Normal"/>
    <w:link w:val="Sangra3detindependienteCar"/>
    <w:uiPriority w:val="99"/>
    <w:unhideWhenUsed/>
    <w:rsid w:val="004D40B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4D40B7"/>
    <w:rPr>
      <w:rFonts w:ascii="Times New Roman" w:eastAsia="Times New Roman" w:hAnsi="Times New Roman" w:cs="Times New Roman"/>
      <w:sz w:val="16"/>
      <w:szCs w:val="16"/>
      <w:lang w:val="es-MX" w:eastAsia="es-MX"/>
    </w:rPr>
  </w:style>
  <w:style w:type="paragraph" w:customStyle="1" w:styleId="Default">
    <w:name w:val="Default"/>
    <w:rsid w:val="004D40B7"/>
    <w:pPr>
      <w:autoSpaceDE w:val="0"/>
      <w:autoSpaceDN w:val="0"/>
      <w:adjustRightInd w:val="0"/>
      <w:spacing w:after="0" w:line="240" w:lineRule="auto"/>
    </w:pPr>
    <w:rPr>
      <w:rFonts w:ascii="Arial" w:eastAsia="Calibri" w:hAnsi="Arial" w:cs="Arial"/>
      <w:color w:val="000000"/>
      <w:sz w:val="24"/>
      <w:szCs w:val="24"/>
      <w:lang w:eastAsia="es-PE"/>
    </w:rPr>
  </w:style>
  <w:style w:type="paragraph" w:styleId="Textodeglobo">
    <w:name w:val="Balloon Text"/>
    <w:basedOn w:val="Normal"/>
    <w:link w:val="TextodegloboCar"/>
    <w:uiPriority w:val="99"/>
    <w:semiHidden/>
    <w:unhideWhenUsed/>
    <w:rsid w:val="004D40B7"/>
    <w:rPr>
      <w:rFonts w:ascii="Tahoma" w:hAnsi="Tahoma" w:cs="Tahoma"/>
      <w:sz w:val="16"/>
      <w:szCs w:val="16"/>
    </w:rPr>
  </w:style>
  <w:style w:type="character" w:customStyle="1" w:styleId="TextodegloboCar">
    <w:name w:val="Texto de globo Car"/>
    <w:basedOn w:val="Fuentedeprrafopredeter"/>
    <w:link w:val="Textodeglobo"/>
    <w:uiPriority w:val="99"/>
    <w:semiHidden/>
    <w:rsid w:val="004D40B7"/>
    <w:rPr>
      <w:rFonts w:ascii="Tahoma" w:eastAsia="Times New Roman" w:hAnsi="Tahoma" w:cs="Tahoma"/>
      <w:sz w:val="16"/>
      <w:szCs w:val="16"/>
      <w:lang w:val="es-MX" w:eastAsia="es-MX"/>
    </w:rPr>
  </w:style>
  <w:style w:type="paragraph" w:styleId="NormalWeb">
    <w:name w:val="Normal (Web)"/>
    <w:basedOn w:val="Normal"/>
    <w:unhideWhenUsed/>
    <w:rsid w:val="00C315C4"/>
    <w:pPr>
      <w:spacing w:before="100" w:beforeAutospacing="1" w:after="119"/>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8</Pages>
  <Words>2884</Words>
  <Characters>15868</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BTAVARA</dc:creator>
  <cp:lastModifiedBy>Alberto Augusto Egoavil Cornejo</cp:lastModifiedBy>
  <cp:revision>7</cp:revision>
  <cp:lastPrinted>2015-12-28T21:38:00Z</cp:lastPrinted>
  <dcterms:created xsi:type="dcterms:W3CDTF">2015-12-24T17:11:00Z</dcterms:created>
  <dcterms:modified xsi:type="dcterms:W3CDTF">2015-12-28T22:50:00Z</dcterms:modified>
</cp:coreProperties>
</file>