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0D7" w:rsidRPr="002F3D1E" w:rsidRDefault="009920D7" w:rsidP="009920D7">
      <w:pPr>
        <w:widowControl w:val="0"/>
        <w:ind w:left="1418" w:firstLine="709"/>
        <w:rPr>
          <w:b/>
          <w:u w:val="single"/>
        </w:rPr>
      </w:pPr>
      <w:r w:rsidRPr="002F3D1E">
        <w:rPr>
          <w:b/>
          <w:u w:val="single"/>
        </w:rPr>
        <w:t>PRONUNCIAMIENTO</w:t>
      </w:r>
      <w:r w:rsidR="00F23162" w:rsidRPr="002F3D1E">
        <w:rPr>
          <w:b/>
          <w:u w:val="single"/>
        </w:rPr>
        <w:t xml:space="preserve"> Nº </w:t>
      </w:r>
      <w:r w:rsidR="005C4E2C">
        <w:rPr>
          <w:b/>
          <w:u w:val="single"/>
        </w:rPr>
        <w:t>1816</w:t>
      </w:r>
      <w:r w:rsidRPr="002F3D1E">
        <w:rPr>
          <w:b/>
          <w:u w:val="single"/>
        </w:rPr>
        <w:t>-2015/</w:t>
      </w:r>
      <w:proofErr w:type="spellStart"/>
      <w:r w:rsidRPr="002F3D1E">
        <w:rPr>
          <w:b/>
          <w:u w:val="single"/>
        </w:rPr>
        <w:t>DSU</w:t>
      </w:r>
      <w:proofErr w:type="spellEnd"/>
    </w:p>
    <w:p w:rsidR="009920D7" w:rsidRPr="002F3D1E" w:rsidRDefault="009920D7" w:rsidP="009920D7">
      <w:pPr>
        <w:widowControl w:val="0"/>
        <w:ind w:left="2835" w:hanging="2835"/>
        <w:jc w:val="both"/>
      </w:pPr>
    </w:p>
    <w:p w:rsidR="009920D7" w:rsidRPr="002F3D1E" w:rsidRDefault="009920D7" w:rsidP="007E0271">
      <w:pPr>
        <w:widowControl w:val="0"/>
        <w:ind w:left="2835" w:hanging="2835"/>
        <w:jc w:val="both"/>
      </w:pPr>
      <w:r w:rsidRPr="002F3D1E">
        <w:t>Entidad:</w:t>
      </w:r>
      <w:r w:rsidRPr="002F3D1E">
        <w:tab/>
      </w:r>
      <w:r w:rsidR="007E0271" w:rsidRPr="002F3D1E">
        <w:t>Instituto Nacional Materno Perinatal</w:t>
      </w:r>
    </w:p>
    <w:p w:rsidR="007E0271" w:rsidRPr="002F3D1E" w:rsidRDefault="007E0271" w:rsidP="007E0271">
      <w:pPr>
        <w:widowControl w:val="0"/>
        <w:ind w:left="2835" w:hanging="2835"/>
        <w:jc w:val="both"/>
        <w:rPr>
          <w:lang w:val="es-PE"/>
        </w:rPr>
      </w:pPr>
    </w:p>
    <w:p w:rsidR="009920D7" w:rsidRPr="002F3D1E" w:rsidRDefault="009920D7" w:rsidP="009920D7">
      <w:pPr>
        <w:widowControl w:val="0"/>
        <w:ind w:left="2835" w:hanging="2835"/>
        <w:jc w:val="both"/>
      </w:pPr>
      <w:r w:rsidRPr="002F3D1E">
        <w:rPr>
          <w:lang w:val="es-ES_tradnl"/>
        </w:rPr>
        <w:t>Referencia:</w:t>
      </w:r>
      <w:r w:rsidRPr="002F3D1E">
        <w:rPr>
          <w:lang w:val="es-ES_tradnl"/>
        </w:rPr>
        <w:tab/>
      </w:r>
      <w:r w:rsidR="007E0271" w:rsidRPr="002F3D1E">
        <w:rPr>
          <w:lang w:val="es-ES_tradnl"/>
        </w:rPr>
        <w:t>Adjudicación Directa Pública N° 8-2015-INMP-1</w:t>
      </w:r>
      <w:r w:rsidRPr="002F3D1E">
        <w:rPr>
          <w:lang w:val="es-ES_tradnl"/>
        </w:rPr>
        <w:t xml:space="preserve"> convocada para la "</w:t>
      </w:r>
      <w:r w:rsidR="006972E9" w:rsidRPr="002F3D1E">
        <w:rPr>
          <w:lang w:val="es-ES_tradnl"/>
        </w:rPr>
        <w:t>Adquisición de cama camilla multipropósito para emergencia</w:t>
      </w:r>
      <w:r w:rsidRPr="002F3D1E">
        <w:rPr>
          <w:lang w:val="es-ES_tradnl"/>
        </w:rPr>
        <w:t xml:space="preserve">" </w:t>
      </w:r>
    </w:p>
    <w:p w:rsidR="009920D7" w:rsidRPr="002F3D1E" w:rsidRDefault="009920D7" w:rsidP="009920D7">
      <w:pPr>
        <w:widowControl w:val="0"/>
        <w:pBdr>
          <w:bottom w:val="single" w:sz="6" w:space="1" w:color="auto"/>
        </w:pBdr>
        <w:jc w:val="both"/>
        <w:rPr>
          <w:lang w:val="es-ES_tradnl"/>
        </w:rPr>
      </w:pPr>
    </w:p>
    <w:p w:rsidR="009920D7" w:rsidRPr="002F3D1E" w:rsidRDefault="009920D7" w:rsidP="009920D7">
      <w:pPr>
        <w:widowControl w:val="0"/>
        <w:jc w:val="both"/>
      </w:pPr>
    </w:p>
    <w:p w:rsidR="009920D7" w:rsidRPr="002F3D1E" w:rsidRDefault="009920D7" w:rsidP="009920D7">
      <w:pPr>
        <w:widowControl w:val="0"/>
        <w:numPr>
          <w:ilvl w:val="0"/>
          <w:numId w:val="1"/>
        </w:numPr>
        <w:tabs>
          <w:tab w:val="clear" w:pos="360"/>
        </w:tabs>
        <w:ind w:left="284" w:hanging="284"/>
        <w:jc w:val="both"/>
        <w:rPr>
          <w:b/>
        </w:rPr>
      </w:pPr>
      <w:r w:rsidRPr="002F3D1E">
        <w:rPr>
          <w:b/>
        </w:rPr>
        <w:t xml:space="preserve">ANTECEDENTES </w:t>
      </w:r>
    </w:p>
    <w:p w:rsidR="009920D7" w:rsidRPr="002F3D1E" w:rsidRDefault="009920D7" w:rsidP="009920D7">
      <w:pPr>
        <w:pStyle w:val="WW-Textoindependiente2"/>
        <w:tabs>
          <w:tab w:val="left" w:pos="0"/>
        </w:tabs>
        <w:suppressAutoHyphens w:val="0"/>
        <w:rPr>
          <w:rFonts w:ascii="Times New Roman" w:hAnsi="Times New Roman"/>
          <w:szCs w:val="24"/>
          <w:lang w:val="es-ES" w:eastAsia="es-ES"/>
        </w:rPr>
      </w:pPr>
    </w:p>
    <w:p w:rsidR="009920D7" w:rsidRPr="002F3D1E" w:rsidRDefault="009920D7" w:rsidP="009920D7">
      <w:pPr>
        <w:pStyle w:val="WW-Textoindependiente2"/>
        <w:tabs>
          <w:tab w:val="left" w:pos="426"/>
        </w:tabs>
        <w:rPr>
          <w:rFonts w:ascii="Times New Roman" w:hAnsi="Times New Roman"/>
          <w:szCs w:val="24"/>
          <w:lang w:eastAsia="es-ES"/>
        </w:rPr>
      </w:pPr>
      <w:r w:rsidRPr="002F3D1E">
        <w:rPr>
          <w:rFonts w:ascii="Times New Roman" w:hAnsi="Times New Roman"/>
          <w:szCs w:val="24"/>
          <w:lang w:val="es-PE" w:eastAsia="es-ES"/>
        </w:rPr>
        <w:t>Mediante Oficio N° 00</w:t>
      </w:r>
      <w:r w:rsidR="006972E9" w:rsidRPr="002F3D1E">
        <w:rPr>
          <w:rFonts w:ascii="Times New Roman" w:hAnsi="Times New Roman"/>
          <w:szCs w:val="24"/>
          <w:lang w:val="es-PE" w:eastAsia="es-ES"/>
        </w:rPr>
        <w:t>2</w:t>
      </w:r>
      <w:r w:rsidRPr="002F3D1E">
        <w:rPr>
          <w:rFonts w:ascii="Times New Roman" w:hAnsi="Times New Roman"/>
          <w:szCs w:val="24"/>
          <w:lang w:val="es-PE" w:eastAsia="es-ES"/>
        </w:rPr>
        <w:t>-</w:t>
      </w:r>
      <w:r w:rsidR="007E0271" w:rsidRPr="002F3D1E">
        <w:rPr>
          <w:rFonts w:ascii="Times New Roman" w:hAnsi="Times New Roman"/>
          <w:szCs w:val="24"/>
          <w:lang w:val="es-PE" w:eastAsia="es-ES"/>
        </w:rPr>
        <w:t>ADP-008-</w:t>
      </w:r>
      <w:r w:rsidRPr="002F3D1E">
        <w:rPr>
          <w:rFonts w:ascii="Times New Roman" w:hAnsi="Times New Roman"/>
          <w:szCs w:val="24"/>
          <w:lang w:val="es-PE" w:eastAsia="es-ES"/>
        </w:rPr>
        <w:t>2015-</w:t>
      </w:r>
      <w:r w:rsidR="007E0271" w:rsidRPr="002F3D1E">
        <w:rPr>
          <w:rFonts w:ascii="Times New Roman" w:hAnsi="Times New Roman"/>
          <w:szCs w:val="24"/>
          <w:lang w:val="es-PE" w:eastAsia="es-ES"/>
        </w:rPr>
        <w:t xml:space="preserve">INMP-1 </w:t>
      </w:r>
      <w:r w:rsidRPr="002F3D1E">
        <w:rPr>
          <w:rFonts w:ascii="Times New Roman" w:hAnsi="Times New Roman"/>
          <w:szCs w:val="24"/>
          <w:lang w:val="es-PE" w:eastAsia="es-ES"/>
        </w:rPr>
        <w:t>recibido el</w:t>
      </w:r>
      <w:r w:rsidR="006972E9" w:rsidRPr="002F3D1E">
        <w:rPr>
          <w:rFonts w:ascii="Times New Roman" w:hAnsi="Times New Roman"/>
          <w:szCs w:val="24"/>
          <w:lang w:val="es-ES" w:eastAsia="es-ES"/>
        </w:rPr>
        <w:t xml:space="preserve"> 15</w:t>
      </w:r>
      <w:r w:rsidRPr="002F3D1E">
        <w:rPr>
          <w:rFonts w:ascii="Times New Roman" w:hAnsi="Times New Roman"/>
          <w:szCs w:val="24"/>
          <w:lang w:val="es-ES" w:eastAsia="es-ES"/>
        </w:rPr>
        <w:t>.</w:t>
      </w:r>
      <w:r w:rsidR="006972E9" w:rsidRPr="002F3D1E">
        <w:rPr>
          <w:rFonts w:ascii="Times New Roman" w:hAnsi="Times New Roman"/>
          <w:szCs w:val="24"/>
          <w:lang w:val="es-ES" w:eastAsia="es-ES"/>
        </w:rPr>
        <w:t>DIC</w:t>
      </w:r>
      <w:r w:rsidRPr="002F3D1E">
        <w:rPr>
          <w:rFonts w:ascii="Times New Roman" w:hAnsi="Times New Roman"/>
          <w:szCs w:val="24"/>
          <w:lang w:val="es-ES" w:eastAsia="es-ES"/>
        </w:rPr>
        <w:t>.2015, el presidente del Comité Especial remitió al Organismo Supervisor de las Contrataciones del Estado (OSCE) la</w:t>
      </w:r>
      <w:r w:rsidR="006972E9" w:rsidRPr="002F3D1E">
        <w:rPr>
          <w:rFonts w:ascii="Times New Roman" w:hAnsi="Times New Roman"/>
          <w:szCs w:val="24"/>
          <w:lang w:val="es-ES" w:eastAsia="es-ES"/>
        </w:rPr>
        <w:t>s</w:t>
      </w:r>
      <w:r w:rsidR="007E0271" w:rsidRPr="002F3D1E">
        <w:rPr>
          <w:rFonts w:ascii="Times New Roman" w:hAnsi="Times New Roman"/>
          <w:szCs w:val="24"/>
          <w:lang w:val="es-ES" w:eastAsia="es-ES"/>
        </w:rPr>
        <w:t xml:space="preserve"> </w:t>
      </w:r>
      <w:r w:rsidR="006972E9" w:rsidRPr="002F3D1E">
        <w:rPr>
          <w:rFonts w:ascii="Times New Roman" w:hAnsi="Times New Roman"/>
          <w:szCs w:val="24"/>
          <w:lang w:val="es-ES" w:eastAsia="es-ES"/>
        </w:rPr>
        <w:t xml:space="preserve">seis </w:t>
      </w:r>
      <w:r w:rsidRPr="002F3D1E">
        <w:rPr>
          <w:rFonts w:ascii="Times New Roman" w:hAnsi="Times New Roman"/>
          <w:szCs w:val="24"/>
          <w:lang w:val="es-ES" w:eastAsia="es-ES"/>
        </w:rPr>
        <w:t>(</w:t>
      </w:r>
      <w:r w:rsidR="006972E9" w:rsidRPr="002F3D1E">
        <w:rPr>
          <w:rFonts w:ascii="Times New Roman" w:hAnsi="Times New Roman"/>
          <w:szCs w:val="24"/>
          <w:lang w:val="es-ES" w:eastAsia="es-ES"/>
        </w:rPr>
        <w:t>6</w:t>
      </w:r>
      <w:r w:rsidRPr="002F3D1E">
        <w:rPr>
          <w:rFonts w:ascii="Times New Roman" w:hAnsi="Times New Roman"/>
          <w:szCs w:val="24"/>
          <w:lang w:val="es-ES" w:eastAsia="es-ES"/>
        </w:rPr>
        <w:t xml:space="preserve">) </w:t>
      </w:r>
      <w:r w:rsidR="006972E9" w:rsidRPr="002F3D1E">
        <w:rPr>
          <w:rFonts w:ascii="Times New Roman" w:hAnsi="Times New Roman"/>
          <w:szCs w:val="24"/>
          <w:lang w:val="es-ES" w:eastAsia="es-ES"/>
        </w:rPr>
        <w:t xml:space="preserve">observaciones formuladas </w:t>
      </w:r>
      <w:r w:rsidRPr="002F3D1E">
        <w:rPr>
          <w:rFonts w:ascii="Times New Roman" w:hAnsi="Times New Roman"/>
          <w:szCs w:val="24"/>
          <w:lang w:val="es-ES" w:eastAsia="es-ES"/>
        </w:rPr>
        <w:t xml:space="preserve">por el participante </w:t>
      </w:r>
      <w:proofErr w:type="spellStart"/>
      <w:r w:rsidR="007E0271" w:rsidRPr="002F3D1E">
        <w:rPr>
          <w:rFonts w:ascii="Times New Roman" w:hAnsi="Times New Roman"/>
          <w:b/>
          <w:szCs w:val="24"/>
          <w:lang w:val="es-ES" w:eastAsia="es-ES"/>
        </w:rPr>
        <w:t>MEDIC</w:t>
      </w:r>
      <w:proofErr w:type="spellEnd"/>
      <w:r w:rsidR="007E0271" w:rsidRPr="002F3D1E">
        <w:rPr>
          <w:rFonts w:ascii="Times New Roman" w:hAnsi="Times New Roman"/>
          <w:b/>
          <w:szCs w:val="24"/>
          <w:lang w:val="es-ES" w:eastAsia="es-ES"/>
        </w:rPr>
        <w:t xml:space="preserve"> </w:t>
      </w:r>
      <w:proofErr w:type="spellStart"/>
      <w:r w:rsidR="007E0271" w:rsidRPr="002F3D1E">
        <w:rPr>
          <w:rFonts w:ascii="Times New Roman" w:hAnsi="Times New Roman"/>
          <w:b/>
          <w:szCs w:val="24"/>
          <w:lang w:val="es-ES" w:eastAsia="es-ES"/>
        </w:rPr>
        <w:t>IMPORT</w:t>
      </w:r>
      <w:proofErr w:type="spellEnd"/>
      <w:r w:rsidR="007E0271" w:rsidRPr="002F3D1E">
        <w:rPr>
          <w:rFonts w:ascii="Times New Roman" w:hAnsi="Times New Roman"/>
          <w:b/>
          <w:szCs w:val="24"/>
          <w:lang w:val="es-ES" w:eastAsia="es-ES"/>
        </w:rPr>
        <w:t xml:space="preserve"> </w:t>
      </w:r>
      <w:proofErr w:type="spellStart"/>
      <w:r w:rsidR="007E0271" w:rsidRPr="002F3D1E">
        <w:rPr>
          <w:rFonts w:ascii="Times New Roman" w:hAnsi="Times New Roman"/>
          <w:b/>
          <w:szCs w:val="24"/>
          <w:lang w:val="es-ES" w:eastAsia="es-ES"/>
        </w:rPr>
        <w:t>SRL</w:t>
      </w:r>
      <w:proofErr w:type="spellEnd"/>
      <w:r w:rsidRPr="002F3D1E">
        <w:rPr>
          <w:rFonts w:ascii="Times New Roman" w:hAnsi="Times New Roman"/>
          <w:szCs w:val="24"/>
          <w:lang w:val="es-ES" w:eastAsia="es-ES"/>
        </w:rPr>
        <w:t xml:space="preserve">, así como el </w:t>
      </w:r>
      <w:r w:rsidR="00386BA0" w:rsidRPr="002F3D1E">
        <w:rPr>
          <w:rFonts w:ascii="Times New Roman" w:hAnsi="Times New Roman"/>
          <w:szCs w:val="24"/>
          <w:lang w:val="es-ES" w:eastAsia="es-ES"/>
        </w:rPr>
        <w:t>informe t</w:t>
      </w:r>
      <w:r w:rsidRPr="002F3D1E">
        <w:rPr>
          <w:rFonts w:ascii="Times New Roman" w:hAnsi="Times New Roman"/>
          <w:szCs w:val="24"/>
          <w:lang w:val="es-ES" w:eastAsia="es-ES"/>
        </w:rPr>
        <w:t xml:space="preserve">écnico </w:t>
      </w:r>
      <w:r w:rsidR="00386BA0" w:rsidRPr="002F3D1E">
        <w:rPr>
          <w:rFonts w:ascii="Times New Roman" w:hAnsi="Times New Roman"/>
          <w:szCs w:val="24"/>
          <w:lang w:val="es-ES" w:eastAsia="es-ES"/>
        </w:rPr>
        <w:t>y su respectivo sustento</w:t>
      </w:r>
      <w:r w:rsidRPr="002F3D1E">
        <w:rPr>
          <w:rFonts w:ascii="Times New Roman" w:hAnsi="Times New Roman"/>
          <w:szCs w:val="24"/>
          <w:lang w:val="es-ES" w:eastAsia="es-ES"/>
        </w:rPr>
        <w:t>,</w:t>
      </w:r>
      <w:r w:rsidRPr="002F3D1E">
        <w:rPr>
          <w:rFonts w:ascii="Times New Roman" w:hAnsi="Times New Roman"/>
          <w:szCs w:val="24"/>
          <w:lang w:val="es-PE" w:eastAsia="es-ES"/>
        </w:rPr>
        <w:t xml:space="preserve"> </w:t>
      </w:r>
      <w:r w:rsidRPr="002F3D1E">
        <w:rPr>
          <w:rFonts w:ascii="Times New Roman" w:hAnsi="Times New Roman"/>
          <w:szCs w:val="24"/>
          <w:lang w:eastAsia="es-ES"/>
        </w:rPr>
        <w:t>en cumplimiento de lo dispuesto por el artículo 28 del Decreto Legislativo Nº 1017, que aprueba la Ley de Contrataciones del Estado, en adelante la Ley, y el artículo 58 de su Reglamento, aprobado por Decreto Supremo Nº 184-2008-EF, en adelante el Reglamento.</w:t>
      </w:r>
    </w:p>
    <w:p w:rsidR="009920D7" w:rsidRPr="002F3D1E" w:rsidRDefault="009920D7" w:rsidP="009920D7">
      <w:pPr>
        <w:pStyle w:val="WW-Textoindependiente2"/>
        <w:tabs>
          <w:tab w:val="left" w:pos="426"/>
        </w:tabs>
        <w:rPr>
          <w:rFonts w:ascii="Times New Roman" w:hAnsi="Times New Roman"/>
          <w:szCs w:val="24"/>
          <w:lang w:eastAsia="es-ES"/>
        </w:rPr>
      </w:pPr>
    </w:p>
    <w:p w:rsidR="009920D7" w:rsidRPr="002F3D1E" w:rsidRDefault="009920D7" w:rsidP="009920D7">
      <w:pPr>
        <w:pStyle w:val="WW-Textoindependiente2"/>
        <w:tabs>
          <w:tab w:val="left" w:pos="426"/>
        </w:tabs>
        <w:rPr>
          <w:rFonts w:ascii="Times New Roman" w:hAnsi="Times New Roman"/>
          <w:szCs w:val="24"/>
          <w:lang w:eastAsia="es-ES"/>
        </w:rPr>
      </w:pPr>
      <w:r w:rsidRPr="002F3D1E">
        <w:rPr>
          <w:rFonts w:ascii="Times New Roman" w:hAnsi="Times New Roman"/>
          <w:szCs w:val="24"/>
          <w:lang w:eastAsia="es-ES"/>
        </w:rPr>
        <w:t>Al respecto, 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386BA0" w:rsidRPr="002F3D1E" w:rsidRDefault="00386BA0" w:rsidP="00386BA0">
      <w:pPr>
        <w:pStyle w:val="WW-Sangra3detindependiente"/>
        <w:widowControl/>
        <w:suppressAutoHyphens w:val="0"/>
        <w:ind w:left="2"/>
        <w:rPr>
          <w:rFonts w:eastAsia="MS Mincho"/>
          <w:szCs w:val="24"/>
          <w:lang w:val="es-ES" w:eastAsia="es-ES"/>
        </w:rPr>
      </w:pPr>
    </w:p>
    <w:p w:rsidR="00AF27EF" w:rsidRPr="002F3D1E" w:rsidRDefault="00AF27EF" w:rsidP="00386BA0">
      <w:pPr>
        <w:pStyle w:val="WW-Sangra3detindependiente"/>
        <w:widowControl/>
        <w:suppressAutoHyphens w:val="0"/>
        <w:ind w:left="2"/>
        <w:rPr>
          <w:szCs w:val="24"/>
          <w:lang w:val="es-ES" w:eastAsia="es-ES"/>
        </w:rPr>
      </w:pPr>
      <w:r w:rsidRPr="002F3D1E">
        <w:rPr>
          <w:szCs w:val="24"/>
          <w:lang w:val="es-ES" w:eastAsia="es-ES"/>
        </w:rPr>
        <w:t xml:space="preserve">Al respecto, de la revisión del pliego absolutorio de consultas y observaciones, se advierte que la denominada Consulta N° </w:t>
      </w:r>
      <w:r w:rsidR="003D67C4" w:rsidRPr="002F3D1E">
        <w:rPr>
          <w:szCs w:val="24"/>
          <w:lang w:val="es-ES" w:eastAsia="es-ES"/>
        </w:rPr>
        <w:t>2</w:t>
      </w:r>
      <w:r w:rsidRPr="002F3D1E">
        <w:rPr>
          <w:szCs w:val="24"/>
          <w:lang w:val="es-ES" w:eastAsia="es-ES"/>
        </w:rPr>
        <w:t xml:space="preserve"> formulada por el participante </w:t>
      </w:r>
      <w:proofErr w:type="spellStart"/>
      <w:r w:rsidRPr="002F3D1E">
        <w:rPr>
          <w:b/>
          <w:szCs w:val="24"/>
          <w:lang w:val="es-ES" w:eastAsia="es-ES"/>
        </w:rPr>
        <w:t>MEDIC</w:t>
      </w:r>
      <w:proofErr w:type="spellEnd"/>
      <w:r w:rsidRPr="002F3D1E">
        <w:rPr>
          <w:b/>
          <w:szCs w:val="24"/>
          <w:lang w:val="es-ES" w:eastAsia="es-ES"/>
        </w:rPr>
        <w:t xml:space="preserve"> </w:t>
      </w:r>
      <w:proofErr w:type="spellStart"/>
      <w:r w:rsidRPr="002F3D1E">
        <w:rPr>
          <w:b/>
          <w:szCs w:val="24"/>
          <w:lang w:val="es-ES" w:eastAsia="es-ES"/>
        </w:rPr>
        <w:t>IMPORT</w:t>
      </w:r>
      <w:proofErr w:type="spellEnd"/>
      <w:r w:rsidRPr="002F3D1E">
        <w:rPr>
          <w:b/>
          <w:szCs w:val="24"/>
          <w:lang w:val="es-ES" w:eastAsia="es-ES"/>
        </w:rPr>
        <w:t xml:space="preserve"> </w:t>
      </w:r>
      <w:proofErr w:type="spellStart"/>
      <w:r w:rsidRPr="002F3D1E">
        <w:rPr>
          <w:b/>
          <w:szCs w:val="24"/>
          <w:lang w:val="es-ES" w:eastAsia="es-ES"/>
        </w:rPr>
        <w:t>SRL</w:t>
      </w:r>
      <w:proofErr w:type="spellEnd"/>
      <w:r w:rsidRPr="002F3D1E">
        <w:rPr>
          <w:szCs w:val="24"/>
          <w:lang w:val="es-ES" w:eastAsia="es-ES"/>
        </w:rPr>
        <w:t xml:space="preserve">, constituye en estricto una observación que no fue acogida, por lo que este Organismo Supervisor se pronunciará sobre aquella, denominándola Observación </w:t>
      </w:r>
      <w:r w:rsidR="003D67C4" w:rsidRPr="002F3D1E">
        <w:rPr>
          <w:szCs w:val="24"/>
          <w:lang w:val="es-ES" w:eastAsia="es-ES"/>
        </w:rPr>
        <w:br/>
      </w:r>
      <w:r w:rsidRPr="002F3D1E">
        <w:rPr>
          <w:szCs w:val="24"/>
          <w:lang w:val="es-ES" w:eastAsia="es-ES"/>
        </w:rPr>
        <w:t>N°</w:t>
      </w:r>
      <w:r w:rsidR="003D67C4" w:rsidRPr="002F3D1E">
        <w:rPr>
          <w:szCs w:val="24"/>
          <w:lang w:val="es-ES" w:eastAsia="es-ES"/>
        </w:rPr>
        <w:t xml:space="preserve"> 7.</w:t>
      </w:r>
    </w:p>
    <w:p w:rsidR="007B0F55" w:rsidRPr="002F3D1E" w:rsidRDefault="007B0F55" w:rsidP="009920D7">
      <w:pPr>
        <w:pStyle w:val="WW-Sangra3detindependiente"/>
        <w:widowControl/>
        <w:suppressAutoHyphens w:val="0"/>
        <w:ind w:left="2"/>
        <w:rPr>
          <w:szCs w:val="24"/>
          <w:lang w:val="es-ES" w:eastAsia="es-ES"/>
        </w:rPr>
      </w:pPr>
      <w:r w:rsidRPr="002F3D1E">
        <w:rPr>
          <w:szCs w:val="24"/>
          <w:lang w:val="es-ES" w:eastAsia="es-ES"/>
        </w:rPr>
        <w:t xml:space="preserve"> </w:t>
      </w:r>
    </w:p>
    <w:p w:rsidR="003D67C4" w:rsidRPr="002F3D1E" w:rsidRDefault="003D67C4" w:rsidP="009920D7">
      <w:pPr>
        <w:pStyle w:val="WW-Sangra3detindependiente"/>
        <w:widowControl/>
        <w:suppressAutoHyphens w:val="0"/>
        <w:ind w:left="2"/>
        <w:rPr>
          <w:szCs w:val="24"/>
          <w:lang w:eastAsia="es-ES"/>
        </w:rPr>
      </w:pPr>
      <w:r w:rsidRPr="002F3D1E">
        <w:rPr>
          <w:szCs w:val="24"/>
          <w:lang w:eastAsia="es-ES"/>
        </w:rPr>
        <w:t>Asimismo, corresponde señalar que este Organismo Supervisor no se pronunciará respecto de las Observaciones N° 1, N° 3 y N° 4,  toda vez que del pliego absolutorio se aprecia que las mismas fueron acogidas por el Comité Especial.</w:t>
      </w:r>
    </w:p>
    <w:p w:rsidR="003D67C4" w:rsidRPr="002F3D1E" w:rsidRDefault="003D67C4" w:rsidP="009920D7">
      <w:pPr>
        <w:pStyle w:val="WW-Sangra3detindependiente"/>
        <w:widowControl/>
        <w:suppressAutoHyphens w:val="0"/>
        <w:ind w:left="2"/>
        <w:rPr>
          <w:szCs w:val="24"/>
          <w:lang w:eastAsia="es-ES"/>
        </w:rPr>
      </w:pPr>
    </w:p>
    <w:p w:rsidR="00301821" w:rsidRPr="002F3D1E" w:rsidRDefault="00301821" w:rsidP="00301821">
      <w:pPr>
        <w:pStyle w:val="WW-Sangra3detindependiente"/>
        <w:widowControl/>
        <w:tabs>
          <w:tab w:val="left" w:pos="4536"/>
        </w:tabs>
        <w:suppressAutoHyphens w:val="0"/>
        <w:ind w:left="2"/>
        <w:rPr>
          <w:szCs w:val="24"/>
        </w:rPr>
      </w:pPr>
      <w:r w:rsidRPr="002F3D1E">
        <w:rPr>
          <w:szCs w:val="24"/>
        </w:rPr>
        <w:t xml:space="preserve">Adicionalmente, </w:t>
      </w:r>
      <w:r w:rsidRPr="002F3D1E">
        <w:rPr>
          <w:szCs w:val="24"/>
          <w:lang w:val="es-PE"/>
        </w:rPr>
        <w:t>cabe señalar que este Organismo Supervisor no se pronunciará acerca de la Observación N° 5, toda vez que la misma constituye una solicitud de modificación respecto de determinado extremo de las Bases</w:t>
      </w:r>
      <w:r w:rsidR="009E26BF">
        <w:rPr>
          <w:szCs w:val="24"/>
          <w:lang w:val="es-PE"/>
        </w:rPr>
        <w:t xml:space="preserve"> que no evidencia la vulneración de la normativa de contrataciones públicas</w:t>
      </w:r>
      <w:r w:rsidRPr="002F3D1E">
        <w:rPr>
          <w:szCs w:val="24"/>
          <w:lang w:val="es-PE"/>
        </w:rPr>
        <w:t>, es decir, se trata de una consulta, supuesto no previsto en el artículo 58° del Reglamento.</w:t>
      </w:r>
    </w:p>
    <w:p w:rsidR="00301821" w:rsidRPr="002F3D1E" w:rsidRDefault="00301821" w:rsidP="009920D7">
      <w:pPr>
        <w:pStyle w:val="WW-Sangra3detindependiente"/>
        <w:widowControl/>
        <w:suppressAutoHyphens w:val="0"/>
        <w:ind w:left="2"/>
        <w:rPr>
          <w:szCs w:val="24"/>
          <w:lang w:eastAsia="es-ES"/>
        </w:rPr>
      </w:pPr>
    </w:p>
    <w:p w:rsidR="009920D7" w:rsidRPr="002F3D1E" w:rsidRDefault="009E26BF" w:rsidP="009920D7">
      <w:pPr>
        <w:pStyle w:val="WW-Textoindependiente2"/>
        <w:tabs>
          <w:tab w:val="left" w:pos="426"/>
        </w:tabs>
        <w:ind w:right="-2"/>
        <w:rPr>
          <w:rFonts w:ascii="Times New Roman" w:hAnsi="Times New Roman"/>
          <w:szCs w:val="24"/>
          <w:lang w:val="es-ES" w:eastAsia="es-ES"/>
        </w:rPr>
      </w:pPr>
      <w:r>
        <w:rPr>
          <w:rFonts w:ascii="Times New Roman" w:hAnsi="Times New Roman"/>
          <w:szCs w:val="24"/>
          <w:lang w:val="es-ES" w:eastAsia="es-ES"/>
        </w:rPr>
        <w:t>Sin perjuicio de</w:t>
      </w:r>
      <w:r w:rsidR="009920D7" w:rsidRPr="002F3D1E">
        <w:rPr>
          <w:rFonts w:ascii="Times New Roman" w:hAnsi="Times New Roman"/>
          <w:szCs w:val="24"/>
          <w:lang w:val="es-ES" w:eastAsia="es-ES"/>
        </w:rPr>
        <w:t xml:space="preserve"> las observaciones de oficio que se formulen </w:t>
      </w:r>
      <w:r>
        <w:rPr>
          <w:rFonts w:ascii="Times New Roman" w:hAnsi="Times New Roman"/>
          <w:szCs w:val="24"/>
          <w:lang w:val="es-ES" w:eastAsia="es-ES"/>
        </w:rPr>
        <w:t>sobre</w:t>
      </w:r>
      <w:r w:rsidR="009920D7" w:rsidRPr="002F3D1E">
        <w:rPr>
          <w:rFonts w:ascii="Times New Roman" w:hAnsi="Times New Roman"/>
          <w:szCs w:val="24"/>
          <w:lang w:val="es-ES" w:eastAsia="es-ES"/>
        </w:rPr>
        <w:t xml:space="preserve"> aspectos relevantes de las Bases, de conformidad con el inciso a) del artículo 58 de la Ley.</w:t>
      </w:r>
    </w:p>
    <w:p w:rsidR="009920D7" w:rsidRPr="002F3D1E" w:rsidRDefault="009920D7" w:rsidP="009920D7">
      <w:pPr>
        <w:pStyle w:val="WW-Sangra3detindependiente"/>
        <w:widowControl/>
        <w:suppressAutoHyphens w:val="0"/>
        <w:ind w:left="2"/>
        <w:rPr>
          <w:szCs w:val="24"/>
          <w:lang w:val="es-ES" w:eastAsia="es-ES"/>
        </w:rPr>
      </w:pPr>
    </w:p>
    <w:p w:rsidR="009920D7" w:rsidRPr="002F3D1E" w:rsidRDefault="00E70818" w:rsidP="009920D7">
      <w:pPr>
        <w:widowControl w:val="0"/>
        <w:numPr>
          <w:ilvl w:val="0"/>
          <w:numId w:val="1"/>
        </w:numPr>
        <w:tabs>
          <w:tab w:val="clear" w:pos="360"/>
        </w:tabs>
        <w:ind w:left="567" w:hanging="567"/>
        <w:jc w:val="both"/>
        <w:rPr>
          <w:b/>
        </w:rPr>
      </w:pPr>
      <w:r w:rsidRPr="002F3D1E">
        <w:rPr>
          <w:b/>
        </w:rPr>
        <w:t>OBSERVACIÓN</w:t>
      </w:r>
    </w:p>
    <w:p w:rsidR="009920D7" w:rsidRPr="002F3D1E" w:rsidRDefault="009920D7" w:rsidP="009920D7">
      <w:pPr>
        <w:widowControl w:val="0"/>
        <w:ind w:left="4253" w:hanging="4217"/>
        <w:jc w:val="both"/>
        <w:rPr>
          <w:b/>
        </w:rPr>
      </w:pPr>
    </w:p>
    <w:p w:rsidR="009920D7" w:rsidRPr="002F3D1E" w:rsidRDefault="00E70818" w:rsidP="009920D7">
      <w:pPr>
        <w:widowControl w:val="0"/>
        <w:ind w:left="4253" w:hanging="4217"/>
        <w:jc w:val="both"/>
        <w:rPr>
          <w:b/>
          <w:lang w:val="es-PE"/>
        </w:rPr>
      </w:pPr>
      <w:r w:rsidRPr="002F3D1E">
        <w:rPr>
          <w:b/>
          <w:lang w:val="es-PE"/>
        </w:rPr>
        <w:t xml:space="preserve">2.1. </w:t>
      </w:r>
      <w:r w:rsidR="009920D7" w:rsidRPr="002F3D1E">
        <w:rPr>
          <w:b/>
          <w:lang w:val="es-PE"/>
        </w:rPr>
        <w:t xml:space="preserve">Observante: </w:t>
      </w:r>
      <w:r w:rsidR="009920D7" w:rsidRPr="002F3D1E">
        <w:rPr>
          <w:b/>
          <w:lang w:val="es-PE"/>
        </w:rPr>
        <w:tab/>
      </w:r>
      <w:proofErr w:type="spellStart"/>
      <w:r w:rsidR="00BE22E9" w:rsidRPr="002F3D1E">
        <w:rPr>
          <w:b/>
        </w:rPr>
        <w:t>MEDIC</w:t>
      </w:r>
      <w:proofErr w:type="spellEnd"/>
      <w:r w:rsidR="00BE22E9" w:rsidRPr="002F3D1E">
        <w:rPr>
          <w:b/>
        </w:rPr>
        <w:t xml:space="preserve"> </w:t>
      </w:r>
      <w:proofErr w:type="spellStart"/>
      <w:r w:rsidR="00BE22E9" w:rsidRPr="002F3D1E">
        <w:rPr>
          <w:b/>
        </w:rPr>
        <w:t>IMPORT</w:t>
      </w:r>
      <w:proofErr w:type="spellEnd"/>
      <w:r w:rsidR="00BE22E9" w:rsidRPr="002F3D1E">
        <w:rPr>
          <w:b/>
        </w:rPr>
        <w:t xml:space="preserve"> </w:t>
      </w:r>
      <w:proofErr w:type="spellStart"/>
      <w:r w:rsidR="00BE22E9" w:rsidRPr="002F3D1E">
        <w:rPr>
          <w:b/>
        </w:rPr>
        <w:t>SRL</w:t>
      </w:r>
      <w:proofErr w:type="spellEnd"/>
    </w:p>
    <w:p w:rsidR="009920D7" w:rsidRPr="002F3D1E" w:rsidRDefault="009920D7" w:rsidP="009920D7">
      <w:pPr>
        <w:widowControl w:val="0"/>
        <w:ind w:left="3969" w:hanging="3968"/>
        <w:rPr>
          <w:lang w:val="es-PE"/>
        </w:rPr>
      </w:pPr>
    </w:p>
    <w:p w:rsidR="001E66CC" w:rsidRPr="002F3D1E" w:rsidRDefault="00D42BFB" w:rsidP="00AF27EF">
      <w:pPr>
        <w:widowControl w:val="0"/>
        <w:tabs>
          <w:tab w:val="left" w:pos="4253"/>
        </w:tabs>
        <w:ind w:left="4253" w:hanging="4253"/>
        <w:jc w:val="both"/>
        <w:rPr>
          <w:b/>
        </w:rPr>
      </w:pPr>
      <w:r w:rsidRPr="002F3D1E">
        <w:rPr>
          <w:b/>
        </w:rPr>
        <w:t xml:space="preserve">Observaciones </w:t>
      </w:r>
      <w:r w:rsidR="009920D7" w:rsidRPr="002F3D1E">
        <w:rPr>
          <w:b/>
        </w:rPr>
        <w:t xml:space="preserve">N° </w:t>
      </w:r>
      <w:r w:rsidR="003D67C4" w:rsidRPr="002F3D1E">
        <w:rPr>
          <w:b/>
        </w:rPr>
        <w:t>2</w:t>
      </w:r>
      <w:r w:rsidR="009920D7" w:rsidRPr="002F3D1E">
        <w:rPr>
          <w:b/>
        </w:rPr>
        <w:tab/>
        <w:t>Co</w:t>
      </w:r>
      <w:r w:rsidR="003D67C4" w:rsidRPr="002F3D1E">
        <w:rPr>
          <w:b/>
        </w:rPr>
        <w:t>ntra el Resumen Ejecutivo</w:t>
      </w:r>
    </w:p>
    <w:p w:rsidR="00AF27EF" w:rsidRPr="002F3D1E" w:rsidRDefault="00AF27EF" w:rsidP="00AF27EF">
      <w:pPr>
        <w:widowControl w:val="0"/>
        <w:tabs>
          <w:tab w:val="left" w:pos="4253"/>
        </w:tabs>
        <w:ind w:left="4253" w:hanging="4253"/>
        <w:jc w:val="both"/>
      </w:pPr>
    </w:p>
    <w:p w:rsidR="00B96B04" w:rsidRPr="002F3D1E" w:rsidRDefault="003D67C4" w:rsidP="00015C4F">
      <w:pPr>
        <w:widowControl w:val="0"/>
        <w:tabs>
          <w:tab w:val="left" w:pos="284"/>
        </w:tabs>
        <w:ind w:right="139"/>
        <w:jc w:val="both"/>
      </w:pPr>
      <w:r w:rsidRPr="002F3D1E">
        <w:t>El participante cuestiona la</w:t>
      </w:r>
      <w:r w:rsidR="009E26BF">
        <w:t xml:space="preserve"> validez de la</w:t>
      </w:r>
      <w:r w:rsidRPr="002F3D1E">
        <w:t xml:space="preserve"> cotización de la empresa </w:t>
      </w:r>
      <w:r w:rsidR="00791356" w:rsidRPr="002F3D1E">
        <w:t xml:space="preserve">SOLUCIONES MEDICAS Y SERVICIOS </w:t>
      </w:r>
      <w:proofErr w:type="spellStart"/>
      <w:r w:rsidR="00791356" w:rsidRPr="002F3D1E">
        <w:t>EIRL</w:t>
      </w:r>
      <w:proofErr w:type="spellEnd"/>
      <w:r w:rsidR="00791356" w:rsidRPr="002F3D1E">
        <w:t>, pues sostiene que únicamente su empresa (</w:t>
      </w:r>
      <w:proofErr w:type="spellStart"/>
      <w:r w:rsidR="00791356" w:rsidRPr="002F3D1E">
        <w:t>MEDIC</w:t>
      </w:r>
      <w:proofErr w:type="spellEnd"/>
      <w:r w:rsidR="00791356" w:rsidRPr="002F3D1E">
        <w:t xml:space="preserve"> </w:t>
      </w:r>
      <w:proofErr w:type="spellStart"/>
      <w:r w:rsidR="00791356" w:rsidRPr="002F3D1E">
        <w:t>IMPORT</w:t>
      </w:r>
      <w:proofErr w:type="spellEnd"/>
      <w:r w:rsidR="00791356" w:rsidRPr="002F3D1E">
        <w:t xml:space="preserve"> </w:t>
      </w:r>
      <w:proofErr w:type="spellStart"/>
      <w:r w:rsidR="00791356" w:rsidRPr="002F3D1E">
        <w:t>SRL</w:t>
      </w:r>
      <w:proofErr w:type="spellEnd"/>
      <w:r w:rsidR="00791356" w:rsidRPr="002F3D1E">
        <w:t>)</w:t>
      </w:r>
      <w:r w:rsidR="009E26BF">
        <w:t xml:space="preserve"> cuenta con la representación de la marca HILL </w:t>
      </w:r>
      <w:proofErr w:type="spellStart"/>
      <w:r w:rsidR="009E26BF">
        <w:t>ROOM</w:t>
      </w:r>
      <w:proofErr w:type="spellEnd"/>
      <w:r w:rsidR="009E26BF">
        <w:t xml:space="preserve"> en el país</w:t>
      </w:r>
      <w:r w:rsidR="00791356" w:rsidRPr="002F3D1E">
        <w:t xml:space="preserve">. Adicionalmente, señala que de la búsqueda de la ficha </w:t>
      </w:r>
      <w:proofErr w:type="spellStart"/>
      <w:r w:rsidR="00791356" w:rsidRPr="002F3D1E">
        <w:t>SUNAT</w:t>
      </w:r>
      <w:proofErr w:type="spellEnd"/>
      <w:r w:rsidR="00791356" w:rsidRPr="002F3D1E">
        <w:t xml:space="preserve">, la referida empresa tiene como actividad económica </w:t>
      </w:r>
      <w:r w:rsidR="009E26BF">
        <w:t>“</w:t>
      </w:r>
      <w:r w:rsidR="00791356" w:rsidRPr="002F3D1E">
        <w:t>Venta al por mayor de desperdicios, desechos y chatarra y otros</w:t>
      </w:r>
      <w:r w:rsidR="009E26BF">
        <w:t>”</w:t>
      </w:r>
      <w:r w:rsidR="00791356" w:rsidRPr="002F3D1E">
        <w:t xml:space="preserve"> y en </w:t>
      </w:r>
      <w:r w:rsidR="009E26BF">
        <w:t xml:space="preserve">el </w:t>
      </w:r>
      <w:r w:rsidR="00791356" w:rsidRPr="002F3D1E">
        <w:t xml:space="preserve">rubro actividad de comercio exterior figura </w:t>
      </w:r>
      <w:r w:rsidR="009E26BF">
        <w:t>“</w:t>
      </w:r>
      <w:r w:rsidR="00791356" w:rsidRPr="002F3D1E">
        <w:t>sin actividad</w:t>
      </w:r>
      <w:r w:rsidR="009E26BF">
        <w:t xml:space="preserve">”. </w:t>
      </w:r>
      <w:r w:rsidR="00791356" w:rsidRPr="002F3D1E">
        <w:t>Por tanto, solicita que no se tome en cuenta la información de la</w:t>
      </w:r>
      <w:r w:rsidR="009E26BF">
        <w:t xml:space="preserve"> cotización de la </w:t>
      </w:r>
      <w:r w:rsidR="00791356" w:rsidRPr="002F3D1E">
        <w:t>referida empresa.</w:t>
      </w:r>
    </w:p>
    <w:p w:rsidR="003D67C4" w:rsidRPr="002F3D1E" w:rsidRDefault="003D67C4" w:rsidP="00015C4F">
      <w:pPr>
        <w:widowControl w:val="0"/>
        <w:tabs>
          <w:tab w:val="left" w:pos="284"/>
        </w:tabs>
        <w:ind w:right="139"/>
        <w:jc w:val="both"/>
      </w:pPr>
    </w:p>
    <w:p w:rsidR="00F86C6A" w:rsidRPr="002F3D1E" w:rsidRDefault="00F86C6A" w:rsidP="00F86C6A">
      <w:pPr>
        <w:widowControl w:val="0"/>
        <w:tabs>
          <w:tab w:val="left" w:pos="284"/>
        </w:tabs>
        <w:ind w:right="139"/>
        <w:jc w:val="both"/>
        <w:rPr>
          <w:b/>
        </w:rPr>
      </w:pPr>
      <w:r w:rsidRPr="002F3D1E">
        <w:rPr>
          <w:b/>
        </w:rPr>
        <w:t>Pronunciamiento</w:t>
      </w:r>
    </w:p>
    <w:p w:rsidR="003D67C4" w:rsidRPr="002F3D1E" w:rsidRDefault="003D67C4" w:rsidP="00015C4F">
      <w:pPr>
        <w:widowControl w:val="0"/>
        <w:tabs>
          <w:tab w:val="left" w:pos="284"/>
        </w:tabs>
        <w:ind w:right="139"/>
        <w:jc w:val="both"/>
      </w:pPr>
    </w:p>
    <w:p w:rsidR="009F03B1" w:rsidRPr="002F3D1E" w:rsidRDefault="009F03B1" w:rsidP="009F03B1">
      <w:pPr>
        <w:widowControl w:val="0"/>
        <w:tabs>
          <w:tab w:val="left" w:pos="567"/>
        </w:tabs>
        <w:jc w:val="both"/>
        <w:rPr>
          <w:lang w:val="es-PE"/>
        </w:rPr>
      </w:pPr>
      <w:r w:rsidRPr="002F3D1E">
        <w:rPr>
          <w:lang w:val="es-PE"/>
        </w:rPr>
        <w:t>De la revisión del contenido del “Formato del Resumen Ejecutivo” se advierte que la Entidad declaró que para determinar el valor referencial empleó las siguientes fuentes: (i) Cotizaciones y (</w:t>
      </w:r>
      <w:proofErr w:type="spellStart"/>
      <w:r w:rsidRPr="002F3D1E">
        <w:rPr>
          <w:lang w:val="es-PE"/>
        </w:rPr>
        <w:t>ii</w:t>
      </w:r>
      <w:proofErr w:type="spellEnd"/>
      <w:r w:rsidRPr="002F3D1E">
        <w:rPr>
          <w:lang w:val="es-PE"/>
        </w:rPr>
        <w:t xml:space="preserve">) Precios del </w:t>
      </w:r>
      <w:proofErr w:type="spellStart"/>
      <w:r w:rsidRPr="002F3D1E">
        <w:rPr>
          <w:lang w:val="es-PE"/>
        </w:rPr>
        <w:t>SEACE</w:t>
      </w:r>
      <w:proofErr w:type="spellEnd"/>
      <w:r w:rsidRPr="002F3D1E">
        <w:rPr>
          <w:lang w:val="es-PE"/>
        </w:rPr>
        <w:t>.</w:t>
      </w:r>
    </w:p>
    <w:p w:rsidR="009F03B1" w:rsidRPr="002F3D1E" w:rsidRDefault="009F03B1" w:rsidP="009F03B1">
      <w:pPr>
        <w:widowControl w:val="0"/>
        <w:tabs>
          <w:tab w:val="left" w:pos="567"/>
        </w:tabs>
        <w:jc w:val="both"/>
        <w:rPr>
          <w:lang w:val="es-PE"/>
        </w:rPr>
      </w:pPr>
    </w:p>
    <w:p w:rsidR="009F03B1" w:rsidRPr="002F3D1E" w:rsidRDefault="009F03B1" w:rsidP="009F03B1">
      <w:pPr>
        <w:widowControl w:val="0"/>
        <w:tabs>
          <w:tab w:val="left" w:pos="567"/>
        </w:tabs>
        <w:jc w:val="both"/>
      </w:pPr>
      <w:r w:rsidRPr="002F3D1E">
        <w:t xml:space="preserve">Ahora bien, respecto de las cotizaciones, </w:t>
      </w:r>
      <w:r w:rsidR="008B21E2" w:rsidRPr="002F3D1E">
        <w:t xml:space="preserve">del Formato de Cuadro Comparativo </w:t>
      </w:r>
      <w:r w:rsidRPr="002F3D1E">
        <w:t xml:space="preserve">se advierte que éstas provienen de las siguientes empresas: (i) </w:t>
      </w:r>
      <w:r w:rsidR="008B21E2" w:rsidRPr="002F3D1E">
        <w:t xml:space="preserve">Soluciones </w:t>
      </w:r>
      <w:r w:rsidR="009E26BF" w:rsidRPr="002F3D1E">
        <w:t>Médicas</w:t>
      </w:r>
      <w:r w:rsidR="008B21E2" w:rsidRPr="002F3D1E">
        <w:t xml:space="preserve"> y Servicios </w:t>
      </w:r>
      <w:proofErr w:type="spellStart"/>
      <w:r w:rsidR="008B21E2" w:rsidRPr="002F3D1E">
        <w:t>EIRL</w:t>
      </w:r>
      <w:proofErr w:type="spellEnd"/>
      <w:r w:rsidR="009E26BF">
        <w:t xml:space="preserve"> (Marca HILL </w:t>
      </w:r>
      <w:proofErr w:type="spellStart"/>
      <w:r w:rsidR="009E26BF">
        <w:t>ROOM</w:t>
      </w:r>
      <w:proofErr w:type="spellEnd"/>
      <w:r w:rsidR="009E26BF">
        <w:t>)</w:t>
      </w:r>
      <w:r w:rsidRPr="002F3D1E">
        <w:t>, (</w:t>
      </w:r>
      <w:proofErr w:type="spellStart"/>
      <w:r w:rsidRPr="002F3D1E">
        <w:t>ii</w:t>
      </w:r>
      <w:proofErr w:type="spellEnd"/>
      <w:r w:rsidRPr="002F3D1E">
        <w:t xml:space="preserve">) </w:t>
      </w:r>
      <w:proofErr w:type="spellStart"/>
      <w:r w:rsidR="008B21E2" w:rsidRPr="002F3D1E">
        <w:t>Medic</w:t>
      </w:r>
      <w:proofErr w:type="spellEnd"/>
      <w:r w:rsidR="008B21E2" w:rsidRPr="002F3D1E">
        <w:t xml:space="preserve"> </w:t>
      </w:r>
      <w:proofErr w:type="spellStart"/>
      <w:r w:rsidR="008B21E2" w:rsidRPr="002F3D1E">
        <w:t>Import</w:t>
      </w:r>
      <w:proofErr w:type="spellEnd"/>
      <w:r w:rsidR="008B21E2" w:rsidRPr="002F3D1E">
        <w:t xml:space="preserve"> </w:t>
      </w:r>
      <w:proofErr w:type="spellStart"/>
      <w:r w:rsidR="008B21E2" w:rsidRPr="002F3D1E">
        <w:t>SRL</w:t>
      </w:r>
      <w:proofErr w:type="spellEnd"/>
      <w:r w:rsidR="009E26BF">
        <w:t xml:space="preserve"> (Marca HILL </w:t>
      </w:r>
      <w:proofErr w:type="spellStart"/>
      <w:r w:rsidR="009E26BF">
        <w:t>ROOM</w:t>
      </w:r>
      <w:proofErr w:type="spellEnd"/>
      <w:r w:rsidR="009E26BF">
        <w:t>)</w:t>
      </w:r>
      <w:r w:rsidR="009E26BF" w:rsidRPr="002F3D1E">
        <w:t>,</w:t>
      </w:r>
      <w:r w:rsidRPr="002F3D1E">
        <w:t xml:space="preserve"> y (</w:t>
      </w:r>
      <w:proofErr w:type="spellStart"/>
      <w:r w:rsidRPr="002F3D1E">
        <w:t>iii</w:t>
      </w:r>
      <w:proofErr w:type="spellEnd"/>
      <w:r w:rsidRPr="002F3D1E">
        <w:t xml:space="preserve">) </w:t>
      </w:r>
      <w:r w:rsidR="008B21E2" w:rsidRPr="002F3D1E">
        <w:t xml:space="preserve">Roca </w:t>
      </w:r>
      <w:proofErr w:type="spellStart"/>
      <w:r w:rsidR="008B21E2" w:rsidRPr="002F3D1E">
        <w:t>SAC</w:t>
      </w:r>
      <w:proofErr w:type="spellEnd"/>
      <w:r w:rsidR="009E26BF">
        <w:t xml:space="preserve"> (Marca </w:t>
      </w:r>
      <w:proofErr w:type="spellStart"/>
      <w:r w:rsidR="009E26BF">
        <w:t>STRYKER</w:t>
      </w:r>
      <w:proofErr w:type="spellEnd"/>
      <w:r w:rsidR="009E26BF">
        <w:t>)</w:t>
      </w:r>
      <w:r w:rsidRPr="002F3D1E">
        <w:t xml:space="preserve">.  En cuanto a la fuente precios de </w:t>
      </w:r>
      <w:proofErr w:type="spellStart"/>
      <w:r w:rsidRPr="002F3D1E">
        <w:t>SEACE</w:t>
      </w:r>
      <w:proofErr w:type="spellEnd"/>
      <w:r w:rsidRPr="002F3D1E">
        <w:t xml:space="preserve">, se empleó la </w:t>
      </w:r>
      <w:proofErr w:type="spellStart"/>
      <w:r w:rsidR="008B21E2" w:rsidRPr="002F3D1E">
        <w:t>AMC</w:t>
      </w:r>
      <w:proofErr w:type="spellEnd"/>
      <w:r w:rsidR="008B21E2" w:rsidRPr="002F3D1E">
        <w:t xml:space="preserve"> 23-2013-CEP-RED.S.CHYO</w:t>
      </w:r>
      <w:r w:rsidRPr="002F3D1E">
        <w:t xml:space="preserve"> convocada por la </w:t>
      </w:r>
      <w:r w:rsidR="008B21E2" w:rsidRPr="002F3D1E">
        <w:t xml:space="preserve">Red de Salud de </w:t>
      </w:r>
      <w:proofErr w:type="spellStart"/>
      <w:r w:rsidR="008B21E2" w:rsidRPr="002F3D1E">
        <w:t>Chanchamayo</w:t>
      </w:r>
      <w:proofErr w:type="spellEnd"/>
      <w:r w:rsidR="008B21E2" w:rsidRPr="002F3D1E">
        <w:t xml:space="preserve">. </w:t>
      </w:r>
    </w:p>
    <w:p w:rsidR="008B21E2" w:rsidRPr="002F3D1E" w:rsidRDefault="008B21E2" w:rsidP="009F03B1">
      <w:pPr>
        <w:widowControl w:val="0"/>
        <w:tabs>
          <w:tab w:val="left" w:pos="567"/>
        </w:tabs>
        <w:jc w:val="both"/>
      </w:pPr>
    </w:p>
    <w:p w:rsidR="009F03B1" w:rsidRPr="002F3D1E" w:rsidRDefault="009F03B1" w:rsidP="009F03B1">
      <w:pPr>
        <w:widowControl w:val="0"/>
        <w:tabs>
          <w:tab w:val="left" w:pos="567"/>
        </w:tabs>
        <w:jc w:val="both"/>
      </w:pPr>
      <w:r w:rsidRPr="002F3D1E">
        <w:t>Con relación a la metodología empleada para determinar el Valor Referencial, se advierte que se había utilizado la cotización de menor valor</w:t>
      </w:r>
      <w:r w:rsidR="009E26BF">
        <w:t xml:space="preserve">, que corresponde a la empresa </w:t>
      </w:r>
      <w:r w:rsidR="009E26BF" w:rsidRPr="002F3D1E">
        <w:t xml:space="preserve">SOLUCIONES MEDICAS Y SERVICIOS </w:t>
      </w:r>
      <w:proofErr w:type="spellStart"/>
      <w:r w:rsidR="009E26BF" w:rsidRPr="002F3D1E">
        <w:t>EIRL</w:t>
      </w:r>
      <w:proofErr w:type="spellEnd"/>
      <w:r w:rsidRPr="002F3D1E">
        <w:t xml:space="preserve">. </w:t>
      </w:r>
    </w:p>
    <w:p w:rsidR="009F03B1" w:rsidRDefault="009F03B1" w:rsidP="009F03B1">
      <w:pPr>
        <w:widowControl w:val="0"/>
        <w:tabs>
          <w:tab w:val="left" w:pos="567"/>
        </w:tabs>
        <w:jc w:val="both"/>
      </w:pPr>
    </w:p>
    <w:p w:rsidR="009E26BF" w:rsidRDefault="009E26BF" w:rsidP="009F03B1">
      <w:pPr>
        <w:widowControl w:val="0"/>
        <w:tabs>
          <w:tab w:val="left" w:pos="567"/>
        </w:tabs>
        <w:jc w:val="both"/>
      </w:pPr>
      <w:r>
        <w:t xml:space="preserve">Ahora, si bien en las Bases, ficha </w:t>
      </w:r>
      <w:proofErr w:type="spellStart"/>
      <w:r>
        <w:t>SEACE</w:t>
      </w:r>
      <w:proofErr w:type="spellEnd"/>
      <w:r>
        <w:t xml:space="preserve"> y numeral 3.4 del Resumen Ejecutivo se señala que el valor referencia asciende a S/. 335,000.00, en el cuadro comparativo se indica que el referencial es de S/. 335,500.00, lo cual resulta incongruente.</w:t>
      </w:r>
    </w:p>
    <w:p w:rsidR="009E26BF" w:rsidRPr="002F3D1E" w:rsidRDefault="009E26BF" w:rsidP="009F03B1">
      <w:pPr>
        <w:widowControl w:val="0"/>
        <w:tabs>
          <w:tab w:val="left" w:pos="567"/>
        </w:tabs>
        <w:jc w:val="both"/>
      </w:pPr>
    </w:p>
    <w:p w:rsidR="009F03B1" w:rsidRPr="002F3D1E" w:rsidRDefault="009E26BF" w:rsidP="009F03B1">
      <w:pPr>
        <w:widowControl w:val="0"/>
        <w:tabs>
          <w:tab w:val="left" w:pos="567"/>
        </w:tabs>
        <w:jc w:val="both"/>
        <w:rPr>
          <w:lang w:val="es-PE"/>
        </w:rPr>
      </w:pPr>
      <w:r>
        <w:rPr>
          <w:lang w:val="es-PE"/>
        </w:rPr>
        <w:t>Al respecto</w:t>
      </w:r>
      <w:r w:rsidR="009F03B1" w:rsidRPr="002F3D1E">
        <w:rPr>
          <w:lang w:val="es-PE"/>
        </w:rPr>
        <w:t xml:space="preserve">, </w:t>
      </w:r>
      <w:r w:rsidR="008B21E2" w:rsidRPr="002F3D1E">
        <w:rPr>
          <w:lang w:val="es-PE"/>
        </w:rPr>
        <w:t xml:space="preserve">en </w:t>
      </w:r>
      <w:r w:rsidR="009F03B1" w:rsidRPr="002F3D1E">
        <w:rPr>
          <w:lang w:val="es-PE"/>
        </w:rPr>
        <w:t>el Informe Técnico remitido</w:t>
      </w:r>
      <w:r w:rsidR="008B21E2" w:rsidRPr="002F3D1E">
        <w:rPr>
          <w:lang w:val="es-PE"/>
        </w:rPr>
        <w:t xml:space="preserve"> por la Entidad </w:t>
      </w:r>
      <w:r w:rsidR="009F03B1" w:rsidRPr="002F3D1E">
        <w:rPr>
          <w:lang w:val="es-PE"/>
        </w:rPr>
        <w:t>con ocasión a la</w:t>
      </w:r>
      <w:r w:rsidR="008B21E2" w:rsidRPr="002F3D1E">
        <w:rPr>
          <w:lang w:val="es-PE"/>
        </w:rPr>
        <w:t xml:space="preserve"> solicitud de </w:t>
      </w:r>
      <w:r w:rsidR="009F03B1" w:rsidRPr="002F3D1E">
        <w:rPr>
          <w:lang w:val="es-PE"/>
        </w:rPr>
        <w:t xml:space="preserve">elevación de las </w:t>
      </w:r>
      <w:r>
        <w:rPr>
          <w:lang w:val="es-PE"/>
        </w:rPr>
        <w:t>Bases, el Comité Especial señaló</w:t>
      </w:r>
      <w:r w:rsidR="009F03B1" w:rsidRPr="002F3D1E">
        <w:rPr>
          <w:lang w:val="es-PE"/>
        </w:rPr>
        <w:t xml:space="preserve"> lo siguiente:</w:t>
      </w:r>
    </w:p>
    <w:p w:rsidR="009F03B1" w:rsidRPr="002F3D1E" w:rsidRDefault="009F03B1" w:rsidP="009F03B1">
      <w:pPr>
        <w:widowControl w:val="0"/>
        <w:tabs>
          <w:tab w:val="left" w:pos="567"/>
        </w:tabs>
        <w:jc w:val="both"/>
        <w:rPr>
          <w:lang w:val="es-PE"/>
        </w:rPr>
      </w:pPr>
    </w:p>
    <w:p w:rsidR="007607D5" w:rsidRPr="002F3D1E" w:rsidRDefault="009F03B1" w:rsidP="007607D5">
      <w:pPr>
        <w:widowControl w:val="0"/>
        <w:tabs>
          <w:tab w:val="left" w:pos="567"/>
        </w:tabs>
        <w:ind w:left="567"/>
        <w:jc w:val="both"/>
        <w:rPr>
          <w:i/>
          <w:lang w:val="es-PE"/>
        </w:rPr>
      </w:pPr>
      <w:r w:rsidRPr="002F3D1E">
        <w:rPr>
          <w:i/>
          <w:lang w:val="es-PE"/>
        </w:rPr>
        <w:t>“</w:t>
      </w:r>
      <w:r w:rsidR="007607D5" w:rsidRPr="002F3D1E">
        <w:rPr>
          <w:i/>
          <w:lang w:val="es-PE"/>
        </w:rPr>
        <w:t>* Respeto a la</w:t>
      </w:r>
      <w:r w:rsidR="009E26BF">
        <w:rPr>
          <w:i/>
          <w:lang w:val="es-PE"/>
        </w:rPr>
        <w:t xml:space="preserve"> ausencia de dos fuentes validas</w:t>
      </w:r>
      <w:r w:rsidR="007607D5" w:rsidRPr="002F3D1E">
        <w:rPr>
          <w:i/>
          <w:lang w:val="es-PE"/>
        </w:rPr>
        <w:t xml:space="preserve"> en</w:t>
      </w:r>
      <w:r w:rsidR="009E26BF">
        <w:rPr>
          <w:i/>
          <w:lang w:val="es-PE"/>
        </w:rPr>
        <w:t xml:space="preserve"> </w:t>
      </w:r>
      <w:r w:rsidR="007607D5" w:rsidRPr="002F3D1E">
        <w:rPr>
          <w:i/>
          <w:lang w:val="es-PE"/>
        </w:rPr>
        <w:t>el estudio de Mercado</w:t>
      </w:r>
    </w:p>
    <w:p w:rsidR="007607D5" w:rsidRPr="002F3D1E" w:rsidRDefault="007607D5" w:rsidP="007607D5">
      <w:pPr>
        <w:widowControl w:val="0"/>
        <w:tabs>
          <w:tab w:val="left" w:pos="567"/>
        </w:tabs>
        <w:ind w:left="567"/>
        <w:jc w:val="both"/>
        <w:rPr>
          <w:i/>
          <w:lang w:val="es-PE"/>
        </w:rPr>
      </w:pPr>
      <w:r w:rsidRPr="002F3D1E">
        <w:rPr>
          <w:i/>
          <w:lang w:val="es-PE"/>
        </w:rPr>
        <w:t>(…)</w:t>
      </w:r>
    </w:p>
    <w:p w:rsidR="007607D5" w:rsidRPr="002F3D1E" w:rsidRDefault="007607D5" w:rsidP="009F03B1">
      <w:pPr>
        <w:widowControl w:val="0"/>
        <w:tabs>
          <w:tab w:val="left" w:pos="567"/>
        </w:tabs>
        <w:ind w:left="567"/>
        <w:jc w:val="both"/>
        <w:rPr>
          <w:i/>
          <w:lang w:val="es-PE"/>
        </w:rPr>
      </w:pPr>
      <w:r w:rsidRPr="002F3D1E">
        <w:rPr>
          <w:i/>
          <w:lang w:val="es-PE"/>
        </w:rPr>
        <w:t xml:space="preserve">Al respecto cabe precisar que la empresa Soluciones Medicas y Servicios </w:t>
      </w:r>
      <w:proofErr w:type="spellStart"/>
      <w:r w:rsidRPr="002F3D1E">
        <w:rPr>
          <w:i/>
          <w:lang w:val="es-PE"/>
        </w:rPr>
        <w:t>EIRL</w:t>
      </w:r>
      <w:proofErr w:type="spellEnd"/>
      <w:r w:rsidRPr="002F3D1E">
        <w:rPr>
          <w:i/>
          <w:lang w:val="es-PE"/>
        </w:rPr>
        <w:t xml:space="preserve">, viene contratando con el Estado en venta de mobiliario y equipos médicos desde el año 2012 como consta en la base de datos de la plataforma </w:t>
      </w:r>
      <w:proofErr w:type="spellStart"/>
      <w:r w:rsidRPr="002F3D1E">
        <w:rPr>
          <w:i/>
          <w:lang w:val="es-PE"/>
        </w:rPr>
        <w:t>SEACE</w:t>
      </w:r>
      <w:proofErr w:type="spellEnd"/>
      <w:r w:rsidRPr="002F3D1E">
        <w:rPr>
          <w:i/>
          <w:lang w:val="es-PE"/>
        </w:rPr>
        <w:t xml:space="preserve"> v3.0 la cual se adjunta al presente informe.</w:t>
      </w:r>
    </w:p>
    <w:p w:rsidR="009F03B1" w:rsidRPr="002F3D1E" w:rsidRDefault="007607D5" w:rsidP="00522A9E">
      <w:pPr>
        <w:widowControl w:val="0"/>
        <w:tabs>
          <w:tab w:val="left" w:pos="567"/>
        </w:tabs>
        <w:ind w:left="567"/>
        <w:jc w:val="both"/>
        <w:rPr>
          <w:i/>
          <w:lang w:val="es-PE"/>
        </w:rPr>
      </w:pPr>
      <w:r w:rsidRPr="002F3D1E">
        <w:rPr>
          <w:i/>
          <w:lang w:val="es-PE"/>
        </w:rPr>
        <w:t>(…)</w:t>
      </w:r>
      <w:r w:rsidR="009F03B1" w:rsidRPr="002F3D1E">
        <w:rPr>
          <w:i/>
          <w:lang w:val="es-PE"/>
        </w:rPr>
        <w:t>”</w:t>
      </w:r>
    </w:p>
    <w:p w:rsidR="009F03B1" w:rsidRPr="002F3D1E" w:rsidRDefault="009F03B1" w:rsidP="009F03B1">
      <w:pPr>
        <w:widowControl w:val="0"/>
        <w:tabs>
          <w:tab w:val="left" w:pos="567"/>
        </w:tabs>
        <w:jc w:val="both"/>
        <w:rPr>
          <w:b/>
          <w:i/>
          <w:lang w:val="es-PE"/>
        </w:rPr>
      </w:pPr>
    </w:p>
    <w:p w:rsidR="004313C2" w:rsidRPr="002F3D1E" w:rsidRDefault="004313C2" w:rsidP="004313C2">
      <w:pPr>
        <w:widowControl w:val="0"/>
        <w:tabs>
          <w:tab w:val="left" w:pos="567"/>
        </w:tabs>
        <w:jc w:val="both"/>
        <w:rPr>
          <w:lang w:val="es-PE"/>
        </w:rPr>
      </w:pPr>
      <w:r w:rsidRPr="002F3D1E">
        <w:rPr>
          <w:lang w:val="es-PE"/>
        </w:rPr>
        <w:lastRenderedPageBreak/>
        <w:t xml:space="preserve">Sobre el particular, de conformidad con lo establecido por el artículo 27º de la Ley, concordado con el artículo 13º del Reglamento, </w:t>
      </w:r>
      <w:r w:rsidRPr="002F3D1E">
        <w:rPr>
          <w:u w:val="single"/>
          <w:lang w:val="es-PE"/>
        </w:rPr>
        <w:t>la definición del valor referencial responde a una facultad exclusiva del órgano encargado de las contrataciones de cada Entidad</w:t>
      </w:r>
      <w:r w:rsidRPr="002F3D1E">
        <w:rPr>
          <w:lang w:val="es-PE"/>
        </w:rPr>
        <w:t>, el cual será determinado sobre la base de un estudio de las posibilidades y condiciones que ofrece el mercado, a partir de las especificaciones técnicas o términos de referencia.</w:t>
      </w:r>
    </w:p>
    <w:p w:rsidR="004313C2" w:rsidRPr="002F3D1E" w:rsidRDefault="004313C2" w:rsidP="004313C2">
      <w:pPr>
        <w:widowControl w:val="0"/>
        <w:tabs>
          <w:tab w:val="left" w:pos="567"/>
        </w:tabs>
        <w:jc w:val="both"/>
        <w:rPr>
          <w:lang w:val="es-PE"/>
        </w:rPr>
      </w:pPr>
    </w:p>
    <w:p w:rsidR="004313C2" w:rsidRPr="002F3D1E" w:rsidRDefault="004313C2" w:rsidP="004313C2">
      <w:pPr>
        <w:widowControl w:val="0"/>
        <w:tabs>
          <w:tab w:val="left" w:pos="567"/>
        </w:tabs>
        <w:jc w:val="both"/>
        <w:rPr>
          <w:lang w:val="es-PE"/>
        </w:rPr>
      </w:pPr>
      <w:r w:rsidRPr="002F3D1E">
        <w:rPr>
          <w:lang w:val="es-PE"/>
        </w:rPr>
        <w:t xml:space="preserve">Asimismo, el artículo 13° del Reglamento establece que </w:t>
      </w:r>
      <w:r w:rsidRPr="002F3D1E">
        <w:rPr>
          <w:u w:val="single"/>
          <w:lang w:val="es-PE"/>
        </w:rPr>
        <w:t>el valor referencial de los bienes</w:t>
      </w:r>
      <w:r w:rsidRPr="002F3D1E">
        <w:rPr>
          <w:lang w:val="es-PE"/>
        </w:rPr>
        <w:t>, servicios u obras requeridos por la Entidad se calculará incluyendo todos los tributos, seguros, transporte, inspecciones, pruebas, costos laborales conforme a la legislación vigente, considerando todos los aspectos que pudieran incidir directamente sobre su costo.</w:t>
      </w:r>
    </w:p>
    <w:p w:rsidR="004313C2" w:rsidRPr="002F3D1E" w:rsidRDefault="004313C2" w:rsidP="004313C2">
      <w:pPr>
        <w:widowControl w:val="0"/>
        <w:tabs>
          <w:tab w:val="left" w:pos="567"/>
        </w:tabs>
        <w:jc w:val="both"/>
        <w:rPr>
          <w:lang w:val="es-PE"/>
        </w:rPr>
      </w:pPr>
    </w:p>
    <w:p w:rsidR="009F03B1" w:rsidRPr="002F3D1E" w:rsidRDefault="004313C2" w:rsidP="004313C2">
      <w:pPr>
        <w:widowControl w:val="0"/>
        <w:tabs>
          <w:tab w:val="left" w:pos="567"/>
        </w:tabs>
        <w:jc w:val="both"/>
        <w:rPr>
          <w:lang w:val="es-PE"/>
        </w:rPr>
      </w:pPr>
      <w:r w:rsidRPr="002F3D1E">
        <w:rPr>
          <w:lang w:val="es-PE"/>
        </w:rPr>
        <w:t>Por su parte</w:t>
      </w:r>
      <w:r w:rsidR="009F03B1" w:rsidRPr="002F3D1E">
        <w:rPr>
          <w:lang w:val="es-PE"/>
        </w:rPr>
        <w:t xml:space="preserve">, el artículo 12° del Reglamento dispone que, al efectuar el estudio de posibilidades que ofrece el mercado que tiene entre sus objetivos la determinación del valor referencial, la Entidad debe emplear información que provenga de por lo menos dos (2) fuentes, mencionando entre dichas fuentes los precios históricos, cotizaciones, precios del </w:t>
      </w:r>
      <w:proofErr w:type="spellStart"/>
      <w:r w:rsidR="009F03B1" w:rsidRPr="002F3D1E">
        <w:rPr>
          <w:lang w:val="es-PE"/>
        </w:rPr>
        <w:t>SEACE</w:t>
      </w:r>
      <w:proofErr w:type="spellEnd"/>
      <w:r w:rsidR="009F03B1" w:rsidRPr="002F3D1E">
        <w:rPr>
          <w:lang w:val="es-PE"/>
        </w:rPr>
        <w:t>, entre otras. Asimismo, se indica que, en caso exista la imposibilidad de emplear más de una fuente, en el estudio deberá sustentarse dicha situación. Además, en dicho artículo se señala que en el estudio de posibilidades que ofrece el mercado debe indicarse los criterios, procedimiento y/o metodología utilizados, a partir de las fuentes previamente identificadas.</w:t>
      </w:r>
    </w:p>
    <w:p w:rsidR="009F03B1" w:rsidRPr="002F3D1E" w:rsidRDefault="009F03B1" w:rsidP="009F03B1">
      <w:pPr>
        <w:widowControl w:val="0"/>
        <w:tabs>
          <w:tab w:val="left" w:pos="567"/>
        </w:tabs>
        <w:jc w:val="both"/>
        <w:rPr>
          <w:lang w:val="es-PE"/>
        </w:rPr>
      </w:pPr>
    </w:p>
    <w:p w:rsidR="002F3D1E" w:rsidRPr="002F3D1E" w:rsidRDefault="002F3D1E" w:rsidP="002F3D1E">
      <w:pPr>
        <w:widowControl w:val="0"/>
        <w:jc w:val="both"/>
      </w:pPr>
      <w:r w:rsidRPr="002F3D1E">
        <w:rPr>
          <w:rFonts w:eastAsia="MS Mincho"/>
          <w:lang w:eastAsia="es-PE"/>
        </w:rPr>
        <w:t xml:space="preserve">En ese sentido, de lo consignado en el resumen ejecutivo y de lo señalado por el Comité Especial en el </w:t>
      </w:r>
      <w:r>
        <w:rPr>
          <w:rFonts w:eastAsia="MS Mincho"/>
          <w:lang w:eastAsia="es-PE"/>
        </w:rPr>
        <w:t xml:space="preserve">Informe Técnico </w:t>
      </w:r>
      <w:r w:rsidRPr="002F3D1E">
        <w:rPr>
          <w:rFonts w:eastAsia="MS Mincho"/>
          <w:lang w:eastAsia="es-PE"/>
        </w:rPr>
        <w:t xml:space="preserve">se advertiría que: </w:t>
      </w:r>
      <w:r w:rsidRPr="002F3D1E">
        <w:rPr>
          <w:rFonts w:eastAsia="MS Mincho"/>
          <w:b/>
          <w:lang w:eastAsia="es-PE"/>
        </w:rPr>
        <w:t>i)</w:t>
      </w:r>
      <w:r w:rsidRPr="002F3D1E">
        <w:rPr>
          <w:rFonts w:eastAsia="MS Mincho"/>
          <w:lang w:eastAsia="es-PE"/>
        </w:rPr>
        <w:t xml:space="preserve"> El valor referencial se ha determinado sobre cotizaciones que cumplirían con las especificaciones técnicas; y </w:t>
      </w:r>
      <w:proofErr w:type="spellStart"/>
      <w:r w:rsidRPr="002F3D1E">
        <w:rPr>
          <w:rFonts w:eastAsia="MS Mincho"/>
          <w:b/>
          <w:lang w:eastAsia="es-PE"/>
        </w:rPr>
        <w:t>ii</w:t>
      </w:r>
      <w:proofErr w:type="spellEnd"/>
      <w:r w:rsidRPr="002F3D1E">
        <w:rPr>
          <w:rFonts w:eastAsia="MS Mincho"/>
          <w:b/>
          <w:lang w:eastAsia="es-PE"/>
        </w:rPr>
        <w:t>)</w:t>
      </w:r>
      <w:r w:rsidRPr="002F3D1E">
        <w:rPr>
          <w:rFonts w:eastAsia="MS Mincho"/>
          <w:lang w:eastAsia="es-PE"/>
        </w:rPr>
        <w:t xml:space="preserve"> Se habría determinado la existencia de pluralidad postores, los cuales se dedicarán al objeto de la convocatoria, </w:t>
      </w:r>
      <w:r>
        <w:rPr>
          <w:rFonts w:eastAsia="MS Mincho"/>
          <w:lang w:eastAsia="es-PE"/>
        </w:rPr>
        <w:t>y</w:t>
      </w:r>
      <w:r w:rsidRPr="002F3D1E">
        <w:rPr>
          <w:rFonts w:eastAsia="MS Mincho"/>
          <w:lang w:eastAsia="es-PE"/>
        </w:rPr>
        <w:t xml:space="preserve"> </w:t>
      </w:r>
      <w:r>
        <w:rPr>
          <w:rFonts w:eastAsia="MS Mincho"/>
          <w:lang w:eastAsia="es-PE"/>
        </w:rPr>
        <w:t>que</w:t>
      </w:r>
      <w:r w:rsidRPr="002F3D1E">
        <w:rPr>
          <w:rFonts w:eastAsia="MS Mincho"/>
          <w:lang w:eastAsia="es-PE"/>
        </w:rPr>
        <w:t xml:space="preserve"> </w:t>
      </w:r>
      <w:proofErr w:type="spellStart"/>
      <w:r w:rsidRPr="002F3D1E">
        <w:rPr>
          <w:rFonts w:eastAsia="MS Mincho"/>
          <w:b/>
          <w:lang w:eastAsia="es-PE"/>
        </w:rPr>
        <w:t>iii</w:t>
      </w:r>
      <w:proofErr w:type="spellEnd"/>
      <w:r w:rsidRPr="002F3D1E">
        <w:rPr>
          <w:rFonts w:eastAsia="MS Mincho"/>
          <w:b/>
          <w:lang w:eastAsia="es-PE"/>
        </w:rPr>
        <w:t>)</w:t>
      </w:r>
      <w:r w:rsidRPr="002F3D1E">
        <w:rPr>
          <w:rFonts w:eastAsia="MS Mincho"/>
          <w:lang w:eastAsia="es-PE"/>
        </w:rPr>
        <w:t xml:space="preserve"> </w:t>
      </w:r>
      <w:r>
        <w:rPr>
          <w:rFonts w:eastAsia="MS Mincho"/>
          <w:lang w:eastAsia="es-PE"/>
        </w:rPr>
        <w:t>E</w:t>
      </w:r>
      <w:r w:rsidRPr="002F3D1E">
        <w:rPr>
          <w:rFonts w:eastAsia="MS Mincho"/>
          <w:lang w:eastAsia="es-PE"/>
        </w:rPr>
        <w:t>xistiría pluralidad de marcas que cumpl</w:t>
      </w:r>
      <w:r>
        <w:rPr>
          <w:rFonts w:eastAsia="MS Mincho"/>
          <w:lang w:eastAsia="es-PE"/>
        </w:rPr>
        <w:t>en con los requerimientos técnicos mínimos.</w:t>
      </w:r>
    </w:p>
    <w:p w:rsidR="002F3D1E" w:rsidRPr="002F3D1E" w:rsidRDefault="002F3D1E" w:rsidP="002F3D1E">
      <w:pPr>
        <w:jc w:val="both"/>
      </w:pPr>
    </w:p>
    <w:p w:rsidR="002F3D1E" w:rsidRPr="002F3D1E" w:rsidRDefault="002F3D1E" w:rsidP="002F3D1E">
      <w:pPr>
        <w:widowControl w:val="0"/>
        <w:tabs>
          <w:tab w:val="left" w:pos="3828"/>
        </w:tabs>
        <w:jc w:val="both"/>
        <w:rPr>
          <w:rFonts w:eastAsia="MS Mincho"/>
          <w:lang w:eastAsia="es-PE"/>
        </w:rPr>
      </w:pPr>
      <w:r w:rsidRPr="002F3D1E">
        <w:rPr>
          <w:rFonts w:eastAsia="MS Mincho"/>
          <w:lang w:eastAsia="es-PE"/>
        </w:rPr>
        <w:t xml:space="preserve">Por tanto, considerando que es competencia del órgano encargado de las contrataciones de la Entidad realizar el estudio de las posibilidades que ofrece el mercado y </w:t>
      </w:r>
      <w:r w:rsidR="009E26BF">
        <w:rPr>
          <w:rFonts w:eastAsia="MS Mincho"/>
          <w:lang w:eastAsia="es-PE"/>
        </w:rPr>
        <w:t xml:space="preserve">que el </w:t>
      </w:r>
      <w:r w:rsidR="00B54EB4">
        <w:rPr>
          <w:rFonts w:eastAsia="MS Mincho"/>
          <w:lang w:eastAsia="es-PE"/>
        </w:rPr>
        <w:t>n</w:t>
      </w:r>
      <w:r w:rsidR="009E26BF">
        <w:rPr>
          <w:rFonts w:eastAsia="MS Mincho"/>
          <w:lang w:eastAsia="es-PE"/>
        </w:rPr>
        <w:t xml:space="preserve">o tener la </w:t>
      </w:r>
      <w:r w:rsidR="006824CA">
        <w:rPr>
          <w:rFonts w:eastAsia="MS Mincho"/>
          <w:lang w:eastAsia="es-PE"/>
        </w:rPr>
        <w:t>calidad</w:t>
      </w:r>
      <w:r w:rsidR="009E26BF">
        <w:rPr>
          <w:rFonts w:eastAsia="MS Mincho"/>
          <w:lang w:eastAsia="es-PE"/>
        </w:rPr>
        <w:t xml:space="preserve"> de representante de una marca no enerva la facultad de </w:t>
      </w:r>
      <w:r w:rsidR="006824CA">
        <w:rPr>
          <w:rFonts w:eastAsia="MS Mincho"/>
          <w:lang w:eastAsia="es-PE"/>
        </w:rPr>
        <w:t>los proveedores a comercializar determinado producto</w:t>
      </w:r>
      <w:r w:rsidRPr="002F3D1E">
        <w:rPr>
          <w:rFonts w:eastAsia="MS Mincho"/>
          <w:lang w:eastAsia="es-PE"/>
        </w:rPr>
        <w:t xml:space="preserve">, este Organismo Supervisor ha decidido </w:t>
      </w:r>
      <w:r w:rsidRPr="002F3D1E">
        <w:rPr>
          <w:rFonts w:eastAsia="MS Mincho"/>
          <w:b/>
          <w:lang w:eastAsia="es-PE"/>
        </w:rPr>
        <w:t>NO ACOGER</w:t>
      </w:r>
      <w:r w:rsidRPr="002F3D1E">
        <w:rPr>
          <w:rFonts w:eastAsia="MS Mincho"/>
          <w:lang w:eastAsia="es-PE"/>
        </w:rPr>
        <w:t xml:space="preserve"> la Observación</w:t>
      </w:r>
      <w:r>
        <w:rPr>
          <w:rFonts w:eastAsia="MS Mincho"/>
          <w:lang w:eastAsia="es-PE"/>
        </w:rPr>
        <w:t xml:space="preserve"> </w:t>
      </w:r>
      <w:r w:rsidRPr="002F3D1E">
        <w:rPr>
          <w:rFonts w:eastAsia="MS Mincho"/>
          <w:lang w:eastAsia="es-PE"/>
        </w:rPr>
        <w:t>Nº 2</w:t>
      </w:r>
      <w:r>
        <w:rPr>
          <w:rFonts w:eastAsia="MS Mincho"/>
          <w:lang w:eastAsia="es-PE"/>
        </w:rPr>
        <w:t>.</w:t>
      </w:r>
    </w:p>
    <w:p w:rsidR="002F3D1E" w:rsidRDefault="002F3D1E" w:rsidP="002F3D1E">
      <w:pPr>
        <w:widowControl w:val="0"/>
        <w:tabs>
          <w:tab w:val="left" w:pos="3828"/>
        </w:tabs>
        <w:jc w:val="both"/>
        <w:rPr>
          <w:rFonts w:eastAsia="MS Mincho"/>
          <w:lang w:eastAsia="es-PE"/>
        </w:rPr>
      </w:pPr>
    </w:p>
    <w:p w:rsidR="00B54EB4" w:rsidRDefault="00B54EB4" w:rsidP="002F3D1E">
      <w:pPr>
        <w:widowControl w:val="0"/>
        <w:tabs>
          <w:tab w:val="left" w:pos="3828"/>
        </w:tabs>
        <w:jc w:val="both"/>
      </w:pPr>
      <w:r>
        <w:rPr>
          <w:rFonts w:eastAsia="MS Mincho"/>
          <w:lang w:eastAsia="es-PE"/>
        </w:rPr>
        <w:t xml:space="preserve">Sin perjuicio de ello, en atención al Principio de Transparencia, </w:t>
      </w:r>
      <w:r w:rsidRPr="00B54EB4">
        <w:rPr>
          <w:rFonts w:eastAsia="MS Mincho"/>
          <w:b/>
          <w:u w:val="single"/>
          <w:lang w:eastAsia="es-PE"/>
        </w:rPr>
        <w:t>deberá registrarse</w:t>
      </w:r>
      <w:r>
        <w:rPr>
          <w:rFonts w:eastAsia="MS Mincho"/>
          <w:lang w:eastAsia="es-PE"/>
        </w:rPr>
        <w:t xml:space="preserve"> en el </w:t>
      </w:r>
      <w:proofErr w:type="spellStart"/>
      <w:r>
        <w:rPr>
          <w:rFonts w:eastAsia="MS Mincho"/>
          <w:lang w:eastAsia="es-PE"/>
        </w:rPr>
        <w:t>SEACE</w:t>
      </w:r>
      <w:proofErr w:type="spellEnd"/>
      <w:r>
        <w:rPr>
          <w:rFonts w:eastAsia="MS Mincho"/>
          <w:lang w:eastAsia="es-PE"/>
        </w:rPr>
        <w:t xml:space="preserve"> un informe técnico que contenga el análisis realizado por la Entidad para determinar que la empresa </w:t>
      </w:r>
      <w:r w:rsidRPr="002F3D1E">
        <w:t xml:space="preserve">SOLUCIONES MEDICAS Y SERVICIOS </w:t>
      </w:r>
      <w:proofErr w:type="spellStart"/>
      <w:r w:rsidRPr="002F3D1E">
        <w:t>EIRL</w:t>
      </w:r>
      <w:proofErr w:type="spellEnd"/>
      <w:r>
        <w:t xml:space="preserve"> se dedica al objeto de la convocatoria.</w:t>
      </w:r>
    </w:p>
    <w:p w:rsidR="00B54EB4" w:rsidRDefault="00B54EB4" w:rsidP="002F3D1E">
      <w:pPr>
        <w:widowControl w:val="0"/>
        <w:tabs>
          <w:tab w:val="left" w:pos="3828"/>
        </w:tabs>
        <w:jc w:val="both"/>
      </w:pPr>
    </w:p>
    <w:p w:rsidR="00B54EB4" w:rsidRPr="002F3D1E" w:rsidRDefault="00B54EB4" w:rsidP="002F3D1E">
      <w:pPr>
        <w:widowControl w:val="0"/>
        <w:tabs>
          <w:tab w:val="left" w:pos="3828"/>
        </w:tabs>
        <w:jc w:val="both"/>
        <w:rPr>
          <w:rFonts w:eastAsia="MS Mincho"/>
          <w:lang w:eastAsia="es-PE"/>
        </w:rPr>
      </w:pPr>
      <w:r>
        <w:t xml:space="preserve">Adicionalmente, en tanto se advierte una incongruencia en el monto del valor referencial, tal incongruencia </w:t>
      </w:r>
      <w:r w:rsidRPr="00B54EB4">
        <w:rPr>
          <w:b/>
          <w:u w:val="single"/>
        </w:rPr>
        <w:t>deberá ser corregida</w:t>
      </w:r>
      <w:r>
        <w:t xml:space="preserve"> en la integración de las Bases, publicando un nuevo Resumen Ejecutivo de corresponder.</w:t>
      </w:r>
    </w:p>
    <w:p w:rsidR="009F03B1" w:rsidRPr="002F3D1E" w:rsidRDefault="009F03B1" w:rsidP="009F03B1">
      <w:pPr>
        <w:widowControl w:val="0"/>
        <w:tabs>
          <w:tab w:val="left" w:pos="567"/>
        </w:tabs>
        <w:jc w:val="both"/>
      </w:pPr>
    </w:p>
    <w:p w:rsidR="009F03B1" w:rsidRPr="002F3D1E" w:rsidRDefault="002F3D1E" w:rsidP="009F03B1">
      <w:pPr>
        <w:widowControl w:val="0"/>
        <w:tabs>
          <w:tab w:val="left" w:pos="567"/>
        </w:tabs>
        <w:jc w:val="both"/>
      </w:pPr>
      <w:r w:rsidRPr="002F3D1E">
        <w:rPr>
          <w:rFonts w:eastAsia="Calibri"/>
          <w:color w:val="000000"/>
          <w:lang w:val="es-PE" w:eastAsia="es-PE"/>
        </w:rPr>
        <w:t xml:space="preserve">Cabe acotar que la información registrada en el Resumen tiene carácter de declaración jurada, razón por la cual, la veracidad de su contenido es responsabilidad de la Entidad, y por tanto, sujeta a rendición de cuentas por parte </w:t>
      </w:r>
      <w:r w:rsidR="00B54EB4">
        <w:rPr>
          <w:rFonts w:eastAsia="Calibri"/>
          <w:color w:val="000000"/>
          <w:lang w:val="es-PE" w:eastAsia="es-PE"/>
        </w:rPr>
        <w:t xml:space="preserve">de las dependencias competentes, en </w:t>
      </w:r>
      <w:r w:rsidR="00B54EB4">
        <w:rPr>
          <w:rFonts w:eastAsia="Calibri"/>
          <w:color w:val="000000"/>
          <w:lang w:val="es-PE" w:eastAsia="es-PE"/>
        </w:rPr>
        <w:lastRenderedPageBreak/>
        <w:t xml:space="preserve">caso de corresponder, </w:t>
      </w:r>
      <w:r w:rsidRPr="002F3D1E">
        <w:rPr>
          <w:rFonts w:eastAsia="Calibri"/>
          <w:color w:val="000000"/>
          <w:lang w:val="es-PE" w:eastAsia="es-PE"/>
        </w:rPr>
        <w:t>ante el Titular de la Entidad, Contraloría General de la República, Ministerio Público, Poder Judicial y/o ante otros organismos competentes, no siendo este Organismo Supervisor perito técnico en tales aspectos específicos.</w:t>
      </w:r>
    </w:p>
    <w:p w:rsidR="009F03B1" w:rsidRPr="00B54EB4" w:rsidRDefault="009F03B1" w:rsidP="009F03B1">
      <w:pPr>
        <w:widowControl w:val="0"/>
        <w:tabs>
          <w:tab w:val="left" w:pos="567"/>
        </w:tabs>
        <w:jc w:val="both"/>
      </w:pPr>
    </w:p>
    <w:p w:rsidR="00301821" w:rsidRPr="002F3D1E" w:rsidRDefault="00301821" w:rsidP="00301821">
      <w:pPr>
        <w:widowControl w:val="0"/>
        <w:tabs>
          <w:tab w:val="left" w:pos="4253"/>
        </w:tabs>
        <w:ind w:left="4253" w:hanging="4253"/>
        <w:jc w:val="both"/>
        <w:rPr>
          <w:b/>
        </w:rPr>
      </w:pPr>
      <w:r w:rsidRPr="002F3D1E">
        <w:rPr>
          <w:b/>
        </w:rPr>
        <w:t>Observación N° 6</w:t>
      </w:r>
      <w:r w:rsidR="0021221F" w:rsidRPr="002F3D1E">
        <w:rPr>
          <w:b/>
        </w:rPr>
        <w:t xml:space="preserve"> y N° 7</w:t>
      </w:r>
      <w:r w:rsidRPr="002F3D1E">
        <w:rPr>
          <w:b/>
        </w:rPr>
        <w:tab/>
        <w:t>Contra el factor de evaluación “Plazo de entrega”</w:t>
      </w:r>
    </w:p>
    <w:p w:rsidR="003D67C4" w:rsidRPr="002F3D1E" w:rsidRDefault="003D67C4" w:rsidP="00015C4F">
      <w:pPr>
        <w:widowControl w:val="0"/>
        <w:tabs>
          <w:tab w:val="left" w:pos="284"/>
        </w:tabs>
        <w:ind w:right="139"/>
        <w:jc w:val="both"/>
      </w:pPr>
    </w:p>
    <w:p w:rsidR="00595B1D" w:rsidRPr="005C4E2C" w:rsidRDefault="0021221F" w:rsidP="005C4E2C">
      <w:pPr>
        <w:widowControl w:val="0"/>
        <w:tabs>
          <w:tab w:val="left" w:pos="284"/>
        </w:tabs>
        <w:ind w:right="139"/>
        <w:jc w:val="both"/>
      </w:pPr>
      <w:r w:rsidRPr="005C4E2C">
        <w:t>A través de la</w:t>
      </w:r>
      <w:r w:rsidR="00B54EB4" w:rsidRPr="005C4E2C">
        <w:t>s</w:t>
      </w:r>
      <w:r w:rsidRPr="005C4E2C">
        <w:t xml:space="preserve"> </w:t>
      </w:r>
      <w:r w:rsidR="00B54EB4" w:rsidRPr="005C4E2C">
        <w:t xml:space="preserve">Observaciones </w:t>
      </w:r>
      <w:r w:rsidRPr="005C4E2C">
        <w:t>N° 6</w:t>
      </w:r>
      <w:r w:rsidR="00B54EB4" w:rsidRPr="005C4E2C">
        <w:t xml:space="preserve"> y N° 7</w:t>
      </w:r>
      <w:r w:rsidRPr="005C4E2C">
        <w:t>, e</w:t>
      </w:r>
      <w:r w:rsidR="00595B1D" w:rsidRPr="005C4E2C">
        <w:t>l partici</w:t>
      </w:r>
      <w:r w:rsidR="00301821" w:rsidRPr="005C4E2C">
        <w:t xml:space="preserve">pante cuestiona </w:t>
      </w:r>
      <w:r w:rsidR="00886CEA" w:rsidRPr="005C4E2C">
        <w:t xml:space="preserve">los rangos de puntuación del factor de evaluación “Plazo de entrega”, pues sostiene que el bien objeto de convocatoria </w:t>
      </w:r>
      <w:r w:rsidR="00B54EB4" w:rsidRPr="005C4E2C">
        <w:t>es</w:t>
      </w:r>
      <w:r w:rsidR="00886CEA" w:rsidRPr="005C4E2C">
        <w:t xml:space="preserve"> un producto importado</w:t>
      </w:r>
      <w:r w:rsidR="00B54EB4" w:rsidRPr="005C4E2C">
        <w:t>,</w:t>
      </w:r>
      <w:r w:rsidR="00886CEA" w:rsidRPr="005C4E2C">
        <w:t xml:space="preserve"> </w:t>
      </w:r>
      <w:r w:rsidR="00B54EB4" w:rsidRPr="005C4E2C">
        <w:t>es por lo que resultaría</w:t>
      </w:r>
      <w:r w:rsidR="00886CEA" w:rsidRPr="005C4E2C">
        <w:t xml:space="preserve"> imposible cumplir con dicho tiempo de entrega, lo cual no resulta razonable. Adicionalmente, señala que el periodo de entrega en el referido factor de evaluación está relacionado con la cotización de la empresa SOLUCIONES MEDICAS Y SERVICIOS </w:t>
      </w:r>
      <w:proofErr w:type="spellStart"/>
      <w:r w:rsidR="00886CEA" w:rsidRPr="005C4E2C">
        <w:t>EIRL</w:t>
      </w:r>
      <w:proofErr w:type="spellEnd"/>
      <w:r w:rsidR="00B54EB4" w:rsidRPr="005C4E2C">
        <w:t xml:space="preserve">, </w:t>
      </w:r>
      <w:r w:rsidR="00886CEA" w:rsidRPr="005C4E2C">
        <w:t>que</w:t>
      </w:r>
      <w:r w:rsidR="00B54EB4" w:rsidRPr="005C4E2C">
        <w:t xml:space="preserve"> se trataría de una fuente no vá</w:t>
      </w:r>
      <w:r w:rsidR="00886CEA" w:rsidRPr="005C4E2C">
        <w:t xml:space="preserve">lida. </w:t>
      </w:r>
      <w:r w:rsidR="00FC2E23" w:rsidRPr="005C4E2C">
        <w:t>Por tanto, solicita considerar los siguientes rangos:</w:t>
      </w:r>
    </w:p>
    <w:p w:rsidR="00FC2E23" w:rsidRPr="002F3D1E" w:rsidRDefault="00FC2E23" w:rsidP="00DA5120">
      <w:pPr>
        <w:widowControl w:val="0"/>
        <w:ind w:right="139"/>
        <w:jc w:val="both"/>
      </w:pPr>
      <w:r w:rsidRPr="002F3D1E">
        <w:tab/>
      </w:r>
    </w:p>
    <w:p w:rsidR="00886CEA" w:rsidRPr="002F3D1E" w:rsidRDefault="00FC2E23" w:rsidP="00DA5120">
      <w:pPr>
        <w:widowControl w:val="0"/>
        <w:ind w:right="139"/>
        <w:jc w:val="both"/>
      </w:pPr>
      <w:r w:rsidRPr="002F3D1E">
        <w:tab/>
        <w:t>“</w:t>
      </w:r>
      <w:r w:rsidR="00886CEA" w:rsidRPr="002F3D1E">
        <w:t>De 20 hasta 39 días calendarios: 40 puntos</w:t>
      </w:r>
    </w:p>
    <w:p w:rsidR="00886CEA" w:rsidRPr="002F3D1E" w:rsidRDefault="00886CEA" w:rsidP="00886CEA">
      <w:pPr>
        <w:widowControl w:val="0"/>
        <w:ind w:right="139" w:firstLine="708"/>
        <w:jc w:val="both"/>
      </w:pPr>
      <w:r w:rsidRPr="002F3D1E">
        <w:t>De 40 hasta 60 días calendarios: 30 puntos</w:t>
      </w:r>
    </w:p>
    <w:p w:rsidR="0031349B" w:rsidRPr="002F3D1E" w:rsidRDefault="00886CEA" w:rsidP="00886CEA">
      <w:pPr>
        <w:widowControl w:val="0"/>
        <w:ind w:right="139" w:firstLine="708"/>
        <w:jc w:val="both"/>
      </w:pPr>
      <w:r w:rsidRPr="002F3D1E">
        <w:t>De 61 hasta 89 días calendarios: 25 puntos</w:t>
      </w:r>
      <w:r w:rsidR="00FC2E23" w:rsidRPr="002F3D1E">
        <w:t>”</w:t>
      </w:r>
    </w:p>
    <w:p w:rsidR="00FD7764" w:rsidRPr="002F3D1E" w:rsidRDefault="00FD7764" w:rsidP="00FD7764">
      <w:pPr>
        <w:widowControl w:val="0"/>
        <w:ind w:right="139"/>
        <w:jc w:val="both"/>
      </w:pPr>
    </w:p>
    <w:p w:rsidR="00595B1D" w:rsidRPr="002F3D1E" w:rsidRDefault="00595B1D" w:rsidP="00015C4F">
      <w:pPr>
        <w:widowControl w:val="0"/>
        <w:tabs>
          <w:tab w:val="left" w:pos="284"/>
        </w:tabs>
        <w:ind w:right="139"/>
        <w:jc w:val="both"/>
        <w:rPr>
          <w:b/>
        </w:rPr>
      </w:pPr>
      <w:r w:rsidRPr="002F3D1E">
        <w:rPr>
          <w:b/>
        </w:rPr>
        <w:t>Pronunciamiento</w:t>
      </w:r>
    </w:p>
    <w:p w:rsidR="00DA5120" w:rsidRDefault="00DA5120" w:rsidP="00015C4F">
      <w:pPr>
        <w:widowControl w:val="0"/>
        <w:tabs>
          <w:tab w:val="left" w:pos="284"/>
        </w:tabs>
        <w:ind w:right="139"/>
        <w:jc w:val="both"/>
        <w:rPr>
          <w:b/>
        </w:rPr>
      </w:pPr>
    </w:p>
    <w:p w:rsidR="00B54EB4" w:rsidRDefault="00B54EB4" w:rsidP="00015C4F">
      <w:pPr>
        <w:widowControl w:val="0"/>
        <w:tabs>
          <w:tab w:val="left" w:pos="284"/>
        </w:tabs>
        <w:ind w:right="139"/>
        <w:jc w:val="both"/>
      </w:pPr>
      <w:r>
        <w:t xml:space="preserve">De la revisión de las Bases se advierte que el plazo </w:t>
      </w:r>
      <w:r w:rsidR="005C4E2C">
        <w:t xml:space="preserve">máximo </w:t>
      </w:r>
      <w:r>
        <w:t xml:space="preserve">de entrega de los productos </w:t>
      </w:r>
      <w:r w:rsidR="005C4E2C">
        <w:t xml:space="preserve">es de noventa (90) días calendarios, el cual </w:t>
      </w:r>
      <w:r>
        <w:t>se encuentra acorde con la información del Resumen Ejecutivo.</w:t>
      </w:r>
    </w:p>
    <w:p w:rsidR="00B54EB4" w:rsidRDefault="00B54EB4" w:rsidP="00015C4F">
      <w:pPr>
        <w:widowControl w:val="0"/>
        <w:tabs>
          <w:tab w:val="left" w:pos="284"/>
        </w:tabs>
        <w:ind w:right="139"/>
        <w:jc w:val="both"/>
      </w:pPr>
    </w:p>
    <w:p w:rsidR="00B54EB4" w:rsidRDefault="00B54EB4" w:rsidP="00015C4F">
      <w:pPr>
        <w:widowControl w:val="0"/>
        <w:tabs>
          <w:tab w:val="left" w:pos="284"/>
        </w:tabs>
        <w:ind w:right="139"/>
        <w:jc w:val="both"/>
      </w:pPr>
      <w:r>
        <w:t>Ahora bien, originalmente el factor de evaluación “Plazo de entrega” fue establecido de la siguiente forma:</w:t>
      </w:r>
    </w:p>
    <w:p w:rsidR="00B54EB4" w:rsidRDefault="00B54EB4" w:rsidP="00015C4F">
      <w:pPr>
        <w:widowControl w:val="0"/>
        <w:tabs>
          <w:tab w:val="left" w:pos="284"/>
        </w:tabs>
        <w:ind w:right="139"/>
        <w:jc w:val="both"/>
      </w:pPr>
    </w:p>
    <w:p w:rsidR="00B54EB4" w:rsidRDefault="00026DD3" w:rsidP="00026DD3">
      <w:pPr>
        <w:widowControl w:val="0"/>
        <w:ind w:left="567" w:right="139"/>
        <w:jc w:val="both"/>
      </w:pPr>
      <w:r>
        <w:rPr>
          <w:noProof/>
          <w:lang w:val="es-PE" w:eastAsia="es-PE"/>
        </w:rPr>
        <w:drawing>
          <wp:inline distT="0" distB="0" distL="0" distR="0">
            <wp:extent cx="4998427" cy="1596687"/>
            <wp:effectExtent l="19050" t="0" r="0" b="0"/>
            <wp:docPr id="1" name="Imagen 1"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garay\Desktop\1.png"/>
                    <pic:cNvPicPr>
                      <a:picLocks noChangeAspect="1" noChangeArrowheads="1"/>
                    </pic:cNvPicPr>
                  </pic:nvPicPr>
                  <pic:blipFill>
                    <a:blip r:embed="rId8"/>
                    <a:srcRect/>
                    <a:stretch>
                      <a:fillRect/>
                    </a:stretch>
                  </pic:blipFill>
                  <pic:spPr bwMode="auto">
                    <a:xfrm>
                      <a:off x="0" y="0"/>
                      <a:ext cx="4999588" cy="1597058"/>
                    </a:xfrm>
                    <a:prstGeom prst="rect">
                      <a:avLst/>
                    </a:prstGeom>
                    <a:noFill/>
                    <a:ln w="9525">
                      <a:noFill/>
                      <a:miter lim="800000"/>
                      <a:headEnd/>
                      <a:tailEnd/>
                    </a:ln>
                  </pic:spPr>
                </pic:pic>
              </a:graphicData>
            </a:graphic>
          </wp:inline>
        </w:drawing>
      </w:r>
    </w:p>
    <w:p w:rsidR="00026DD3" w:rsidRPr="00B54EB4" w:rsidRDefault="00026DD3" w:rsidP="00026DD3">
      <w:pPr>
        <w:widowControl w:val="0"/>
        <w:ind w:left="567" w:right="139"/>
        <w:jc w:val="both"/>
      </w:pPr>
    </w:p>
    <w:p w:rsidR="00DA5120" w:rsidRPr="002F3D1E" w:rsidRDefault="00DA5120" w:rsidP="00DA5120">
      <w:pPr>
        <w:jc w:val="both"/>
      </w:pPr>
      <w:r w:rsidRPr="002F3D1E">
        <w:t>Con ocasión de la absolución de la</w:t>
      </w:r>
      <w:r w:rsidR="0021221F" w:rsidRPr="002F3D1E">
        <w:t>s</w:t>
      </w:r>
      <w:r w:rsidRPr="002F3D1E">
        <w:t xml:space="preserve"> </w:t>
      </w:r>
      <w:r w:rsidR="0021221F" w:rsidRPr="002F3D1E">
        <w:t>referidas Observaciones</w:t>
      </w:r>
      <w:r w:rsidRPr="002F3D1E">
        <w:t>, se advierte qu</w:t>
      </w:r>
      <w:r w:rsidR="0021221F" w:rsidRPr="002F3D1E">
        <w:t xml:space="preserve">e el Comité Especial modificó el periodo de entrega y los rangos de puntuación </w:t>
      </w:r>
      <w:r w:rsidRPr="002F3D1E">
        <w:t xml:space="preserve">del factor de evaluación </w:t>
      </w:r>
      <w:r w:rsidR="0021221F" w:rsidRPr="002F3D1E">
        <w:t>“Plazo de entrega”</w:t>
      </w:r>
      <w:r w:rsidRPr="002F3D1E">
        <w:t>, el cual se detalla a continuación:</w:t>
      </w:r>
    </w:p>
    <w:p w:rsidR="00DA5120" w:rsidRPr="002F3D1E" w:rsidRDefault="00DA5120" w:rsidP="00DA5120">
      <w:pPr>
        <w:jc w:val="both"/>
      </w:pPr>
    </w:p>
    <w:p w:rsidR="0021221F" w:rsidRPr="002F3D1E" w:rsidRDefault="00DA5120" w:rsidP="00DA5120">
      <w:pPr>
        <w:ind w:left="708"/>
        <w:jc w:val="both"/>
        <w:rPr>
          <w:i/>
          <w:lang w:val="es-PE"/>
        </w:rPr>
      </w:pPr>
      <w:r w:rsidRPr="002F3D1E">
        <w:rPr>
          <w:i/>
          <w:lang w:val="es-PE"/>
        </w:rPr>
        <w:t>“Se precisa que</w:t>
      </w:r>
      <w:r w:rsidR="0021221F" w:rsidRPr="002F3D1E">
        <w:rPr>
          <w:i/>
          <w:lang w:val="es-PE"/>
        </w:rPr>
        <w:t xml:space="preserve"> para una mayor participación de  postores el factor de evaluación será de la siguiente manera:</w:t>
      </w:r>
    </w:p>
    <w:p w:rsidR="00DA5120" w:rsidRPr="002F3D1E" w:rsidRDefault="00DA5120" w:rsidP="00DA5120">
      <w:pPr>
        <w:ind w:left="708"/>
        <w:jc w:val="both"/>
        <w:rPr>
          <w:i/>
          <w:lang w:val="es-PE"/>
        </w:rPr>
      </w:pPr>
    </w:p>
    <w:p w:rsidR="0021221F" w:rsidRPr="002F3D1E" w:rsidRDefault="0021221F" w:rsidP="0021221F">
      <w:pPr>
        <w:pStyle w:val="Prrafodelista"/>
        <w:ind w:left="1068"/>
        <w:jc w:val="both"/>
        <w:rPr>
          <w:i/>
          <w:sz w:val="24"/>
          <w:szCs w:val="24"/>
          <w:lang w:val="es-PE"/>
        </w:rPr>
      </w:pPr>
      <w:r w:rsidRPr="002F3D1E">
        <w:rPr>
          <w:i/>
          <w:sz w:val="24"/>
          <w:szCs w:val="24"/>
          <w:lang w:val="es-PE"/>
        </w:rPr>
        <w:t>De 01 hasta 30 días calendario: 40 puntos</w:t>
      </w:r>
    </w:p>
    <w:p w:rsidR="0021221F" w:rsidRPr="002F3D1E" w:rsidRDefault="0021221F" w:rsidP="0021221F">
      <w:pPr>
        <w:pStyle w:val="Prrafodelista"/>
        <w:ind w:left="1068"/>
        <w:jc w:val="both"/>
        <w:rPr>
          <w:i/>
          <w:sz w:val="24"/>
          <w:szCs w:val="24"/>
          <w:lang w:val="es-PE"/>
        </w:rPr>
      </w:pPr>
      <w:r w:rsidRPr="002F3D1E">
        <w:rPr>
          <w:i/>
          <w:sz w:val="24"/>
          <w:szCs w:val="24"/>
          <w:lang w:val="es-PE"/>
        </w:rPr>
        <w:t>De 31 hasta 50 días calendario: 30 puntos</w:t>
      </w:r>
    </w:p>
    <w:p w:rsidR="0021221F" w:rsidRPr="002F3D1E" w:rsidRDefault="0021221F" w:rsidP="0021221F">
      <w:pPr>
        <w:pStyle w:val="Prrafodelista"/>
        <w:ind w:left="1068"/>
        <w:jc w:val="both"/>
        <w:rPr>
          <w:i/>
          <w:sz w:val="24"/>
          <w:szCs w:val="24"/>
          <w:lang w:val="es-PE"/>
        </w:rPr>
      </w:pPr>
      <w:r w:rsidRPr="002F3D1E">
        <w:rPr>
          <w:i/>
          <w:sz w:val="24"/>
          <w:szCs w:val="24"/>
          <w:lang w:val="es-PE"/>
        </w:rPr>
        <w:t>De 51 hasta 70 días calendario: 20 puntos</w:t>
      </w:r>
    </w:p>
    <w:p w:rsidR="00F86C6A" w:rsidRPr="002F3D1E" w:rsidRDefault="0021221F" w:rsidP="0021221F">
      <w:pPr>
        <w:pStyle w:val="Prrafodelista"/>
        <w:ind w:left="1068"/>
        <w:jc w:val="both"/>
        <w:rPr>
          <w:i/>
          <w:sz w:val="24"/>
          <w:szCs w:val="24"/>
          <w:lang w:val="es-PE"/>
        </w:rPr>
      </w:pPr>
      <w:r w:rsidRPr="002F3D1E">
        <w:rPr>
          <w:i/>
          <w:sz w:val="24"/>
          <w:szCs w:val="24"/>
          <w:lang w:val="es-PE"/>
        </w:rPr>
        <w:lastRenderedPageBreak/>
        <w:t>De 71 hasta 89 días calendario: 10 puntos</w:t>
      </w:r>
    </w:p>
    <w:p w:rsidR="00DA5120" w:rsidRPr="002F3D1E" w:rsidRDefault="00F86C6A" w:rsidP="00F86C6A">
      <w:pPr>
        <w:ind w:firstLine="708"/>
        <w:jc w:val="both"/>
        <w:rPr>
          <w:i/>
          <w:lang w:val="es-PE"/>
        </w:rPr>
      </w:pPr>
      <w:r w:rsidRPr="002F3D1E">
        <w:rPr>
          <w:i/>
          <w:lang w:val="es-PE"/>
        </w:rPr>
        <w:t>Dicho criterio será considerado en la integración de las Bases.</w:t>
      </w:r>
      <w:r w:rsidR="00DA5120" w:rsidRPr="002F3D1E">
        <w:rPr>
          <w:i/>
          <w:lang w:val="es-PE"/>
        </w:rPr>
        <w:t>”</w:t>
      </w:r>
    </w:p>
    <w:p w:rsidR="00DA5120" w:rsidRPr="002F3D1E" w:rsidRDefault="00DA5120" w:rsidP="00DA5120">
      <w:pPr>
        <w:ind w:left="708"/>
      </w:pPr>
    </w:p>
    <w:p w:rsidR="00270ACE" w:rsidRPr="002F3D1E" w:rsidRDefault="00270ACE" w:rsidP="00270ACE">
      <w:pPr>
        <w:widowControl w:val="0"/>
        <w:jc w:val="both"/>
        <w:rPr>
          <w:bCs/>
        </w:rPr>
      </w:pPr>
      <w:r w:rsidRPr="002F3D1E">
        <w:rPr>
          <w:bCs/>
        </w:rPr>
        <w:t>Sobre el particular, cabe indicar que de conformidad con el artículo 43º del Reglamento, constituye facultad exclusiva del Comité Especial la determinación de los factores de evaluación, así como de los puntajes que se le asignará a cada uno de ellos y los criterios para su asignación, los cuales deberán ser objetivos y congruentes con el objeto de la convocatoria, debiendo sujetarse a criterios de razonabilidad y proporcionalidad, en atención a que superen o mejoren los requerimientos técnicos mínimos, en estricta observancia de los principios que regulan la contratación pública vigente.</w:t>
      </w:r>
    </w:p>
    <w:p w:rsidR="00270ACE" w:rsidRPr="002F3D1E" w:rsidRDefault="00270ACE" w:rsidP="00270ACE">
      <w:pPr>
        <w:widowControl w:val="0"/>
        <w:tabs>
          <w:tab w:val="left" w:pos="360"/>
        </w:tabs>
        <w:contextualSpacing/>
        <w:jc w:val="both"/>
      </w:pPr>
    </w:p>
    <w:p w:rsidR="00270ACE" w:rsidRPr="002F3D1E" w:rsidRDefault="00270ACE" w:rsidP="00270ACE">
      <w:pPr>
        <w:pStyle w:val="Textoindependiente"/>
        <w:widowControl w:val="0"/>
        <w:spacing w:after="0"/>
        <w:jc w:val="both"/>
        <w:rPr>
          <w:lang w:val="es-PE"/>
        </w:rPr>
      </w:pPr>
      <w:r w:rsidRPr="002F3D1E">
        <w:t xml:space="preserve">Adicionalmente, cabe precisar que, de acuerdo con la normativa,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270ACE" w:rsidRPr="002F3D1E" w:rsidRDefault="00270ACE" w:rsidP="00270ACE">
      <w:pPr>
        <w:pStyle w:val="Textoindependiente"/>
        <w:widowControl w:val="0"/>
        <w:spacing w:after="0"/>
        <w:jc w:val="both"/>
        <w:rPr>
          <w:lang w:val="es-PE"/>
        </w:rPr>
      </w:pPr>
    </w:p>
    <w:p w:rsidR="00270ACE" w:rsidRPr="002F3D1E" w:rsidRDefault="00270ACE" w:rsidP="00270ACE">
      <w:pPr>
        <w:widowControl w:val="0"/>
        <w:jc w:val="both"/>
      </w:pPr>
      <w:r w:rsidRPr="002F3D1E">
        <w:t>De lo anterior se desprende que, al ser el principal objetivo de los factores de evaluación comparar y discriminar propuestas, no puede exigirse al Comité Especial elaborar factores de evaluación cuyo puntaje máximo pueda ser obtenido por la totalidad de los postores, ya que ello desnaturalizaría su función principal.</w:t>
      </w:r>
    </w:p>
    <w:p w:rsidR="00DA5120" w:rsidRPr="002F3D1E" w:rsidRDefault="00DA5120" w:rsidP="00DA5120">
      <w:pPr>
        <w:pStyle w:val="Sinespaciado"/>
        <w:jc w:val="both"/>
        <w:rPr>
          <w:rFonts w:ascii="Times New Roman" w:hAnsi="Times New Roman"/>
          <w:sz w:val="24"/>
          <w:szCs w:val="24"/>
          <w:lang w:val="es-ES"/>
        </w:rPr>
      </w:pPr>
    </w:p>
    <w:p w:rsidR="00DA5120" w:rsidRPr="002F3D1E" w:rsidRDefault="00DA5120" w:rsidP="00B3043B">
      <w:pPr>
        <w:pStyle w:val="Sinespaciado"/>
        <w:jc w:val="both"/>
        <w:rPr>
          <w:rFonts w:ascii="Times New Roman" w:hAnsi="Times New Roman"/>
          <w:sz w:val="24"/>
          <w:szCs w:val="24"/>
        </w:rPr>
      </w:pPr>
      <w:r w:rsidRPr="002F3D1E">
        <w:rPr>
          <w:rFonts w:ascii="Times New Roman" w:hAnsi="Times New Roman"/>
          <w:sz w:val="24"/>
          <w:szCs w:val="24"/>
        </w:rPr>
        <w:t>En ese sentido, considerando que es competencia del Comité Especial determinar los factores de evaluación y que dicho colegiado ha reformulado l</w:t>
      </w:r>
      <w:r w:rsidR="00F86C6A" w:rsidRPr="002F3D1E">
        <w:rPr>
          <w:rFonts w:ascii="Times New Roman" w:hAnsi="Times New Roman"/>
          <w:sz w:val="24"/>
          <w:szCs w:val="24"/>
        </w:rPr>
        <w:t xml:space="preserve">os rangos de puntuación </w:t>
      </w:r>
      <w:r w:rsidRPr="002F3D1E">
        <w:rPr>
          <w:rFonts w:ascii="Times New Roman" w:hAnsi="Times New Roman"/>
          <w:sz w:val="24"/>
          <w:szCs w:val="24"/>
        </w:rPr>
        <w:t>previ</w:t>
      </w:r>
      <w:r w:rsidR="00F86C6A" w:rsidRPr="002F3D1E">
        <w:rPr>
          <w:rFonts w:ascii="Times New Roman" w:hAnsi="Times New Roman"/>
          <w:sz w:val="24"/>
          <w:szCs w:val="24"/>
        </w:rPr>
        <w:t>sto en el factor de evaluación “Plazo de entrega”,</w:t>
      </w:r>
      <w:r w:rsidRPr="002F3D1E">
        <w:rPr>
          <w:rFonts w:ascii="Times New Roman" w:hAnsi="Times New Roman"/>
          <w:sz w:val="24"/>
          <w:szCs w:val="24"/>
        </w:rPr>
        <w:t xml:space="preserve">  teniendo en cuenta alguno de los aspectos cuestionados, este Organismo Supervisor ha decidido </w:t>
      </w:r>
      <w:r w:rsidRPr="002F3D1E">
        <w:rPr>
          <w:rFonts w:ascii="Times New Roman" w:hAnsi="Times New Roman"/>
          <w:b/>
          <w:sz w:val="24"/>
          <w:szCs w:val="24"/>
        </w:rPr>
        <w:t>NO ACOGER</w:t>
      </w:r>
      <w:r w:rsidRPr="002F3D1E">
        <w:rPr>
          <w:rFonts w:ascii="Times New Roman" w:hAnsi="Times New Roman"/>
          <w:sz w:val="24"/>
          <w:szCs w:val="24"/>
        </w:rPr>
        <w:t xml:space="preserve"> la</w:t>
      </w:r>
      <w:r w:rsidR="00F86C6A" w:rsidRPr="002F3D1E">
        <w:rPr>
          <w:rFonts w:ascii="Times New Roman" w:hAnsi="Times New Roman"/>
          <w:sz w:val="24"/>
          <w:szCs w:val="24"/>
        </w:rPr>
        <w:t>s</w:t>
      </w:r>
      <w:r w:rsidRPr="002F3D1E">
        <w:rPr>
          <w:rFonts w:ascii="Times New Roman" w:hAnsi="Times New Roman"/>
          <w:sz w:val="24"/>
          <w:szCs w:val="24"/>
        </w:rPr>
        <w:t xml:space="preserve"> </w:t>
      </w:r>
      <w:r w:rsidR="00F86C6A" w:rsidRPr="002F3D1E">
        <w:rPr>
          <w:rFonts w:ascii="Times New Roman" w:hAnsi="Times New Roman"/>
          <w:sz w:val="24"/>
          <w:szCs w:val="24"/>
        </w:rPr>
        <w:t>Observaciones N° 6 y N° 7</w:t>
      </w:r>
      <w:r w:rsidRPr="002F3D1E">
        <w:rPr>
          <w:rFonts w:ascii="Times New Roman" w:hAnsi="Times New Roman"/>
          <w:sz w:val="24"/>
          <w:szCs w:val="24"/>
        </w:rPr>
        <w:t xml:space="preserve">. </w:t>
      </w:r>
    </w:p>
    <w:p w:rsidR="00B3043B" w:rsidRPr="002F3D1E" w:rsidRDefault="00B3043B" w:rsidP="00B3043B">
      <w:pPr>
        <w:pStyle w:val="Sinespaciado"/>
        <w:jc w:val="both"/>
        <w:rPr>
          <w:rFonts w:ascii="Times New Roman" w:hAnsi="Times New Roman"/>
          <w:sz w:val="24"/>
          <w:szCs w:val="24"/>
        </w:rPr>
      </w:pPr>
    </w:p>
    <w:p w:rsidR="009920D7" w:rsidRPr="002F3D1E" w:rsidRDefault="009920D7" w:rsidP="009920D7">
      <w:pPr>
        <w:widowControl w:val="0"/>
        <w:ind w:left="567" w:hanging="567"/>
        <w:jc w:val="both"/>
        <w:rPr>
          <w:b/>
          <w:lang w:val="es-PE"/>
        </w:rPr>
      </w:pPr>
      <w:r w:rsidRPr="002F3D1E">
        <w:rPr>
          <w:b/>
        </w:rPr>
        <w:t>3.</w:t>
      </w:r>
      <w:r w:rsidRPr="002F3D1E">
        <w:rPr>
          <w:b/>
        </w:rPr>
        <w:tab/>
        <w:t>CONTENIDO</w:t>
      </w:r>
      <w:r w:rsidRPr="002F3D1E">
        <w:rPr>
          <w:b/>
          <w:lang w:val="es-PE"/>
        </w:rPr>
        <w:t xml:space="preserve"> DE LAS BASES CONTRARIO A LA NORMATIVA SOBRE CONTRATACIONES DEL ESTADO </w:t>
      </w:r>
    </w:p>
    <w:p w:rsidR="009920D7" w:rsidRPr="002F3D1E" w:rsidRDefault="009920D7" w:rsidP="009920D7">
      <w:pPr>
        <w:widowControl w:val="0"/>
        <w:tabs>
          <w:tab w:val="left" w:pos="0"/>
        </w:tabs>
        <w:jc w:val="both"/>
        <w:rPr>
          <w:b/>
          <w:highlight w:val="yellow"/>
        </w:rPr>
      </w:pPr>
      <w:r w:rsidRPr="002F3D1E">
        <w:rPr>
          <w:highlight w:val="yellow"/>
        </w:rPr>
        <w:t xml:space="preserve"> </w:t>
      </w:r>
    </w:p>
    <w:p w:rsidR="009920D7" w:rsidRPr="002F3D1E" w:rsidRDefault="009920D7" w:rsidP="009920D7">
      <w:pPr>
        <w:widowControl w:val="0"/>
        <w:tabs>
          <w:tab w:val="left" w:pos="540"/>
        </w:tabs>
        <w:ind w:right="-28"/>
        <w:jc w:val="both"/>
      </w:pPr>
      <w:r w:rsidRPr="002F3D1E">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B3043B" w:rsidRPr="002F3D1E" w:rsidRDefault="00B3043B" w:rsidP="009920D7">
      <w:pPr>
        <w:tabs>
          <w:tab w:val="left" w:pos="0"/>
        </w:tabs>
        <w:autoSpaceDE w:val="0"/>
        <w:autoSpaceDN w:val="0"/>
        <w:adjustRightInd w:val="0"/>
        <w:jc w:val="both"/>
        <w:rPr>
          <w:rFonts w:eastAsia="Calibri"/>
          <w:lang w:eastAsia="es-PE"/>
        </w:rPr>
      </w:pPr>
    </w:p>
    <w:p w:rsidR="00734E18" w:rsidRPr="002F3D1E" w:rsidRDefault="00734E18" w:rsidP="00330B54">
      <w:pPr>
        <w:pStyle w:val="Textoindependiente2"/>
        <w:widowControl w:val="0"/>
        <w:numPr>
          <w:ilvl w:val="1"/>
          <w:numId w:val="7"/>
        </w:numPr>
        <w:tabs>
          <w:tab w:val="num" w:pos="1250"/>
        </w:tabs>
        <w:spacing w:after="0" w:line="240" w:lineRule="auto"/>
        <w:jc w:val="both"/>
        <w:rPr>
          <w:b/>
          <w:snapToGrid w:val="0"/>
        </w:rPr>
      </w:pPr>
      <w:r w:rsidRPr="002F3D1E">
        <w:rPr>
          <w:b/>
          <w:snapToGrid w:val="0"/>
        </w:rPr>
        <w:t>Resumen ejecutivo</w:t>
      </w:r>
    </w:p>
    <w:p w:rsidR="00734E18" w:rsidRPr="002F3D1E" w:rsidRDefault="00734E18" w:rsidP="00734E18">
      <w:pPr>
        <w:pStyle w:val="Textoindependiente2"/>
        <w:widowControl w:val="0"/>
        <w:spacing w:after="0" w:line="240" w:lineRule="auto"/>
        <w:ind w:left="720"/>
        <w:jc w:val="both"/>
        <w:rPr>
          <w:snapToGrid w:val="0"/>
        </w:rPr>
      </w:pPr>
    </w:p>
    <w:p w:rsidR="00734E18" w:rsidRPr="002F3D1E" w:rsidRDefault="00734E18" w:rsidP="00A259EA">
      <w:pPr>
        <w:pStyle w:val="Textoindependiente2"/>
        <w:widowControl w:val="0"/>
        <w:spacing w:after="0" w:line="240" w:lineRule="auto"/>
        <w:jc w:val="both"/>
        <w:rPr>
          <w:snapToGrid w:val="0"/>
        </w:rPr>
      </w:pPr>
      <w:r w:rsidRPr="002F3D1E">
        <w:rPr>
          <w:snapToGrid w:val="0"/>
        </w:rPr>
        <w:t xml:space="preserve">En el numeral 2.4 del Formato de Resumen Ejecutivo, se advierte que la Entidad ha declarado que la contratación del presente proceso se realizará por ítems; sin embargo, de la revisión de las Bases no se aprecia aquello, lo cual resulta incongruente. Por lo que, con ocasión a la integración de las Bases, </w:t>
      </w:r>
      <w:r w:rsidRPr="002F3D1E">
        <w:rPr>
          <w:b/>
          <w:snapToGrid w:val="0"/>
          <w:u w:val="single"/>
        </w:rPr>
        <w:t>deberá corregirse</w:t>
      </w:r>
      <w:r w:rsidRPr="002F3D1E">
        <w:rPr>
          <w:snapToGrid w:val="0"/>
        </w:rPr>
        <w:t xml:space="preserve"> dicha incongruencia. </w:t>
      </w:r>
    </w:p>
    <w:p w:rsidR="00330B54" w:rsidRPr="002F3D1E" w:rsidRDefault="00330B54" w:rsidP="009920D7">
      <w:pPr>
        <w:widowControl w:val="0"/>
        <w:ind w:left="567" w:hanging="567"/>
        <w:jc w:val="both"/>
        <w:rPr>
          <w:rFonts w:eastAsia="Calibri"/>
          <w:b/>
          <w:lang w:val="es-MX" w:eastAsia="es-PE"/>
        </w:rPr>
      </w:pPr>
    </w:p>
    <w:p w:rsidR="00BF4391" w:rsidRPr="00A259EA" w:rsidRDefault="00A259EA" w:rsidP="00A259EA">
      <w:pPr>
        <w:pStyle w:val="Textoindependiente2"/>
        <w:widowControl w:val="0"/>
        <w:numPr>
          <w:ilvl w:val="1"/>
          <w:numId w:val="7"/>
        </w:numPr>
        <w:tabs>
          <w:tab w:val="num" w:pos="1250"/>
        </w:tabs>
        <w:spacing w:after="0" w:line="240" w:lineRule="auto"/>
        <w:jc w:val="both"/>
        <w:rPr>
          <w:b/>
          <w:snapToGrid w:val="0"/>
        </w:rPr>
      </w:pPr>
      <w:r w:rsidRPr="00A259EA">
        <w:rPr>
          <w:b/>
          <w:lang w:val="es-PE"/>
        </w:rPr>
        <w:t>Documentación facultativa de la propuesta técnica</w:t>
      </w:r>
    </w:p>
    <w:p w:rsidR="00A259EA" w:rsidRDefault="00A259EA" w:rsidP="00A259EA">
      <w:pPr>
        <w:pStyle w:val="Prrafodelista"/>
        <w:widowControl w:val="0"/>
        <w:ind w:left="720"/>
        <w:contextualSpacing/>
        <w:jc w:val="both"/>
        <w:rPr>
          <w:sz w:val="24"/>
          <w:szCs w:val="24"/>
          <w:lang w:val="es-PE"/>
        </w:rPr>
      </w:pPr>
    </w:p>
    <w:p w:rsidR="00A259EA" w:rsidRPr="00A259EA" w:rsidRDefault="00A259EA" w:rsidP="005A563B">
      <w:pPr>
        <w:widowControl w:val="0"/>
        <w:numPr>
          <w:ilvl w:val="0"/>
          <w:numId w:val="15"/>
        </w:numPr>
        <w:tabs>
          <w:tab w:val="left" w:pos="284"/>
        </w:tabs>
        <w:ind w:right="-1"/>
        <w:contextualSpacing/>
        <w:jc w:val="both"/>
      </w:pPr>
      <w:r w:rsidRPr="00A259EA">
        <w:rPr>
          <w:b/>
          <w:snapToGrid w:val="0"/>
          <w:u w:val="single"/>
        </w:rPr>
        <w:t>Deberá adecuarse</w:t>
      </w:r>
      <w:r w:rsidRPr="00A259EA">
        <w:rPr>
          <w:snapToGrid w:val="0"/>
        </w:rPr>
        <w:t xml:space="preserve"> la forma de acreditar los factores de evaluación “</w:t>
      </w:r>
      <w:r w:rsidR="005C4E2C" w:rsidRPr="00A259EA">
        <w:rPr>
          <w:snapToGrid w:val="0"/>
        </w:rPr>
        <w:t>E</w:t>
      </w:r>
      <w:r w:rsidR="005C4E2C">
        <w:rPr>
          <w:snapToGrid w:val="0"/>
        </w:rPr>
        <w:t>x</w:t>
      </w:r>
      <w:r w:rsidR="005C4E2C" w:rsidRPr="00A259EA">
        <w:rPr>
          <w:snapToGrid w:val="0"/>
        </w:rPr>
        <w:t>periencia</w:t>
      </w:r>
      <w:r w:rsidRPr="00A259EA">
        <w:rPr>
          <w:snapToGrid w:val="0"/>
        </w:rPr>
        <w:t xml:space="preserve"> </w:t>
      </w:r>
      <w:r w:rsidRPr="00A259EA">
        <w:rPr>
          <w:snapToGrid w:val="0"/>
        </w:rPr>
        <w:lastRenderedPageBreak/>
        <w:t xml:space="preserve">del postor” y “Cumplimiento de la prestación”, de acuerdo con la forma de acreditación señalada en el Capítulo IV (Criterios de Evaluación Técnica) de la Sección Específica de la Bases. </w:t>
      </w:r>
    </w:p>
    <w:p w:rsidR="00A259EA" w:rsidRPr="00A259EA" w:rsidRDefault="00A259EA" w:rsidP="00A259EA">
      <w:pPr>
        <w:widowControl w:val="0"/>
        <w:tabs>
          <w:tab w:val="left" w:pos="284"/>
        </w:tabs>
        <w:ind w:left="720" w:right="-1"/>
        <w:contextualSpacing/>
        <w:jc w:val="both"/>
      </w:pPr>
    </w:p>
    <w:p w:rsidR="00A259EA" w:rsidRDefault="00A259EA" w:rsidP="00A259EA">
      <w:pPr>
        <w:widowControl w:val="0"/>
        <w:numPr>
          <w:ilvl w:val="0"/>
          <w:numId w:val="15"/>
        </w:numPr>
        <w:jc w:val="both"/>
      </w:pPr>
      <w:r>
        <w:rPr>
          <w:b/>
          <w:u w:val="single"/>
        </w:rPr>
        <w:t>Deberá incluirse</w:t>
      </w:r>
      <w:r>
        <w:t xml:space="preserve"> dentro de la relación de documentos de presentación facultativa la forma de acreditación del factor de evaluación “Mejoras a las características técnicas de los bienes y a las condiciones previstas”, de acuerdo a lo señalado en el Capítulo IV de la Sección Específica de las Bases.</w:t>
      </w:r>
    </w:p>
    <w:p w:rsidR="00A259EA" w:rsidRDefault="00A259EA" w:rsidP="00A259EA">
      <w:pPr>
        <w:widowControl w:val="0"/>
        <w:tabs>
          <w:tab w:val="left" w:pos="284"/>
        </w:tabs>
        <w:ind w:left="720" w:right="-1"/>
        <w:contextualSpacing/>
        <w:jc w:val="both"/>
      </w:pPr>
    </w:p>
    <w:p w:rsidR="0081572A" w:rsidRPr="0081572A" w:rsidRDefault="0081572A" w:rsidP="0081572A">
      <w:pPr>
        <w:pStyle w:val="Textoindependiente2"/>
        <w:widowControl w:val="0"/>
        <w:numPr>
          <w:ilvl w:val="1"/>
          <w:numId w:val="7"/>
        </w:numPr>
        <w:tabs>
          <w:tab w:val="num" w:pos="1250"/>
        </w:tabs>
        <w:spacing w:after="0" w:line="240" w:lineRule="auto"/>
        <w:jc w:val="both"/>
        <w:rPr>
          <w:b/>
          <w:snapToGrid w:val="0"/>
        </w:rPr>
      </w:pPr>
      <w:r w:rsidRPr="0081572A">
        <w:rPr>
          <w:b/>
          <w:snapToGrid w:val="0"/>
          <w:lang w:val="es-PE"/>
        </w:rPr>
        <w:t xml:space="preserve">Factor de Evaluación </w:t>
      </w:r>
    </w:p>
    <w:p w:rsidR="0081572A" w:rsidRDefault="0081572A" w:rsidP="0081572A">
      <w:pPr>
        <w:pStyle w:val="Textoindependiente2"/>
        <w:widowControl w:val="0"/>
        <w:tabs>
          <w:tab w:val="num" w:pos="1250"/>
        </w:tabs>
        <w:spacing w:after="0" w:line="240" w:lineRule="auto"/>
        <w:ind w:left="540"/>
        <w:jc w:val="both"/>
        <w:rPr>
          <w:b/>
          <w:snapToGrid w:val="0"/>
          <w:lang w:val="es-PE"/>
        </w:rPr>
      </w:pPr>
    </w:p>
    <w:p w:rsidR="0081572A" w:rsidRDefault="0081572A" w:rsidP="0081572A">
      <w:pPr>
        <w:pStyle w:val="Textoindependiente2"/>
        <w:widowControl w:val="0"/>
        <w:tabs>
          <w:tab w:val="num" w:pos="1250"/>
        </w:tabs>
        <w:spacing w:after="0" w:line="240" w:lineRule="auto"/>
        <w:jc w:val="both"/>
        <w:rPr>
          <w:snapToGrid w:val="0"/>
        </w:rPr>
      </w:pPr>
      <w:r>
        <w:rPr>
          <w:snapToGrid w:val="0"/>
        </w:rPr>
        <w:t xml:space="preserve">En el </w:t>
      </w:r>
      <w:r>
        <w:rPr>
          <w:snapToGrid w:val="0"/>
          <w:lang w:val="es-PE"/>
        </w:rPr>
        <w:t xml:space="preserve">factor de evaluación </w:t>
      </w:r>
      <w:r>
        <w:rPr>
          <w:snapToGrid w:val="0"/>
        </w:rPr>
        <w:t>“Mejoras a las características técnicas de los bienes y a las condiciones previstas” de</w:t>
      </w:r>
      <w:r>
        <w:rPr>
          <w:snapToGrid w:val="0"/>
          <w:lang w:val="es-PE"/>
        </w:rPr>
        <w:t>l Capítulo IV de la Sección Específica de las Bases</w:t>
      </w:r>
      <w:r>
        <w:rPr>
          <w:snapToGrid w:val="0"/>
        </w:rPr>
        <w:t>, se advierte lo siguiente:</w:t>
      </w:r>
    </w:p>
    <w:p w:rsidR="0081572A" w:rsidRPr="0081572A" w:rsidRDefault="0081572A" w:rsidP="0081572A">
      <w:pPr>
        <w:pStyle w:val="Textoindependiente2"/>
        <w:widowControl w:val="0"/>
        <w:tabs>
          <w:tab w:val="num" w:pos="1250"/>
        </w:tabs>
        <w:spacing w:after="0" w:line="240" w:lineRule="auto"/>
        <w:ind w:left="708"/>
        <w:jc w:val="both"/>
        <w:rPr>
          <w:snapToGrid w:val="0"/>
        </w:rPr>
      </w:pPr>
    </w:p>
    <w:p w:rsidR="0081572A" w:rsidRDefault="0081572A" w:rsidP="0081572A">
      <w:pPr>
        <w:pStyle w:val="Textoindependiente2"/>
        <w:widowControl w:val="0"/>
        <w:tabs>
          <w:tab w:val="num" w:pos="1250"/>
        </w:tabs>
        <w:spacing w:after="0" w:line="240" w:lineRule="auto"/>
        <w:ind w:left="708"/>
        <w:jc w:val="both"/>
        <w:rPr>
          <w:i/>
          <w:snapToGrid w:val="0"/>
        </w:rPr>
      </w:pPr>
      <w:r>
        <w:rPr>
          <w:i/>
          <w:snapToGrid w:val="0"/>
        </w:rPr>
        <w:t>“Mejora 1</w:t>
      </w:r>
    </w:p>
    <w:p w:rsidR="0081572A" w:rsidRDefault="0081572A" w:rsidP="0081572A">
      <w:pPr>
        <w:pStyle w:val="Textoindependiente2"/>
        <w:widowControl w:val="0"/>
        <w:tabs>
          <w:tab w:val="num" w:pos="1250"/>
        </w:tabs>
        <w:spacing w:after="0" w:line="240" w:lineRule="auto"/>
        <w:ind w:left="708"/>
        <w:jc w:val="both"/>
        <w:rPr>
          <w:i/>
          <w:snapToGrid w:val="0"/>
        </w:rPr>
      </w:pPr>
    </w:p>
    <w:p w:rsidR="0081572A" w:rsidRDefault="0081572A" w:rsidP="0081572A">
      <w:pPr>
        <w:pStyle w:val="Textoindependiente2"/>
        <w:widowControl w:val="0"/>
        <w:tabs>
          <w:tab w:val="num" w:pos="1250"/>
        </w:tabs>
        <w:spacing w:after="0" w:line="240" w:lineRule="auto"/>
        <w:ind w:left="708"/>
        <w:jc w:val="both"/>
        <w:rPr>
          <w:i/>
          <w:snapToGrid w:val="0"/>
        </w:rPr>
      </w:pPr>
      <w:r>
        <w:rPr>
          <w:i/>
          <w:snapToGrid w:val="0"/>
        </w:rPr>
        <w:t>Criterio</w:t>
      </w:r>
    </w:p>
    <w:p w:rsidR="0081572A" w:rsidRDefault="0081572A" w:rsidP="0081572A">
      <w:pPr>
        <w:pStyle w:val="Textoindependiente2"/>
        <w:widowControl w:val="0"/>
        <w:tabs>
          <w:tab w:val="num" w:pos="1250"/>
        </w:tabs>
        <w:spacing w:after="0" w:line="240" w:lineRule="auto"/>
        <w:ind w:left="708"/>
        <w:jc w:val="both"/>
        <w:rPr>
          <w:i/>
          <w:snapToGrid w:val="0"/>
        </w:rPr>
      </w:pPr>
      <w:r>
        <w:rPr>
          <w:i/>
          <w:snapToGrid w:val="0"/>
        </w:rPr>
        <w:t>Certificado de calidad ISO 13485:2003</w:t>
      </w:r>
    </w:p>
    <w:p w:rsidR="0081572A" w:rsidRDefault="0081572A" w:rsidP="0081572A">
      <w:pPr>
        <w:pStyle w:val="Textoindependiente2"/>
        <w:widowControl w:val="0"/>
        <w:tabs>
          <w:tab w:val="num" w:pos="1250"/>
        </w:tabs>
        <w:spacing w:after="0" w:line="240" w:lineRule="auto"/>
        <w:ind w:left="708"/>
        <w:jc w:val="both"/>
        <w:rPr>
          <w:i/>
          <w:snapToGrid w:val="0"/>
          <w:lang w:val="es-PE"/>
        </w:rPr>
      </w:pPr>
    </w:p>
    <w:p w:rsidR="0081572A" w:rsidRDefault="0081572A" w:rsidP="0081572A">
      <w:pPr>
        <w:pStyle w:val="Textoindependiente2"/>
        <w:widowControl w:val="0"/>
        <w:tabs>
          <w:tab w:val="num" w:pos="1250"/>
        </w:tabs>
        <w:spacing w:after="0" w:line="240" w:lineRule="auto"/>
        <w:ind w:left="708"/>
        <w:jc w:val="both"/>
        <w:rPr>
          <w:i/>
          <w:snapToGrid w:val="0"/>
          <w:lang w:val="es-PE"/>
        </w:rPr>
      </w:pPr>
      <w:r>
        <w:rPr>
          <w:i/>
          <w:snapToGrid w:val="0"/>
          <w:lang w:val="es-PE"/>
        </w:rPr>
        <w:t>Acreditación:</w:t>
      </w:r>
    </w:p>
    <w:p w:rsidR="0081572A" w:rsidRDefault="0081572A" w:rsidP="0081572A">
      <w:pPr>
        <w:pStyle w:val="Textoindependiente2"/>
        <w:widowControl w:val="0"/>
        <w:tabs>
          <w:tab w:val="num" w:pos="1250"/>
        </w:tabs>
        <w:spacing w:after="0" w:line="240" w:lineRule="auto"/>
        <w:ind w:left="708"/>
        <w:jc w:val="both"/>
        <w:rPr>
          <w:i/>
          <w:snapToGrid w:val="0"/>
          <w:lang w:val="es-PE"/>
        </w:rPr>
      </w:pPr>
      <w:r>
        <w:rPr>
          <w:i/>
          <w:snapToGrid w:val="0"/>
          <w:lang w:val="es-PE"/>
        </w:rPr>
        <w:t>Se acreditará mediante la presentación de copia simple de los documentos solicitados en las mejoras”</w:t>
      </w:r>
    </w:p>
    <w:p w:rsidR="0081572A" w:rsidRDefault="0081572A" w:rsidP="0081572A">
      <w:pPr>
        <w:pStyle w:val="Textoindependiente2"/>
        <w:widowControl w:val="0"/>
        <w:tabs>
          <w:tab w:val="num" w:pos="1250"/>
        </w:tabs>
        <w:spacing w:after="0" w:line="240" w:lineRule="auto"/>
        <w:jc w:val="both"/>
        <w:rPr>
          <w:snapToGrid w:val="0"/>
        </w:rPr>
      </w:pPr>
    </w:p>
    <w:p w:rsidR="0081572A" w:rsidRDefault="0081572A" w:rsidP="0081572A">
      <w:pPr>
        <w:pStyle w:val="Textoindependiente2"/>
        <w:widowControl w:val="0"/>
        <w:tabs>
          <w:tab w:val="num" w:pos="1250"/>
        </w:tabs>
        <w:spacing w:after="0" w:line="240" w:lineRule="auto"/>
        <w:jc w:val="both"/>
        <w:rPr>
          <w:snapToGrid w:val="0"/>
          <w:lang w:val="es-PE"/>
        </w:rPr>
      </w:pPr>
      <w:r>
        <w:rPr>
          <w:snapToGrid w:val="0"/>
        </w:rPr>
        <w:t xml:space="preserve">Al respecto, en la medida que no se ha establecido qué aspectos o alcances será objeto de evaluación en el factor de evaluación “Mejoras a las características técnicas de los bienes y a las condiciones previstas”, con ocasión de la integración de las Bases, </w:t>
      </w:r>
      <w:r>
        <w:rPr>
          <w:b/>
          <w:snapToGrid w:val="0"/>
          <w:u w:val="single"/>
        </w:rPr>
        <w:t>deberá precisarse</w:t>
      </w:r>
      <w:r>
        <w:rPr>
          <w:snapToGrid w:val="0"/>
        </w:rPr>
        <w:t xml:space="preserve"> en el literal correspondiente de la documentación de presentación facultativa y en el referido factor de evaluación del Capítulo IV de la Sección Específica de las Bases, qué aspectos y/o alcances y/o procesos deben encontrarse certificados para obtener el puntaje previsto</w:t>
      </w:r>
      <w:r>
        <w:rPr>
          <w:snapToGrid w:val="0"/>
          <w:lang w:val="es-PE"/>
        </w:rPr>
        <w:t>.</w:t>
      </w:r>
    </w:p>
    <w:p w:rsidR="0081572A" w:rsidRDefault="0081572A" w:rsidP="0081572A">
      <w:pPr>
        <w:pStyle w:val="Textoindependiente2"/>
        <w:widowControl w:val="0"/>
        <w:tabs>
          <w:tab w:val="num" w:pos="1250"/>
        </w:tabs>
        <w:spacing w:after="0" w:line="240" w:lineRule="auto"/>
        <w:ind w:left="540"/>
        <w:jc w:val="both"/>
        <w:rPr>
          <w:snapToGrid w:val="0"/>
          <w:lang w:val="es-PE"/>
        </w:rPr>
      </w:pPr>
    </w:p>
    <w:p w:rsidR="009920D7" w:rsidRPr="002F3D1E" w:rsidRDefault="009920D7" w:rsidP="009920D7">
      <w:pPr>
        <w:widowControl w:val="0"/>
        <w:ind w:left="567" w:hanging="567"/>
        <w:jc w:val="both"/>
        <w:rPr>
          <w:rFonts w:eastAsia="Calibri"/>
          <w:b/>
          <w:bCs/>
          <w:lang w:val="es-PE" w:eastAsia="es-PE"/>
        </w:rPr>
      </w:pPr>
      <w:r w:rsidRPr="002F3D1E">
        <w:rPr>
          <w:rFonts w:eastAsia="Calibri"/>
          <w:b/>
          <w:bCs/>
          <w:lang w:val="es-PE" w:eastAsia="es-PE"/>
        </w:rPr>
        <w:t xml:space="preserve">4. </w:t>
      </w:r>
      <w:r w:rsidRPr="002F3D1E">
        <w:rPr>
          <w:rFonts w:eastAsia="Calibri"/>
          <w:b/>
          <w:bCs/>
          <w:lang w:val="es-PE" w:eastAsia="es-PE"/>
        </w:rPr>
        <w:tab/>
        <w:t>CONCLUSIONES</w:t>
      </w:r>
    </w:p>
    <w:p w:rsidR="009920D7" w:rsidRPr="002F3D1E" w:rsidRDefault="009920D7" w:rsidP="009920D7">
      <w:pPr>
        <w:autoSpaceDE w:val="0"/>
        <w:autoSpaceDN w:val="0"/>
        <w:adjustRightInd w:val="0"/>
        <w:ind w:left="567" w:hanging="567"/>
        <w:rPr>
          <w:rFonts w:eastAsia="Calibri"/>
          <w:b/>
          <w:bCs/>
          <w:lang w:val="es-PE" w:eastAsia="es-PE"/>
        </w:rPr>
      </w:pPr>
    </w:p>
    <w:p w:rsidR="009920D7" w:rsidRPr="002F3D1E" w:rsidRDefault="009920D7" w:rsidP="009920D7">
      <w:pPr>
        <w:widowControl w:val="0"/>
        <w:numPr>
          <w:ilvl w:val="1"/>
          <w:numId w:val="2"/>
        </w:numPr>
        <w:ind w:left="567" w:hanging="567"/>
        <w:jc w:val="both"/>
        <w:rPr>
          <w:lang w:val="es-MX" w:eastAsia="es-MX"/>
        </w:rPr>
      </w:pPr>
      <w:r w:rsidRPr="002F3D1E">
        <w:rPr>
          <w:snapToGrid w:val="0"/>
          <w:lang w:eastAsia="es-MX"/>
        </w:rPr>
        <w:t xml:space="preserve">El </w:t>
      </w:r>
      <w:r w:rsidRPr="002F3D1E">
        <w:t>Comité Especial deberá cumplir con lo dispuesto por este Organismo Supervisor al absolver las observaciones indicadas en el numeral 2 del presente Pronunciamiento.</w:t>
      </w:r>
    </w:p>
    <w:p w:rsidR="009920D7" w:rsidRPr="002F3D1E" w:rsidRDefault="009920D7" w:rsidP="009920D7">
      <w:pPr>
        <w:widowControl w:val="0"/>
        <w:ind w:left="567"/>
        <w:jc w:val="both"/>
        <w:rPr>
          <w:lang w:val="es-MX" w:eastAsia="es-MX"/>
        </w:rPr>
      </w:pPr>
    </w:p>
    <w:p w:rsidR="009920D7" w:rsidRPr="002F3D1E" w:rsidRDefault="009920D7" w:rsidP="009920D7">
      <w:pPr>
        <w:widowControl w:val="0"/>
        <w:numPr>
          <w:ilvl w:val="1"/>
          <w:numId w:val="2"/>
        </w:numPr>
        <w:ind w:left="567" w:hanging="567"/>
        <w:jc w:val="both"/>
        <w:rPr>
          <w:lang w:val="es-MX" w:eastAsia="es-MX"/>
        </w:rPr>
      </w:pPr>
      <w:r w:rsidRPr="002F3D1E">
        <w:rPr>
          <w:iCs/>
        </w:rPr>
        <w:t>El Comité Especial deberá tener en cuenta lo indicado en el numeral 3 del presente Pronunciamiento a fin de efectuar las modificaciones a las Bases que hubiere a lugar, así como registrar en el SEACE la documentación solicitada.</w:t>
      </w:r>
    </w:p>
    <w:p w:rsidR="009920D7" w:rsidRPr="002F3D1E" w:rsidRDefault="009920D7" w:rsidP="009920D7">
      <w:pPr>
        <w:widowControl w:val="0"/>
        <w:ind w:left="567"/>
        <w:jc w:val="both"/>
        <w:rPr>
          <w:lang w:val="es-MX" w:eastAsia="es-MX"/>
        </w:rPr>
      </w:pPr>
    </w:p>
    <w:p w:rsidR="0081572A" w:rsidRDefault="009920D7" w:rsidP="0081572A">
      <w:pPr>
        <w:widowControl w:val="0"/>
        <w:numPr>
          <w:ilvl w:val="1"/>
          <w:numId w:val="2"/>
        </w:numPr>
        <w:ind w:left="567" w:hanging="567"/>
        <w:jc w:val="both"/>
        <w:rPr>
          <w:lang w:val="es-MX" w:eastAsia="es-MX"/>
        </w:rPr>
      </w:pPr>
      <w:r w:rsidRPr="002F3D1E">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81572A" w:rsidRDefault="0081572A" w:rsidP="0081572A">
      <w:pPr>
        <w:pStyle w:val="Prrafodelista"/>
        <w:rPr>
          <w:lang w:val="es-MX" w:eastAsia="es-MX"/>
        </w:rPr>
      </w:pPr>
    </w:p>
    <w:p w:rsidR="002F3D1E" w:rsidRPr="0081572A" w:rsidRDefault="002F3D1E" w:rsidP="0081572A">
      <w:pPr>
        <w:widowControl w:val="0"/>
        <w:numPr>
          <w:ilvl w:val="1"/>
          <w:numId w:val="2"/>
        </w:numPr>
        <w:ind w:left="567" w:hanging="567"/>
        <w:jc w:val="both"/>
        <w:rPr>
          <w:lang w:val="es-MX" w:eastAsia="es-MX"/>
        </w:rPr>
      </w:pPr>
      <w:r w:rsidRPr="0081572A">
        <w:rPr>
          <w:lang w:val="es-MX" w:eastAsia="es-MX"/>
        </w:rPr>
        <w:t xml:space="preserve">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w:t>
      </w:r>
      <w:proofErr w:type="spellStart"/>
      <w:r w:rsidRPr="0081572A">
        <w:rPr>
          <w:lang w:val="es-MX" w:eastAsia="es-MX"/>
        </w:rPr>
        <w:t>SEACE</w:t>
      </w:r>
      <w:proofErr w:type="spellEnd"/>
      <w:r w:rsidRPr="00EE67E6">
        <w:rPr>
          <w:rStyle w:val="Refdenotaalpie"/>
          <w:lang w:val="es-MX" w:eastAsia="es-MX"/>
        </w:rPr>
        <w:footnoteReference w:id="2"/>
      </w:r>
      <w:r w:rsidRPr="0081572A">
        <w:rPr>
          <w:lang w:val="es-MX" w:eastAsia="es-MX"/>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w:t>
      </w:r>
      <w:proofErr w:type="spellStart"/>
      <w:r w:rsidRPr="0081572A">
        <w:rPr>
          <w:lang w:val="es-MX" w:eastAsia="es-MX"/>
        </w:rPr>
        <w:t>SEACE</w:t>
      </w:r>
      <w:proofErr w:type="spellEnd"/>
      <w:r w:rsidRPr="0081572A">
        <w:rPr>
          <w:lang w:val="es-MX" w:eastAsia="es-MX"/>
        </w:rPr>
        <w:t>.</w:t>
      </w:r>
    </w:p>
    <w:p w:rsidR="009920D7" w:rsidRPr="002F3D1E" w:rsidRDefault="009920D7" w:rsidP="009920D7">
      <w:pPr>
        <w:pStyle w:val="Prrafodelista"/>
        <w:rPr>
          <w:sz w:val="24"/>
          <w:szCs w:val="24"/>
          <w:lang w:val="es-MX" w:eastAsia="es-MX"/>
        </w:rPr>
      </w:pPr>
    </w:p>
    <w:p w:rsidR="009920D7" w:rsidRPr="002F3D1E" w:rsidRDefault="009920D7" w:rsidP="009920D7">
      <w:pPr>
        <w:widowControl w:val="0"/>
        <w:numPr>
          <w:ilvl w:val="1"/>
          <w:numId w:val="2"/>
        </w:numPr>
        <w:ind w:left="567" w:hanging="567"/>
        <w:jc w:val="both"/>
        <w:rPr>
          <w:lang w:val="es-MX" w:eastAsia="es-MX"/>
        </w:rPr>
      </w:pPr>
      <w:r w:rsidRPr="002F3D1E">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9920D7" w:rsidRPr="002F3D1E" w:rsidRDefault="009920D7" w:rsidP="009920D7">
      <w:pPr>
        <w:widowControl w:val="0"/>
        <w:ind w:left="567"/>
        <w:jc w:val="both"/>
        <w:rPr>
          <w:lang w:val="es-MX" w:eastAsia="es-MX"/>
        </w:rPr>
      </w:pPr>
    </w:p>
    <w:p w:rsidR="009920D7" w:rsidRPr="002F3D1E" w:rsidRDefault="009920D7" w:rsidP="009920D7">
      <w:pPr>
        <w:widowControl w:val="0"/>
        <w:numPr>
          <w:ilvl w:val="1"/>
          <w:numId w:val="2"/>
        </w:numPr>
        <w:ind w:left="567" w:hanging="567"/>
        <w:jc w:val="both"/>
        <w:rPr>
          <w:iCs/>
        </w:rPr>
      </w:pPr>
      <w:r w:rsidRPr="002F3D1E">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9920D7" w:rsidRPr="002F3D1E" w:rsidRDefault="009920D7" w:rsidP="009920D7">
      <w:pPr>
        <w:pStyle w:val="Prrafodelista"/>
        <w:rPr>
          <w:iCs/>
          <w:sz w:val="24"/>
          <w:szCs w:val="24"/>
        </w:rPr>
      </w:pPr>
    </w:p>
    <w:p w:rsidR="009920D7" w:rsidRPr="002F3D1E" w:rsidRDefault="009920D7" w:rsidP="009920D7">
      <w:pPr>
        <w:widowControl w:val="0"/>
        <w:numPr>
          <w:ilvl w:val="1"/>
          <w:numId w:val="2"/>
        </w:numPr>
        <w:ind w:left="567" w:hanging="567"/>
        <w:jc w:val="both"/>
        <w:rPr>
          <w:iCs/>
        </w:rPr>
      </w:pPr>
      <w:r w:rsidRPr="002F3D1E">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9920D7" w:rsidRPr="002F3D1E" w:rsidRDefault="009920D7" w:rsidP="009920D7">
      <w:pPr>
        <w:widowControl w:val="0"/>
        <w:contextualSpacing/>
        <w:jc w:val="both"/>
        <w:rPr>
          <w:lang w:val="es-PE"/>
        </w:rPr>
      </w:pPr>
      <w:r w:rsidRPr="002F3D1E">
        <w:rPr>
          <w:rFonts w:eastAsia="Calibri"/>
          <w:lang w:val="es-PE" w:eastAsia="es-PE"/>
        </w:rPr>
        <w:t xml:space="preserve">      </w:t>
      </w:r>
    </w:p>
    <w:p w:rsidR="009920D7" w:rsidRPr="002F3D1E" w:rsidRDefault="009920D7" w:rsidP="009920D7">
      <w:pPr>
        <w:widowControl w:val="0"/>
        <w:ind w:left="3545" w:firstLine="709"/>
        <w:jc w:val="right"/>
        <w:rPr>
          <w:lang w:val="es-PE"/>
        </w:rPr>
      </w:pPr>
      <w:r w:rsidRPr="002F3D1E">
        <w:rPr>
          <w:lang w:val="es-PE"/>
        </w:rPr>
        <w:t xml:space="preserve">Jesús María, </w:t>
      </w:r>
      <w:r w:rsidR="00026DD3">
        <w:rPr>
          <w:lang w:val="es-PE"/>
        </w:rPr>
        <w:t>30</w:t>
      </w:r>
      <w:r w:rsidR="00A07C43" w:rsidRPr="002F3D1E">
        <w:rPr>
          <w:lang w:val="es-PE"/>
        </w:rPr>
        <w:t xml:space="preserve"> de </w:t>
      </w:r>
      <w:r w:rsidR="002F3D1E">
        <w:rPr>
          <w:lang w:val="es-PE"/>
        </w:rPr>
        <w:t>diciembre</w:t>
      </w:r>
      <w:r w:rsidRPr="002F3D1E">
        <w:rPr>
          <w:lang w:val="es-PE"/>
        </w:rPr>
        <w:t xml:space="preserve"> de 2015.</w:t>
      </w:r>
    </w:p>
    <w:p w:rsidR="009920D7" w:rsidRPr="002F3D1E" w:rsidRDefault="009920D7" w:rsidP="009920D7">
      <w:pPr>
        <w:widowControl w:val="0"/>
        <w:rPr>
          <w:rFonts w:eastAsia="MS Mincho"/>
          <w:b/>
          <w:bCs/>
          <w:lang w:val="es-PE" w:eastAsia="es-PE"/>
        </w:rPr>
      </w:pPr>
    </w:p>
    <w:p w:rsidR="002F3D1E" w:rsidRDefault="009920D7" w:rsidP="002F3D1E">
      <w:pPr>
        <w:autoSpaceDE w:val="0"/>
        <w:autoSpaceDN w:val="0"/>
        <w:adjustRightInd w:val="0"/>
        <w:rPr>
          <w:iCs/>
        </w:rPr>
      </w:pPr>
      <w:r w:rsidRPr="002F3D1E">
        <w:rPr>
          <w:iCs/>
        </w:rPr>
        <w:t xml:space="preserve">Elaborado:       </w:t>
      </w:r>
      <w:r w:rsidR="00BF4391" w:rsidRPr="002F3D1E">
        <w:rPr>
          <w:iCs/>
        </w:rPr>
        <w:t>Franklin Garay Morales</w:t>
      </w:r>
    </w:p>
    <w:p w:rsidR="002F3D1E" w:rsidRDefault="009920D7" w:rsidP="002F3D1E">
      <w:pPr>
        <w:autoSpaceDE w:val="0"/>
        <w:autoSpaceDN w:val="0"/>
        <w:adjustRightInd w:val="0"/>
        <w:rPr>
          <w:iCs/>
        </w:rPr>
      </w:pPr>
      <w:r w:rsidRPr="002F3D1E">
        <w:rPr>
          <w:iCs/>
        </w:rPr>
        <w:t xml:space="preserve">Supervisado:    </w:t>
      </w:r>
      <w:proofErr w:type="spellStart"/>
      <w:r w:rsidRPr="002F3D1E">
        <w:rPr>
          <w:iCs/>
        </w:rPr>
        <w:t>Elissa</w:t>
      </w:r>
      <w:proofErr w:type="spellEnd"/>
      <w:r w:rsidRPr="002F3D1E">
        <w:rPr>
          <w:iCs/>
        </w:rPr>
        <w:t xml:space="preserve"> </w:t>
      </w:r>
      <w:proofErr w:type="spellStart"/>
      <w:r w:rsidRPr="002F3D1E">
        <w:rPr>
          <w:iCs/>
        </w:rPr>
        <w:t>Lacca</w:t>
      </w:r>
      <w:proofErr w:type="spellEnd"/>
      <w:r w:rsidRPr="002F3D1E">
        <w:rPr>
          <w:iCs/>
        </w:rPr>
        <w:t xml:space="preserve"> Velasco</w:t>
      </w:r>
    </w:p>
    <w:p w:rsidR="009920D7" w:rsidRPr="002F3D1E" w:rsidRDefault="009920D7" w:rsidP="002F3D1E">
      <w:pPr>
        <w:autoSpaceDE w:val="0"/>
        <w:autoSpaceDN w:val="0"/>
        <w:adjustRightInd w:val="0"/>
        <w:rPr>
          <w:iCs/>
        </w:rPr>
      </w:pPr>
      <w:r w:rsidRPr="002F3D1E">
        <w:rPr>
          <w:iCs/>
        </w:rPr>
        <w:t>Validad</w:t>
      </w:r>
      <w:r w:rsidR="00BF4391" w:rsidRPr="002F3D1E">
        <w:rPr>
          <w:iCs/>
        </w:rPr>
        <w:t xml:space="preserve">o:         Laura </w:t>
      </w:r>
      <w:proofErr w:type="spellStart"/>
      <w:r w:rsidR="00BF4391" w:rsidRPr="002F3D1E">
        <w:rPr>
          <w:iCs/>
        </w:rPr>
        <w:t>Gutie</w:t>
      </w:r>
      <w:r w:rsidR="00A273DA" w:rsidRPr="002F3D1E">
        <w:rPr>
          <w:iCs/>
        </w:rPr>
        <w:t>rrez</w:t>
      </w:r>
      <w:proofErr w:type="spellEnd"/>
      <w:r w:rsidR="00A273DA" w:rsidRPr="002F3D1E">
        <w:rPr>
          <w:iCs/>
        </w:rPr>
        <w:t xml:space="preserve"> Gonza</w:t>
      </w:r>
      <w:r w:rsidRPr="002F3D1E">
        <w:rPr>
          <w:iCs/>
        </w:rPr>
        <w:t>les</w:t>
      </w:r>
    </w:p>
    <w:p w:rsidR="00BF4391" w:rsidRPr="002F3D1E" w:rsidRDefault="00BF4391" w:rsidP="009920D7">
      <w:pPr>
        <w:autoSpaceDE w:val="0"/>
        <w:autoSpaceDN w:val="0"/>
        <w:adjustRightInd w:val="0"/>
        <w:rPr>
          <w:rFonts w:eastAsiaTheme="minorHAnsi"/>
          <w:noProof/>
          <w:color w:val="000000"/>
          <w:lang w:eastAsia="es-PE"/>
        </w:rPr>
      </w:pPr>
    </w:p>
    <w:p w:rsidR="009920D7" w:rsidRPr="002F3D1E" w:rsidRDefault="009920D7" w:rsidP="009920D7">
      <w:pPr>
        <w:autoSpaceDE w:val="0"/>
        <w:autoSpaceDN w:val="0"/>
        <w:adjustRightInd w:val="0"/>
        <w:rPr>
          <w:rFonts w:eastAsiaTheme="minorHAnsi"/>
          <w:color w:val="000000"/>
          <w:lang w:val="es-PE" w:eastAsia="en-US"/>
        </w:rPr>
      </w:pPr>
      <w:r w:rsidRPr="002F3D1E">
        <w:rPr>
          <w:rFonts w:eastAsiaTheme="minorHAnsi"/>
          <w:noProof/>
          <w:color w:val="000000"/>
          <w:lang w:val="es-PE" w:eastAsia="es-PE"/>
        </w:rPr>
        <w:drawing>
          <wp:anchor distT="0" distB="0" distL="114300" distR="114300" simplePos="0" relativeHeight="251659264" behindDoc="1" locked="0" layoutInCell="1" allowOverlap="1">
            <wp:simplePos x="0" y="0"/>
            <wp:positionH relativeFrom="column">
              <wp:posOffset>1130935</wp:posOffset>
            </wp:positionH>
            <wp:positionV relativeFrom="paragraph">
              <wp:posOffset>107950</wp:posOffset>
            </wp:positionV>
            <wp:extent cx="2894965" cy="1078865"/>
            <wp:effectExtent l="19050" t="0" r="635"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srcRect t="5208" r="7138" b="15625"/>
                    <a:stretch>
                      <a:fillRect/>
                    </a:stretch>
                  </pic:blipFill>
                  <pic:spPr bwMode="auto">
                    <a:xfrm>
                      <a:off x="0" y="0"/>
                      <a:ext cx="2894965" cy="1078865"/>
                    </a:xfrm>
                    <a:prstGeom prst="rect">
                      <a:avLst/>
                    </a:prstGeom>
                    <a:noFill/>
                    <a:ln w="9525">
                      <a:noFill/>
                      <a:miter lim="800000"/>
                      <a:headEnd/>
                      <a:tailEnd/>
                    </a:ln>
                  </pic:spPr>
                </pic:pic>
              </a:graphicData>
            </a:graphic>
          </wp:anchor>
        </w:drawing>
      </w:r>
    </w:p>
    <w:p w:rsidR="009920D7" w:rsidRPr="002F3D1E" w:rsidRDefault="009920D7" w:rsidP="009920D7">
      <w:pPr>
        <w:widowControl w:val="0"/>
        <w:ind w:left="540" w:hanging="540"/>
      </w:pPr>
    </w:p>
    <w:p w:rsidR="009920D7" w:rsidRPr="002F3D1E" w:rsidRDefault="009920D7" w:rsidP="009920D7"/>
    <w:p w:rsidR="009920D7" w:rsidRPr="002F3D1E" w:rsidRDefault="009920D7" w:rsidP="009920D7"/>
    <w:p w:rsidR="009920D7" w:rsidRPr="002F3D1E" w:rsidRDefault="009920D7" w:rsidP="009920D7">
      <w:pPr>
        <w:widowControl w:val="0"/>
        <w:tabs>
          <w:tab w:val="left" w:pos="284"/>
        </w:tabs>
        <w:ind w:right="-2"/>
        <w:jc w:val="both"/>
        <w:rPr>
          <w:lang w:val="es-MX"/>
        </w:rPr>
      </w:pPr>
    </w:p>
    <w:sectPr w:rsidR="009920D7" w:rsidRPr="002F3D1E" w:rsidSect="00026DD3">
      <w:headerReference w:type="even" r:id="rId10"/>
      <w:headerReference w:type="default" r:id="rId11"/>
      <w:headerReference w:type="first" r:id="rId12"/>
      <w:pgSz w:w="11906" w:h="16838" w:code="9"/>
      <w:pgMar w:top="1701" w:right="1701" w:bottom="1701" w:left="1701" w:header="1134"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EB4" w:rsidRDefault="00B54EB4" w:rsidP="00D515F3">
      <w:r>
        <w:separator/>
      </w:r>
    </w:p>
  </w:endnote>
  <w:endnote w:type="continuationSeparator" w:id="1">
    <w:p w:rsidR="00B54EB4" w:rsidRDefault="00B54EB4" w:rsidP="00D515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EB4" w:rsidRDefault="00B54EB4" w:rsidP="00D515F3">
      <w:r>
        <w:separator/>
      </w:r>
    </w:p>
  </w:footnote>
  <w:footnote w:type="continuationSeparator" w:id="1">
    <w:p w:rsidR="00B54EB4" w:rsidRDefault="00B54EB4" w:rsidP="00D515F3">
      <w:r>
        <w:continuationSeparator/>
      </w:r>
    </w:p>
  </w:footnote>
  <w:footnote w:id="2">
    <w:p w:rsidR="00B54EB4" w:rsidRPr="002F3D1E" w:rsidRDefault="00B54EB4" w:rsidP="002F3D1E">
      <w:pPr>
        <w:pStyle w:val="Textonotapie"/>
        <w:jc w:val="both"/>
        <w:rPr>
          <w:rFonts w:ascii="Times New Roman" w:hAnsi="Times New Roman"/>
          <w:sz w:val="18"/>
          <w:szCs w:val="18"/>
        </w:rPr>
      </w:pPr>
      <w:r w:rsidRPr="002F3D1E">
        <w:rPr>
          <w:rStyle w:val="Refdenotaalpie"/>
          <w:rFonts w:ascii="Times New Roman" w:hAnsi="Times New Roman"/>
          <w:sz w:val="18"/>
          <w:szCs w:val="18"/>
        </w:rPr>
        <w:footnoteRef/>
      </w:r>
      <w:r w:rsidRPr="002F3D1E">
        <w:rPr>
          <w:rFonts w:ascii="Times New Roman" w:hAnsi="Times New Roman"/>
          <w:sz w:val="18"/>
          <w:szCs w:val="18"/>
        </w:rPr>
        <w:t xml:space="preserve"> 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EB4" w:rsidRDefault="00931BE4">
    <w:pPr>
      <w:pStyle w:val="Encabezado"/>
      <w:framePr w:wrap="around" w:vAnchor="text" w:hAnchor="margin" w:xAlign="center" w:y="1"/>
      <w:rPr>
        <w:rStyle w:val="Nmerodepgina"/>
      </w:rPr>
    </w:pPr>
    <w:r>
      <w:rPr>
        <w:rStyle w:val="Nmerodepgina"/>
      </w:rPr>
      <w:fldChar w:fldCharType="begin"/>
    </w:r>
    <w:r w:rsidR="00B54EB4">
      <w:rPr>
        <w:rStyle w:val="Nmerodepgina"/>
      </w:rPr>
      <w:instrText xml:space="preserve">PAGE  </w:instrText>
    </w:r>
    <w:r>
      <w:rPr>
        <w:rStyle w:val="Nmerodepgina"/>
      </w:rPr>
      <w:fldChar w:fldCharType="separate"/>
    </w:r>
    <w:r w:rsidR="00B54EB4">
      <w:rPr>
        <w:rStyle w:val="Nmerodepgina"/>
        <w:noProof/>
      </w:rPr>
      <w:t>3</w:t>
    </w:r>
    <w:r>
      <w:rPr>
        <w:rStyle w:val="Nmerodepgina"/>
      </w:rPr>
      <w:fldChar w:fldCharType="end"/>
    </w:r>
  </w:p>
  <w:p w:rsidR="00B54EB4" w:rsidRDefault="00B54EB4">
    <w:pPr>
      <w:pStyle w:val="Encabezado"/>
    </w:pPr>
  </w:p>
  <w:p w:rsidR="00B54EB4" w:rsidRDefault="00B54EB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71823"/>
      <w:docPartObj>
        <w:docPartGallery w:val="Page Numbers (Top of Page)"/>
        <w:docPartUnique/>
      </w:docPartObj>
    </w:sdtPr>
    <w:sdtContent>
      <w:p w:rsidR="00B54EB4" w:rsidRDefault="00931BE4">
        <w:pPr>
          <w:pStyle w:val="Encabezado"/>
          <w:jc w:val="center"/>
        </w:pPr>
        <w:fldSimple w:instr=" PAGE   \* MERGEFORMAT ">
          <w:r w:rsidR="005C4E2C">
            <w:rPr>
              <w:noProof/>
            </w:rPr>
            <w:t>7</w:t>
          </w:r>
        </w:fldSimple>
      </w:p>
    </w:sdtContent>
  </w:sdt>
  <w:p w:rsidR="00B54EB4" w:rsidRDefault="00B54EB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71824"/>
      <w:docPartObj>
        <w:docPartGallery w:val="Page Numbers (Top of Page)"/>
        <w:docPartUnique/>
      </w:docPartObj>
    </w:sdtPr>
    <w:sdtContent>
      <w:p w:rsidR="00B54EB4" w:rsidRDefault="00931BE4">
        <w:pPr>
          <w:pStyle w:val="Encabezado"/>
          <w:jc w:val="center"/>
        </w:pPr>
        <w:fldSimple w:instr=" PAGE   \* MERGEFORMAT ">
          <w:r w:rsidR="005C4E2C">
            <w:rPr>
              <w:noProof/>
            </w:rPr>
            <w:t>1</w:t>
          </w:r>
        </w:fldSimple>
      </w:p>
    </w:sdtContent>
  </w:sdt>
  <w:p w:rsidR="00B54EB4" w:rsidRDefault="00B54EB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17F85"/>
    <w:multiLevelType w:val="hybridMultilevel"/>
    <w:tmpl w:val="F9444B54"/>
    <w:lvl w:ilvl="0" w:tplc="8E98C116">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2F8E241C"/>
    <w:multiLevelType w:val="hybridMultilevel"/>
    <w:tmpl w:val="6D04A9B6"/>
    <w:lvl w:ilvl="0" w:tplc="A934D7B2">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300908B5"/>
    <w:multiLevelType w:val="hybridMultilevel"/>
    <w:tmpl w:val="05BC607A"/>
    <w:lvl w:ilvl="0" w:tplc="DB200C94">
      <w:start w:val="1"/>
      <w:numFmt w:val="lowerRoman"/>
      <w:lvlText w:val="%1)"/>
      <w:lvlJc w:val="left"/>
      <w:pPr>
        <w:ind w:left="1571" w:hanging="72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3">
    <w:nsid w:val="33BF7203"/>
    <w:multiLevelType w:val="hybridMultilevel"/>
    <w:tmpl w:val="0090F012"/>
    <w:lvl w:ilvl="0" w:tplc="B7EEB2AC">
      <w:start w:val="2"/>
      <w:numFmt w:val="bullet"/>
      <w:lvlText w:val=""/>
      <w:lvlJc w:val="left"/>
      <w:pPr>
        <w:ind w:left="927" w:hanging="360"/>
      </w:pPr>
      <w:rPr>
        <w:rFonts w:ascii="Symbol" w:eastAsia="Times New Roman" w:hAnsi="Symbol" w:cs="Times New Roman"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4">
    <w:nsid w:val="34D508F7"/>
    <w:multiLevelType w:val="hybridMultilevel"/>
    <w:tmpl w:val="2FD4499A"/>
    <w:lvl w:ilvl="0" w:tplc="692E9D04">
      <w:start w:val="2"/>
      <w:numFmt w:val="bullet"/>
      <w:lvlText w:val=""/>
      <w:lvlJc w:val="left"/>
      <w:pPr>
        <w:ind w:left="927" w:hanging="360"/>
      </w:pPr>
      <w:rPr>
        <w:rFonts w:ascii="Symbol" w:eastAsia="Times New Roman" w:hAnsi="Symbol" w:cs="Times New Roman"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5">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4D561676"/>
    <w:multiLevelType w:val="multilevel"/>
    <w:tmpl w:val="8604C3C4"/>
    <w:lvl w:ilvl="0">
      <w:start w:val="3"/>
      <w:numFmt w:val="decimal"/>
      <w:lvlText w:val="%1."/>
      <w:lvlJc w:val="left"/>
      <w:pPr>
        <w:ind w:left="360" w:hanging="36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nsid w:val="5C7F4890"/>
    <w:multiLevelType w:val="multilevel"/>
    <w:tmpl w:val="D3BED586"/>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67B46E5"/>
    <w:multiLevelType w:val="hybridMultilevel"/>
    <w:tmpl w:val="9DC65532"/>
    <w:lvl w:ilvl="0" w:tplc="FD3C9228">
      <w:numFmt w:val="bullet"/>
      <w:lvlText w:val="-"/>
      <w:lvlJc w:val="left"/>
      <w:pPr>
        <w:ind w:left="720" w:hanging="360"/>
      </w:pPr>
      <w:rPr>
        <w:rFonts w:ascii="Times New Roman" w:eastAsia="Times New Roman" w:hAnsi="Times New Roman" w:cs="Times New Roman"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10">
    <w:nsid w:val="67F02CF0"/>
    <w:multiLevelType w:val="hybridMultilevel"/>
    <w:tmpl w:val="7EFC1C84"/>
    <w:lvl w:ilvl="0" w:tplc="4322E43C">
      <w:start w:val="1"/>
      <w:numFmt w:val="bullet"/>
      <w:lvlText w:val=""/>
      <w:lvlJc w:val="left"/>
      <w:pPr>
        <w:ind w:left="1068" w:hanging="360"/>
      </w:pPr>
      <w:rPr>
        <w:rFonts w:ascii="Symbol" w:eastAsia="Times New Roman" w:hAnsi="Symbol"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1">
    <w:nsid w:val="68252D27"/>
    <w:multiLevelType w:val="multilevel"/>
    <w:tmpl w:val="BFE89E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CB243A2"/>
    <w:multiLevelType w:val="hybridMultilevel"/>
    <w:tmpl w:val="E266F898"/>
    <w:lvl w:ilvl="0" w:tplc="84EE090C">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72393A52"/>
    <w:multiLevelType w:val="multilevel"/>
    <w:tmpl w:val="304C3C4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2B011BC"/>
    <w:multiLevelType w:val="multilevel"/>
    <w:tmpl w:val="D146F4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E141678"/>
    <w:multiLevelType w:val="hybridMultilevel"/>
    <w:tmpl w:val="49BC239C"/>
    <w:lvl w:ilvl="0" w:tplc="71703EE6">
      <w:start w:val="2"/>
      <w:numFmt w:val="bullet"/>
      <w:lvlText w:val="-"/>
      <w:lvlJc w:val="left"/>
      <w:pPr>
        <w:ind w:left="1428"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7"/>
  </w:num>
  <w:num w:numId="2">
    <w:abstractNumId w:val="11"/>
  </w:num>
  <w:num w:numId="3">
    <w:abstractNumId w:val="6"/>
  </w:num>
  <w:num w:numId="4">
    <w:abstractNumId w:val="0"/>
  </w:num>
  <w:num w:numId="5">
    <w:abstractNumId w:val="2"/>
  </w:num>
  <w:num w:numId="6">
    <w:abstractNumId w:val="10"/>
  </w:num>
  <w:num w:numId="7">
    <w:abstractNumId w:val="5"/>
  </w:num>
  <w:num w:numId="8">
    <w:abstractNumId w:val="12"/>
  </w:num>
  <w:num w:numId="9">
    <w:abstractNumId w:val="14"/>
  </w:num>
  <w:num w:numId="10">
    <w:abstractNumId w:val="13"/>
  </w:num>
  <w:num w:numId="11">
    <w:abstractNumId w:val="1"/>
  </w:num>
  <w:num w:numId="12">
    <w:abstractNumId w:val="4"/>
  </w:num>
  <w:num w:numId="13">
    <w:abstractNumId w:val="3"/>
  </w:num>
  <w:num w:numId="14">
    <w:abstractNumId w:val="8"/>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9920D7"/>
    <w:rsid w:val="00015C4F"/>
    <w:rsid w:val="00026DD3"/>
    <w:rsid w:val="000326D7"/>
    <w:rsid w:val="00041C70"/>
    <w:rsid w:val="00063F4C"/>
    <w:rsid w:val="00064927"/>
    <w:rsid w:val="00072F4E"/>
    <w:rsid w:val="000824BB"/>
    <w:rsid w:val="000E5E8F"/>
    <w:rsid w:val="00124C23"/>
    <w:rsid w:val="00143722"/>
    <w:rsid w:val="00146DA3"/>
    <w:rsid w:val="001518A1"/>
    <w:rsid w:val="00157CD6"/>
    <w:rsid w:val="00170FAF"/>
    <w:rsid w:val="00197C43"/>
    <w:rsid w:val="001C4EB5"/>
    <w:rsid w:val="001C5A34"/>
    <w:rsid w:val="001D027A"/>
    <w:rsid w:val="001E66CC"/>
    <w:rsid w:val="00201E8F"/>
    <w:rsid w:val="0021221F"/>
    <w:rsid w:val="002242B1"/>
    <w:rsid w:val="0024272F"/>
    <w:rsid w:val="00265010"/>
    <w:rsid w:val="00270ACE"/>
    <w:rsid w:val="00292F80"/>
    <w:rsid w:val="002A7E15"/>
    <w:rsid w:val="002C2B7E"/>
    <w:rsid w:val="002C5B0D"/>
    <w:rsid w:val="002D2115"/>
    <w:rsid w:val="002F3D1E"/>
    <w:rsid w:val="00301821"/>
    <w:rsid w:val="00303AAC"/>
    <w:rsid w:val="0031349B"/>
    <w:rsid w:val="00330B54"/>
    <w:rsid w:val="00356F45"/>
    <w:rsid w:val="00370038"/>
    <w:rsid w:val="00370145"/>
    <w:rsid w:val="00386BA0"/>
    <w:rsid w:val="003C0621"/>
    <w:rsid w:val="003D67C4"/>
    <w:rsid w:val="003E4835"/>
    <w:rsid w:val="004313C2"/>
    <w:rsid w:val="00431EF3"/>
    <w:rsid w:val="00451877"/>
    <w:rsid w:val="00464231"/>
    <w:rsid w:val="004734BD"/>
    <w:rsid w:val="004A76A9"/>
    <w:rsid w:val="004C3BFC"/>
    <w:rsid w:val="004D62C3"/>
    <w:rsid w:val="005042DF"/>
    <w:rsid w:val="00522A9E"/>
    <w:rsid w:val="00544B95"/>
    <w:rsid w:val="00551556"/>
    <w:rsid w:val="0055270C"/>
    <w:rsid w:val="0056010E"/>
    <w:rsid w:val="00564D59"/>
    <w:rsid w:val="00570A22"/>
    <w:rsid w:val="00595B1D"/>
    <w:rsid w:val="00596812"/>
    <w:rsid w:val="00596867"/>
    <w:rsid w:val="005A563B"/>
    <w:rsid w:val="005C4E2C"/>
    <w:rsid w:val="005F340B"/>
    <w:rsid w:val="006110CE"/>
    <w:rsid w:val="00664FF4"/>
    <w:rsid w:val="006824CA"/>
    <w:rsid w:val="006972E9"/>
    <w:rsid w:val="006A6825"/>
    <w:rsid w:val="006D0BE4"/>
    <w:rsid w:val="00716669"/>
    <w:rsid w:val="00734E18"/>
    <w:rsid w:val="00742E88"/>
    <w:rsid w:val="0075407F"/>
    <w:rsid w:val="007607D5"/>
    <w:rsid w:val="00791356"/>
    <w:rsid w:val="00796722"/>
    <w:rsid w:val="007A5412"/>
    <w:rsid w:val="007B0F55"/>
    <w:rsid w:val="007E0271"/>
    <w:rsid w:val="007E2331"/>
    <w:rsid w:val="007E3EDC"/>
    <w:rsid w:val="008031D0"/>
    <w:rsid w:val="0081572A"/>
    <w:rsid w:val="00820670"/>
    <w:rsid w:val="00822542"/>
    <w:rsid w:val="00831C5B"/>
    <w:rsid w:val="00835ABC"/>
    <w:rsid w:val="00886CEA"/>
    <w:rsid w:val="008B03AF"/>
    <w:rsid w:val="008B21E2"/>
    <w:rsid w:val="008B6F96"/>
    <w:rsid w:val="008D6F59"/>
    <w:rsid w:val="008E1467"/>
    <w:rsid w:val="008E71E1"/>
    <w:rsid w:val="009013E6"/>
    <w:rsid w:val="00927C84"/>
    <w:rsid w:val="00931BE4"/>
    <w:rsid w:val="009355B7"/>
    <w:rsid w:val="00937061"/>
    <w:rsid w:val="00973C28"/>
    <w:rsid w:val="009920D7"/>
    <w:rsid w:val="009C1EAC"/>
    <w:rsid w:val="009E26BF"/>
    <w:rsid w:val="009F03B1"/>
    <w:rsid w:val="009F0E7A"/>
    <w:rsid w:val="00A0519C"/>
    <w:rsid w:val="00A06D4E"/>
    <w:rsid w:val="00A07C43"/>
    <w:rsid w:val="00A259EA"/>
    <w:rsid w:val="00A273DA"/>
    <w:rsid w:val="00A50CD2"/>
    <w:rsid w:val="00A56767"/>
    <w:rsid w:val="00A852D6"/>
    <w:rsid w:val="00A96626"/>
    <w:rsid w:val="00AD2E4D"/>
    <w:rsid w:val="00AD694B"/>
    <w:rsid w:val="00AE2409"/>
    <w:rsid w:val="00AE47A8"/>
    <w:rsid w:val="00AF27EF"/>
    <w:rsid w:val="00B078EA"/>
    <w:rsid w:val="00B3043B"/>
    <w:rsid w:val="00B332A6"/>
    <w:rsid w:val="00B54EB4"/>
    <w:rsid w:val="00B71B51"/>
    <w:rsid w:val="00B73FEE"/>
    <w:rsid w:val="00B9389E"/>
    <w:rsid w:val="00B96B04"/>
    <w:rsid w:val="00BA3E45"/>
    <w:rsid w:val="00BA7262"/>
    <w:rsid w:val="00BB4445"/>
    <w:rsid w:val="00BE22E9"/>
    <w:rsid w:val="00BF4391"/>
    <w:rsid w:val="00C111B9"/>
    <w:rsid w:val="00C43232"/>
    <w:rsid w:val="00C60B18"/>
    <w:rsid w:val="00C87FEA"/>
    <w:rsid w:val="00C9305E"/>
    <w:rsid w:val="00CA20AE"/>
    <w:rsid w:val="00CE02E7"/>
    <w:rsid w:val="00CF3F39"/>
    <w:rsid w:val="00D42BFB"/>
    <w:rsid w:val="00D442B3"/>
    <w:rsid w:val="00D44D28"/>
    <w:rsid w:val="00D515F3"/>
    <w:rsid w:val="00DA4C2E"/>
    <w:rsid w:val="00DA5120"/>
    <w:rsid w:val="00DE7174"/>
    <w:rsid w:val="00E06446"/>
    <w:rsid w:val="00E70818"/>
    <w:rsid w:val="00E91FCB"/>
    <w:rsid w:val="00ED2CD8"/>
    <w:rsid w:val="00F23162"/>
    <w:rsid w:val="00F24BE3"/>
    <w:rsid w:val="00F3020F"/>
    <w:rsid w:val="00F32EBA"/>
    <w:rsid w:val="00F7531F"/>
    <w:rsid w:val="00F86C6A"/>
    <w:rsid w:val="00F96F4F"/>
    <w:rsid w:val="00FB4857"/>
    <w:rsid w:val="00FC2E23"/>
    <w:rsid w:val="00FD5D36"/>
    <w:rsid w:val="00FD7764"/>
    <w:rsid w:val="00FE1C7F"/>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0D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9920D7"/>
    <w:pPr>
      <w:widowControl w:val="0"/>
      <w:suppressAutoHyphens/>
      <w:jc w:val="both"/>
    </w:pPr>
    <w:rPr>
      <w:rFonts w:ascii="Arial" w:eastAsia="MS Mincho" w:hAnsi="Arial"/>
      <w:szCs w:val="20"/>
      <w:lang w:val="es-ES_tradnl" w:eastAsia="es-PE"/>
    </w:rPr>
  </w:style>
  <w:style w:type="paragraph" w:styleId="Encabezado">
    <w:name w:val="header"/>
    <w:aliases w:val="maria"/>
    <w:basedOn w:val="Normal"/>
    <w:link w:val="EncabezadoCar"/>
    <w:uiPriority w:val="99"/>
    <w:rsid w:val="009920D7"/>
    <w:pPr>
      <w:tabs>
        <w:tab w:val="center" w:pos="4419"/>
        <w:tab w:val="right" w:pos="8838"/>
      </w:tabs>
    </w:pPr>
    <w:rPr>
      <w:rFonts w:ascii="Bookman Old Style" w:eastAsia="MS Mincho" w:hAnsi="Bookman Old Style"/>
      <w:i/>
      <w:szCs w:val="20"/>
      <w:lang w:eastAsia="es-PE"/>
    </w:rPr>
  </w:style>
  <w:style w:type="character" w:customStyle="1" w:styleId="EncabezadoCar">
    <w:name w:val="Encabezado Car"/>
    <w:aliases w:val="maria Car"/>
    <w:basedOn w:val="Fuentedeprrafopredeter"/>
    <w:link w:val="Encabezado"/>
    <w:uiPriority w:val="99"/>
    <w:rsid w:val="009920D7"/>
    <w:rPr>
      <w:rFonts w:ascii="Bookman Old Style" w:eastAsia="MS Mincho" w:hAnsi="Bookman Old Style" w:cs="Times New Roman"/>
      <w:i/>
      <w:sz w:val="24"/>
      <w:szCs w:val="20"/>
      <w:lang w:val="es-ES" w:eastAsia="es-PE"/>
    </w:rPr>
  </w:style>
  <w:style w:type="paragraph" w:styleId="Prrafodelista">
    <w:name w:val="List Paragraph"/>
    <w:aliases w:val="Titulo de Fígura,TITULO A,Titulo parrafo,Punto,TITULO,Imagen 01.,Cuadro 2-1,Iz - Párrafo de lista,Sivsa Parrafo"/>
    <w:basedOn w:val="Normal"/>
    <w:link w:val="PrrafodelistaCar"/>
    <w:uiPriority w:val="34"/>
    <w:qFormat/>
    <w:rsid w:val="009920D7"/>
    <w:pPr>
      <w:ind w:left="708"/>
    </w:pPr>
    <w:rPr>
      <w:rFonts w:eastAsia="MS Mincho"/>
      <w:sz w:val="20"/>
      <w:szCs w:val="20"/>
    </w:rPr>
  </w:style>
  <w:style w:type="character" w:styleId="Nmerodepgina">
    <w:name w:val="page number"/>
    <w:basedOn w:val="Fuentedeprrafopredeter"/>
    <w:semiHidden/>
    <w:rsid w:val="009920D7"/>
  </w:style>
  <w:style w:type="paragraph" w:customStyle="1" w:styleId="WW-Sangra3detindependiente">
    <w:name w:val="WW-Sangría 3 de t. independiente"/>
    <w:basedOn w:val="Normal"/>
    <w:rsid w:val="009920D7"/>
    <w:pPr>
      <w:widowControl w:val="0"/>
      <w:suppressAutoHyphens/>
      <w:ind w:left="426" w:firstLine="1"/>
      <w:jc w:val="both"/>
    </w:pPr>
    <w:rPr>
      <w:szCs w:val="20"/>
      <w:lang w:val="es-ES_tradnl" w:eastAsia="es-MX"/>
    </w:rPr>
  </w:style>
  <w:style w:type="character" w:customStyle="1" w:styleId="PrrafodelistaCar">
    <w:name w:val="Párrafo de lista Car"/>
    <w:aliases w:val="Titulo de Fígura Car,TITULO A Car,Titulo parrafo Car,Punto Car,TITULO Car,Imagen 01. Car,Cuadro 2-1 Car,Iz - Párrafo de lista Car,Sivsa Parrafo Car"/>
    <w:link w:val="Prrafodelista"/>
    <w:uiPriority w:val="34"/>
    <w:rsid w:val="009920D7"/>
    <w:rPr>
      <w:rFonts w:ascii="Times New Roman" w:eastAsia="MS Mincho" w:hAnsi="Times New Roman" w:cs="Times New Roman"/>
      <w:sz w:val="20"/>
      <w:szCs w:val="20"/>
      <w:lang w:val="es-ES" w:eastAsia="es-ES"/>
    </w:rPr>
  </w:style>
  <w:style w:type="paragraph" w:styleId="Textodeglobo">
    <w:name w:val="Balloon Text"/>
    <w:basedOn w:val="Normal"/>
    <w:link w:val="TextodegloboCar"/>
    <w:uiPriority w:val="99"/>
    <w:semiHidden/>
    <w:unhideWhenUsed/>
    <w:rsid w:val="009920D7"/>
    <w:rPr>
      <w:rFonts w:ascii="Tahoma" w:hAnsi="Tahoma" w:cs="Tahoma"/>
      <w:sz w:val="16"/>
      <w:szCs w:val="16"/>
    </w:rPr>
  </w:style>
  <w:style w:type="character" w:customStyle="1" w:styleId="TextodegloboCar">
    <w:name w:val="Texto de globo Car"/>
    <w:basedOn w:val="Fuentedeprrafopredeter"/>
    <w:link w:val="Textodeglobo"/>
    <w:uiPriority w:val="99"/>
    <w:semiHidden/>
    <w:rsid w:val="009920D7"/>
    <w:rPr>
      <w:rFonts w:ascii="Tahoma" w:eastAsia="Times New Roman" w:hAnsi="Tahoma" w:cs="Tahoma"/>
      <w:sz w:val="16"/>
      <w:szCs w:val="16"/>
      <w:lang w:val="es-ES" w:eastAsia="es-ES"/>
    </w:rPr>
  </w:style>
  <w:style w:type="paragraph" w:customStyle="1" w:styleId="Normaltimes">
    <w:name w:val="Normal+times"/>
    <w:basedOn w:val="Normal"/>
    <w:link w:val="NormaltimesCar"/>
    <w:rsid w:val="004734BD"/>
    <w:rPr>
      <w:szCs w:val="20"/>
      <w:lang w:val="es-MX" w:eastAsia="es-MX"/>
    </w:rPr>
  </w:style>
  <w:style w:type="character" w:customStyle="1" w:styleId="NormaltimesCar">
    <w:name w:val="Normal+times Car"/>
    <w:link w:val="Normaltimes"/>
    <w:rsid w:val="004734BD"/>
    <w:rPr>
      <w:rFonts w:ascii="Times New Roman" w:eastAsia="Times New Roman" w:hAnsi="Times New Roman" w:cs="Times New Roman"/>
      <w:sz w:val="24"/>
      <w:szCs w:val="20"/>
      <w:lang w:val="es-MX" w:eastAsia="es-MX"/>
    </w:rPr>
  </w:style>
  <w:style w:type="paragraph" w:styleId="Textoindependiente2">
    <w:name w:val="Body Text 2"/>
    <w:basedOn w:val="Normal"/>
    <w:link w:val="Textoindependiente2Car"/>
    <w:uiPriority w:val="99"/>
    <w:unhideWhenUsed/>
    <w:rsid w:val="0075407F"/>
    <w:pPr>
      <w:spacing w:after="120" w:line="480" w:lineRule="auto"/>
    </w:pPr>
    <w:rPr>
      <w:lang w:val="es-MX" w:eastAsia="es-MX"/>
    </w:rPr>
  </w:style>
  <w:style w:type="character" w:customStyle="1" w:styleId="Textoindependiente2Car">
    <w:name w:val="Texto independiente 2 Car"/>
    <w:basedOn w:val="Fuentedeprrafopredeter"/>
    <w:link w:val="Textoindependiente2"/>
    <w:uiPriority w:val="99"/>
    <w:rsid w:val="0075407F"/>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semiHidden/>
    <w:unhideWhenUsed/>
    <w:rsid w:val="001518A1"/>
    <w:pPr>
      <w:spacing w:after="120"/>
    </w:pPr>
  </w:style>
  <w:style w:type="character" w:customStyle="1" w:styleId="TextoindependienteCar">
    <w:name w:val="Texto independiente Car"/>
    <w:basedOn w:val="Fuentedeprrafopredeter"/>
    <w:link w:val="Textoindependiente"/>
    <w:uiPriority w:val="99"/>
    <w:semiHidden/>
    <w:rsid w:val="001518A1"/>
    <w:rPr>
      <w:rFonts w:ascii="Times New Roman" w:eastAsia="Times New Roman" w:hAnsi="Times New Roman" w:cs="Times New Roman"/>
      <w:sz w:val="24"/>
      <w:szCs w:val="24"/>
      <w:lang w:val="es-ES" w:eastAsia="es-ES"/>
    </w:rPr>
  </w:style>
  <w:style w:type="paragraph" w:customStyle="1" w:styleId="Default">
    <w:name w:val="Default"/>
    <w:rsid w:val="00551556"/>
    <w:pPr>
      <w:autoSpaceDE w:val="0"/>
      <w:autoSpaceDN w:val="0"/>
      <w:adjustRightInd w:val="0"/>
      <w:spacing w:after="0" w:line="240" w:lineRule="auto"/>
    </w:pPr>
    <w:rPr>
      <w:rFonts w:ascii="Tahoma" w:hAnsi="Tahoma" w:cs="Tahoma"/>
      <w:color w:val="000000"/>
      <w:sz w:val="24"/>
      <w:szCs w:val="24"/>
    </w:rPr>
  </w:style>
  <w:style w:type="paragraph" w:styleId="Sinespaciado">
    <w:name w:val="No Spacing"/>
    <w:link w:val="SinespaciadoCar"/>
    <w:uiPriority w:val="1"/>
    <w:qFormat/>
    <w:rsid w:val="00DA5120"/>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DA5120"/>
    <w:rPr>
      <w:rFonts w:ascii="Calibri" w:eastAsia="Calibri" w:hAnsi="Calibri" w:cs="Times New Roman"/>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B3043B"/>
    <w:rPr>
      <w:rFonts w:ascii="Calibri" w:eastAsia="Calibri" w:hAnsi="Calibri"/>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B3043B"/>
    <w:rPr>
      <w:rFonts w:ascii="Calibri" w:eastAsia="Calibri" w:hAnsi="Calibri" w:cs="Times New Roman"/>
      <w:sz w:val="20"/>
      <w:szCs w:val="20"/>
    </w:rPr>
  </w:style>
  <w:style w:type="character" w:styleId="Refdenotaalpie">
    <w:name w:val="footnote reference"/>
    <w:aliases w:val="16 Point,Superscript 6 Point,FC,referencia nota al pie,CVR Ref. de nota al pie"/>
    <w:rsid w:val="00B3043B"/>
    <w:rPr>
      <w:vertAlign w:val="superscript"/>
    </w:rPr>
  </w:style>
  <w:style w:type="paragraph" w:styleId="Piedepgina">
    <w:name w:val="footer"/>
    <w:basedOn w:val="Normal"/>
    <w:link w:val="PiedepginaCar"/>
    <w:uiPriority w:val="99"/>
    <w:unhideWhenUsed/>
    <w:rsid w:val="0055270C"/>
    <w:pPr>
      <w:tabs>
        <w:tab w:val="center" w:pos="4419"/>
        <w:tab w:val="right" w:pos="8838"/>
      </w:tabs>
    </w:pPr>
  </w:style>
  <w:style w:type="character" w:customStyle="1" w:styleId="PiedepginaCar">
    <w:name w:val="Pie de página Car"/>
    <w:basedOn w:val="Fuentedeprrafopredeter"/>
    <w:link w:val="Piedepgina"/>
    <w:uiPriority w:val="99"/>
    <w:rsid w:val="0055270C"/>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421217833">
      <w:bodyDiv w:val="1"/>
      <w:marLeft w:val="0"/>
      <w:marRight w:val="0"/>
      <w:marTop w:val="0"/>
      <w:marBottom w:val="0"/>
      <w:divBdr>
        <w:top w:val="none" w:sz="0" w:space="0" w:color="auto"/>
        <w:left w:val="none" w:sz="0" w:space="0" w:color="auto"/>
        <w:bottom w:val="none" w:sz="0" w:space="0" w:color="auto"/>
        <w:right w:val="none" w:sz="0" w:space="0" w:color="auto"/>
      </w:divBdr>
    </w:div>
    <w:div w:id="1635864864">
      <w:bodyDiv w:val="1"/>
      <w:marLeft w:val="0"/>
      <w:marRight w:val="0"/>
      <w:marTop w:val="0"/>
      <w:marBottom w:val="0"/>
      <w:divBdr>
        <w:top w:val="none" w:sz="0" w:space="0" w:color="auto"/>
        <w:left w:val="none" w:sz="0" w:space="0" w:color="auto"/>
        <w:bottom w:val="none" w:sz="0" w:space="0" w:color="auto"/>
        <w:right w:val="none" w:sz="0" w:space="0" w:color="auto"/>
      </w:divBdr>
    </w:div>
    <w:div w:id="1974945358">
      <w:bodyDiv w:val="1"/>
      <w:marLeft w:val="0"/>
      <w:marRight w:val="0"/>
      <w:marTop w:val="0"/>
      <w:marBottom w:val="0"/>
      <w:divBdr>
        <w:top w:val="none" w:sz="0" w:space="0" w:color="auto"/>
        <w:left w:val="none" w:sz="0" w:space="0" w:color="auto"/>
        <w:bottom w:val="none" w:sz="0" w:space="0" w:color="auto"/>
        <w:right w:val="none" w:sz="0" w:space="0" w:color="auto"/>
      </w:divBdr>
    </w:div>
    <w:div w:id="208086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FDB14-A845-4CFF-A3BE-D2C99C5C9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2640</Words>
  <Characters>14526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amunante</dc:creator>
  <cp:lastModifiedBy>fgaray</cp:lastModifiedBy>
  <cp:revision>7</cp:revision>
  <cp:lastPrinted>2015-10-20T00:56:00Z</cp:lastPrinted>
  <dcterms:created xsi:type="dcterms:W3CDTF">2015-12-28T16:17:00Z</dcterms:created>
  <dcterms:modified xsi:type="dcterms:W3CDTF">2015-12-30T22:34:00Z</dcterms:modified>
</cp:coreProperties>
</file>