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A90" w:rsidRPr="009303AE" w:rsidRDefault="00875A90" w:rsidP="00875A90">
      <w:pPr>
        <w:widowControl w:val="0"/>
        <w:suppressLineNumbers/>
        <w:spacing w:after="0" w:line="240" w:lineRule="auto"/>
        <w:jc w:val="center"/>
        <w:rPr>
          <w:rFonts w:ascii="Times New Roman" w:hAnsi="Times New Roman" w:cs="Times New Roman"/>
          <w:b/>
          <w:sz w:val="24"/>
          <w:szCs w:val="24"/>
          <w:u w:val="single"/>
        </w:rPr>
      </w:pPr>
      <w:r w:rsidRPr="009303AE">
        <w:rPr>
          <w:rFonts w:ascii="Times New Roman" w:hAnsi="Times New Roman" w:cs="Times New Roman"/>
          <w:b/>
          <w:sz w:val="24"/>
          <w:szCs w:val="24"/>
          <w:u w:val="single"/>
        </w:rPr>
        <w:t xml:space="preserve">PRONUNCIAMIENTO N° </w:t>
      </w:r>
      <w:r w:rsidR="005E4086">
        <w:rPr>
          <w:rFonts w:ascii="Times New Roman" w:hAnsi="Times New Roman" w:cs="Times New Roman"/>
          <w:b/>
          <w:sz w:val="24"/>
          <w:szCs w:val="24"/>
          <w:u w:val="single"/>
        </w:rPr>
        <w:t>1811</w:t>
      </w:r>
      <w:r w:rsidRPr="009303AE">
        <w:rPr>
          <w:rFonts w:ascii="Times New Roman" w:hAnsi="Times New Roman" w:cs="Times New Roman"/>
          <w:b/>
          <w:sz w:val="24"/>
          <w:szCs w:val="24"/>
          <w:u w:val="single"/>
        </w:rPr>
        <w:t>-2015/DSU</w:t>
      </w:r>
    </w:p>
    <w:p w:rsidR="00875A90" w:rsidRPr="009303AE" w:rsidRDefault="00875A90" w:rsidP="00875A90">
      <w:pPr>
        <w:widowControl w:val="0"/>
        <w:suppressLineNumbers/>
        <w:tabs>
          <w:tab w:val="left" w:pos="1980"/>
        </w:tabs>
        <w:spacing w:after="0" w:line="240" w:lineRule="auto"/>
        <w:ind w:left="2880" w:hanging="2880"/>
        <w:jc w:val="both"/>
        <w:rPr>
          <w:rFonts w:ascii="Times New Roman" w:hAnsi="Times New Roman" w:cs="Times New Roman"/>
          <w:sz w:val="24"/>
          <w:szCs w:val="24"/>
        </w:rPr>
      </w:pPr>
    </w:p>
    <w:p w:rsidR="00875A90" w:rsidRPr="009303AE" w:rsidRDefault="00875A90" w:rsidP="00875A90">
      <w:pPr>
        <w:widowControl w:val="0"/>
        <w:spacing w:after="0" w:line="240" w:lineRule="auto"/>
        <w:ind w:left="1418" w:hanging="1418"/>
        <w:jc w:val="both"/>
        <w:rPr>
          <w:rFonts w:ascii="Times New Roman" w:eastAsia="Times New Roman" w:hAnsi="Times New Roman" w:cs="Times New Roman"/>
          <w:sz w:val="24"/>
          <w:szCs w:val="24"/>
          <w:lang w:val="es-ES_tradnl" w:eastAsia="es-MX"/>
        </w:rPr>
      </w:pPr>
      <w:r w:rsidRPr="009303AE">
        <w:rPr>
          <w:rFonts w:ascii="Times New Roman" w:eastAsia="Times New Roman" w:hAnsi="Times New Roman" w:cs="Times New Roman"/>
          <w:sz w:val="24"/>
          <w:szCs w:val="24"/>
          <w:lang w:val="es-MX" w:eastAsia="es-MX"/>
        </w:rPr>
        <w:t>Entidad:</w:t>
      </w:r>
      <w:r w:rsidRPr="009303AE">
        <w:rPr>
          <w:rFonts w:ascii="Times New Roman" w:eastAsia="Times New Roman" w:hAnsi="Times New Roman" w:cs="Times New Roman"/>
          <w:sz w:val="24"/>
          <w:szCs w:val="24"/>
          <w:lang w:val="es-MX" w:eastAsia="es-MX"/>
        </w:rPr>
        <w:tab/>
        <w:t xml:space="preserve">Banco Central de Reserva del Perú </w:t>
      </w:r>
    </w:p>
    <w:p w:rsidR="00875A90" w:rsidRPr="009303AE" w:rsidRDefault="00875A90" w:rsidP="00875A90">
      <w:pPr>
        <w:widowControl w:val="0"/>
        <w:spacing w:after="0" w:line="240" w:lineRule="auto"/>
        <w:ind w:left="1418" w:hanging="1418"/>
        <w:jc w:val="both"/>
        <w:rPr>
          <w:rFonts w:ascii="Times New Roman" w:eastAsia="Times New Roman" w:hAnsi="Times New Roman" w:cs="Times New Roman"/>
          <w:sz w:val="24"/>
          <w:szCs w:val="24"/>
          <w:lang w:val="es-ES_tradnl" w:eastAsia="es-MX"/>
        </w:rPr>
      </w:pPr>
    </w:p>
    <w:p w:rsidR="00875A90" w:rsidRPr="009303AE" w:rsidRDefault="00875A90" w:rsidP="00875A90">
      <w:pPr>
        <w:widowControl w:val="0"/>
        <w:spacing w:after="0" w:line="240" w:lineRule="auto"/>
        <w:ind w:left="1418" w:hanging="1418"/>
        <w:jc w:val="both"/>
        <w:rPr>
          <w:rFonts w:ascii="Times New Roman" w:eastAsia="Times New Roman" w:hAnsi="Times New Roman" w:cs="Times New Roman"/>
          <w:sz w:val="24"/>
          <w:szCs w:val="24"/>
          <w:lang w:val="es-ES_tradnl" w:eastAsia="es-MX"/>
        </w:rPr>
      </w:pPr>
      <w:r w:rsidRPr="009303AE">
        <w:rPr>
          <w:rFonts w:ascii="Times New Roman" w:eastAsia="Times New Roman" w:hAnsi="Times New Roman" w:cs="Times New Roman"/>
          <w:sz w:val="24"/>
          <w:szCs w:val="24"/>
          <w:lang w:val="es-ES_tradnl" w:eastAsia="es-MX"/>
        </w:rPr>
        <w:t>Referencia:</w:t>
      </w:r>
      <w:r w:rsidRPr="009303AE">
        <w:rPr>
          <w:rFonts w:ascii="Times New Roman" w:eastAsia="Times New Roman" w:hAnsi="Times New Roman" w:cs="Times New Roman"/>
          <w:sz w:val="24"/>
          <w:szCs w:val="24"/>
          <w:lang w:val="es-ES_tradnl" w:eastAsia="es-MX"/>
        </w:rPr>
        <w:tab/>
        <w:t>Adjudicación Directa Pública Nº 15-2015-BC</w:t>
      </w:r>
      <w:bookmarkStart w:id="0" w:name="_GoBack"/>
      <w:bookmarkEnd w:id="0"/>
      <w:r w:rsidRPr="009303AE">
        <w:rPr>
          <w:rFonts w:ascii="Times New Roman" w:eastAsia="Times New Roman" w:hAnsi="Times New Roman" w:cs="Times New Roman"/>
          <w:sz w:val="24"/>
          <w:szCs w:val="24"/>
          <w:lang w:val="es-ES_tradnl" w:eastAsia="es-MX"/>
        </w:rPr>
        <w:t xml:space="preserve">RPLIM-1, convocado para la: “Adquisición </w:t>
      </w:r>
      <w:r w:rsidR="008B498D" w:rsidRPr="009303AE">
        <w:rPr>
          <w:rFonts w:ascii="Times New Roman" w:eastAsia="Times New Roman" w:hAnsi="Times New Roman" w:cs="Times New Roman"/>
          <w:sz w:val="24"/>
          <w:szCs w:val="24"/>
          <w:lang w:val="es-ES_tradnl" w:eastAsia="es-MX"/>
        </w:rPr>
        <w:t>de equipos para los sistemas UPS</w:t>
      </w:r>
      <w:r w:rsidRPr="009303AE">
        <w:rPr>
          <w:rFonts w:ascii="Times New Roman" w:eastAsia="Times New Roman" w:hAnsi="Times New Roman" w:cs="Times New Roman"/>
          <w:sz w:val="24"/>
          <w:szCs w:val="24"/>
          <w:lang w:val="es-ES_tradnl" w:eastAsia="es-MX"/>
        </w:rPr>
        <w:t xml:space="preserve">”. </w:t>
      </w:r>
    </w:p>
    <w:p w:rsidR="00875A90" w:rsidRPr="009303AE" w:rsidRDefault="00875A90" w:rsidP="00875A90">
      <w:pPr>
        <w:widowControl w:val="0"/>
        <w:pBdr>
          <w:bottom w:val="single" w:sz="6" w:space="1" w:color="auto"/>
        </w:pBdr>
        <w:spacing w:after="0" w:line="240" w:lineRule="auto"/>
        <w:jc w:val="both"/>
        <w:rPr>
          <w:rFonts w:ascii="Times New Roman" w:hAnsi="Times New Roman" w:cs="Times New Roman"/>
          <w:sz w:val="24"/>
          <w:szCs w:val="24"/>
          <w:lang w:val="es-ES_tradnl"/>
        </w:rPr>
      </w:pPr>
    </w:p>
    <w:p w:rsidR="00875A90" w:rsidRPr="009303AE" w:rsidRDefault="00875A90" w:rsidP="00875A90">
      <w:pPr>
        <w:widowControl w:val="0"/>
        <w:spacing w:after="0" w:line="240" w:lineRule="auto"/>
        <w:jc w:val="both"/>
        <w:rPr>
          <w:rFonts w:ascii="Times New Roman" w:hAnsi="Times New Roman" w:cs="Times New Roman"/>
          <w:sz w:val="24"/>
          <w:szCs w:val="24"/>
          <w:lang w:val="es-ES_tradnl"/>
        </w:rPr>
      </w:pPr>
    </w:p>
    <w:p w:rsidR="00875A90" w:rsidRPr="009303AE" w:rsidRDefault="00875A90" w:rsidP="00875A90">
      <w:pPr>
        <w:widowControl w:val="0"/>
        <w:numPr>
          <w:ilvl w:val="0"/>
          <w:numId w:val="1"/>
        </w:numPr>
        <w:tabs>
          <w:tab w:val="clear" w:pos="360"/>
        </w:tabs>
        <w:spacing w:after="0" w:line="240" w:lineRule="auto"/>
        <w:ind w:left="284" w:hanging="284"/>
        <w:jc w:val="both"/>
        <w:rPr>
          <w:rFonts w:ascii="Times New Roman" w:hAnsi="Times New Roman" w:cs="Times New Roman"/>
          <w:b/>
          <w:sz w:val="24"/>
          <w:szCs w:val="24"/>
        </w:rPr>
      </w:pPr>
      <w:r w:rsidRPr="009303AE">
        <w:rPr>
          <w:rFonts w:ascii="Times New Roman" w:hAnsi="Times New Roman" w:cs="Times New Roman"/>
          <w:b/>
          <w:sz w:val="24"/>
          <w:szCs w:val="24"/>
        </w:rPr>
        <w:t xml:space="preserve">ANTECEDENTES </w:t>
      </w:r>
    </w:p>
    <w:p w:rsidR="00875A90" w:rsidRPr="009303AE" w:rsidRDefault="00875A90" w:rsidP="00875A90">
      <w:pPr>
        <w:pStyle w:val="WW-Textoindependiente2"/>
        <w:tabs>
          <w:tab w:val="left" w:pos="0"/>
        </w:tabs>
        <w:suppressAutoHyphens w:val="0"/>
        <w:rPr>
          <w:rFonts w:ascii="Times New Roman" w:hAnsi="Times New Roman"/>
          <w:szCs w:val="24"/>
          <w:lang w:val="es-ES" w:eastAsia="es-ES"/>
        </w:rPr>
      </w:pPr>
    </w:p>
    <w:p w:rsidR="00875A90" w:rsidRPr="009303AE" w:rsidRDefault="008B498D" w:rsidP="00875A90">
      <w:pPr>
        <w:widowControl w:val="0"/>
        <w:spacing w:after="0" w:line="240" w:lineRule="auto"/>
        <w:ind w:left="1" w:firstLine="1"/>
        <w:jc w:val="both"/>
        <w:rPr>
          <w:rFonts w:ascii="Times New Roman" w:hAnsi="Times New Roman" w:cs="Times New Roman"/>
          <w:sz w:val="24"/>
          <w:szCs w:val="24"/>
          <w:lang w:val="es-ES_tradnl" w:eastAsia="es-ES"/>
        </w:rPr>
      </w:pPr>
      <w:r w:rsidRPr="009303AE">
        <w:rPr>
          <w:rFonts w:ascii="Times New Roman" w:hAnsi="Times New Roman" w:cs="Times New Roman"/>
          <w:sz w:val="24"/>
          <w:szCs w:val="24"/>
          <w:lang w:eastAsia="es-ES"/>
        </w:rPr>
        <w:t>A través de</w:t>
      </w:r>
      <w:r w:rsidR="00875A90" w:rsidRPr="009303AE">
        <w:rPr>
          <w:rFonts w:ascii="Times New Roman" w:hAnsi="Times New Roman" w:cs="Times New Roman"/>
          <w:sz w:val="24"/>
          <w:szCs w:val="24"/>
          <w:lang w:eastAsia="es-ES"/>
        </w:rPr>
        <w:t xml:space="preserve"> </w:t>
      </w:r>
      <w:r w:rsidRPr="009303AE">
        <w:rPr>
          <w:rFonts w:ascii="Times New Roman" w:hAnsi="Times New Roman" w:cs="Times New Roman"/>
          <w:sz w:val="24"/>
          <w:szCs w:val="24"/>
          <w:lang w:eastAsia="es-ES"/>
        </w:rPr>
        <w:t>documento</w:t>
      </w:r>
      <w:r w:rsidR="00875A90" w:rsidRPr="009303AE">
        <w:rPr>
          <w:rFonts w:ascii="Times New Roman" w:hAnsi="Times New Roman" w:cs="Times New Roman"/>
          <w:sz w:val="24"/>
          <w:szCs w:val="24"/>
          <w:lang w:eastAsia="es-ES"/>
        </w:rPr>
        <w:t>,</w:t>
      </w:r>
      <w:r w:rsidRPr="009303AE">
        <w:rPr>
          <w:rFonts w:ascii="Times New Roman" w:hAnsi="Times New Roman" w:cs="Times New Roman"/>
          <w:sz w:val="24"/>
          <w:szCs w:val="24"/>
          <w:lang w:eastAsia="es-ES"/>
        </w:rPr>
        <w:t xml:space="preserve"> recibido con fecha 29.12</w:t>
      </w:r>
      <w:r w:rsidR="00875A90" w:rsidRPr="009303AE">
        <w:rPr>
          <w:rFonts w:ascii="Times New Roman" w:hAnsi="Times New Roman" w:cs="Times New Roman"/>
          <w:sz w:val="24"/>
          <w:szCs w:val="24"/>
          <w:lang w:eastAsia="es-ES"/>
        </w:rPr>
        <w:t>.2015, el Presidente del Comité Especial del proceso de selección de la referencia remitió al Organismo Supervisor de las Contratacion</w:t>
      </w:r>
      <w:r w:rsidRPr="009303AE">
        <w:rPr>
          <w:rFonts w:ascii="Times New Roman" w:hAnsi="Times New Roman" w:cs="Times New Roman"/>
          <w:sz w:val="24"/>
          <w:szCs w:val="24"/>
          <w:lang w:eastAsia="es-ES"/>
        </w:rPr>
        <w:t>es del Estado (OSCE), las dos (2</w:t>
      </w:r>
      <w:r w:rsidR="00875A90" w:rsidRPr="009303AE">
        <w:rPr>
          <w:rFonts w:ascii="Times New Roman" w:hAnsi="Times New Roman" w:cs="Times New Roman"/>
          <w:sz w:val="24"/>
          <w:szCs w:val="24"/>
          <w:lang w:eastAsia="es-ES"/>
        </w:rPr>
        <w:t>) observaciones</w:t>
      </w:r>
      <w:r w:rsidRPr="009303AE">
        <w:rPr>
          <w:rFonts w:ascii="Times New Roman" w:hAnsi="Times New Roman" w:cs="Times New Roman"/>
          <w:sz w:val="24"/>
          <w:szCs w:val="24"/>
          <w:lang w:eastAsia="es-ES"/>
        </w:rPr>
        <w:t xml:space="preserve"> </w:t>
      </w:r>
      <w:r w:rsidR="0071409F" w:rsidRPr="009303AE">
        <w:rPr>
          <w:rFonts w:ascii="Times New Roman" w:hAnsi="Times New Roman" w:cs="Times New Roman"/>
          <w:sz w:val="24"/>
          <w:szCs w:val="24"/>
          <w:lang w:eastAsia="es-ES"/>
        </w:rPr>
        <w:t>formuladas</w:t>
      </w:r>
      <w:r w:rsidR="00875A90" w:rsidRPr="009303AE">
        <w:rPr>
          <w:rFonts w:ascii="Times New Roman" w:hAnsi="Times New Roman" w:cs="Times New Roman"/>
          <w:sz w:val="24"/>
          <w:szCs w:val="24"/>
          <w:lang w:eastAsia="es-ES"/>
        </w:rPr>
        <w:t xml:space="preserve"> por el participante </w:t>
      </w:r>
      <w:r w:rsidRPr="009303AE">
        <w:rPr>
          <w:rFonts w:ascii="Times New Roman" w:hAnsi="Times New Roman" w:cs="Times New Roman"/>
          <w:b/>
          <w:sz w:val="24"/>
          <w:szCs w:val="24"/>
          <w:lang w:eastAsia="es-ES"/>
        </w:rPr>
        <w:t>ELECTRONICA INDUSTRIAL Y SERVICIOS SAC</w:t>
      </w:r>
      <w:r w:rsidR="00875A90" w:rsidRPr="009303AE">
        <w:rPr>
          <w:rFonts w:ascii="Times New Roman" w:hAnsi="Times New Roman" w:cs="Times New Roman"/>
          <w:sz w:val="24"/>
          <w:szCs w:val="24"/>
          <w:lang w:eastAsia="es-ES"/>
        </w:rPr>
        <w:t>, así como el respectivo informe técnico, en cumplimiento de lo dispuesto por el artículo 28°</w:t>
      </w:r>
      <w:r w:rsidR="00875A90" w:rsidRPr="009303AE">
        <w:rPr>
          <w:rFonts w:ascii="Times New Roman" w:hAnsi="Times New Roman" w:cs="Times New Roman"/>
          <w:sz w:val="24"/>
          <w:szCs w:val="24"/>
        </w:rPr>
        <w:t xml:space="preserve"> del Decreto Legislativo Nº 1017, </w:t>
      </w:r>
      <w:r w:rsidR="00875A90" w:rsidRPr="009303AE">
        <w:rPr>
          <w:rFonts w:ascii="Times New Roman" w:hAnsi="Times New Roman" w:cs="Times New Roman"/>
          <w:sz w:val="24"/>
          <w:szCs w:val="24"/>
          <w:lang w:val="es-ES_tradnl" w:eastAsia="es-ES"/>
        </w:rPr>
        <w:t>que aprueba la Ley de Contrataciones del Estado, en adelante la Ley, y el artículo 58° de su Reglamento, aprobado por Decreto Supremo Nº 184-2008-EF, en adelante el Reglamento.</w:t>
      </w:r>
    </w:p>
    <w:p w:rsidR="00875A90" w:rsidRPr="009303AE" w:rsidRDefault="00875A90" w:rsidP="00875A90">
      <w:pPr>
        <w:widowControl w:val="0"/>
        <w:spacing w:after="0" w:line="240" w:lineRule="auto"/>
        <w:jc w:val="both"/>
        <w:rPr>
          <w:rFonts w:ascii="Times New Roman" w:hAnsi="Times New Roman" w:cs="Times New Roman"/>
          <w:b/>
          <w:sz w:val="24"/>
          <w:szCs w:val="24"/>
        </w:rPr>
      </w:pPr>
    </w:p>
    <w:p w:rsidR="00875A90" w:rsidRPr="009303AE" w:rsidRDefault="00875A90" w:rsidP="00875A90">
      <w:pPr>
        <w:pStyle w:val="WW-Sangra3detindependiente"/>
        <w:suppressAutoHyphens w:val="0"/>
        <w:ind w:left="1"/>
        <w:rPr>
          <w:szCs w:val="24"/>
        </w:rPr>
      </w:pPr>
      <w:r w:rsidRPr="009303AE">
        <w:rPr>
          <w:szCs w:val="24"/>
        </w:rPr>
        <w:t xml:space="preserve">Al respecto, resulta importante resaltar que, atendiendo a lo dispuesto por el artículo 58° del Reglamento, este Organismo Supervisor se pronunciará únicamente respecto de: a) </w:t>
      </w:r>
      <w:r w:rsidRPr="009303AE">
        <w:rPr>
          <w:szCs w:val="24"/>
          <w:u w:val="single"/>
        </w:rPr>
        <w:t>las observaciones presentadas por el solicitante que no hayan sido acogidas o son acogidas parcialmente</w:t>
      </w:r>
      <w:r w:rsidRPr="009303AE">
        <w:rPr>
          <w:szCs w:val="24"/>
        </w:rPr>
        <w:t>;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se haya registrado como participante hasta el vencimiento del plazo previsto para formular observaciones.</w:t>
      </w:r>
    </w:p>
    <w:p w:rsidR="00875A90" w:rsidRPr="009303AE" w:rsidRDefault="00875A90" w:rsidP="00875A90">
      <w:pPr>
        <w:pStyle w:val="WW-Sangra3detindependiente"/>
        <w:suppressAutoHyphens w:val="0"/>
        <w:ind w:left="0" w:firstLine="0"/>
        <w:rPr>
          <w:szCs w:val="24"/>
        </w:rPr>
      </w:pPr>
    </w:p>
    <w:p w:rsidR="008B498D" w:rsidRPr="009303AE" w:rsidRDefault="00875A90" w:rsidP="00875A90">
      <w:pPr>
        <w:pStyle w:val="WW-Sangra3detindependiente"/>
        <w:suppressAutoHyphens w:val="0"/>
        <w:ind w:left="1"/>
        <w:rPr>
          <w:szCs w:val="24"/>
        </w:rPr>
      </w:pPr>
      <w:r w:rsidRPr="009303AE">
        <w:rPr>
          <w:szCs w:val="24"/>
        </w:rPr>
        <w:t xml:space="preserve">En ese sentido, respecto de las </w:t>
      </w:r>
      <w:r w:rsidR="008B498D" w:rsidRPr="009303AE">
        <w:rPr>
          <w:szCs w:val="24"/>
        </w:rPr>
        <w:t>dos (2</w:t>
      </w:r>
      <w:r w:rsidRPr="009303AE">
        <w:rPr>
          <w:szCs w:val="24"/>
        </w:rPr>
        <w:t>) observaciones formuladas por el participante</w:t>
      </w:r>
      <w:r w:rsidRPr="009303AE">
        <w:rPr>
          <w:b/>
          <w:szCs w:val="24"/>
          <w:lang w:eastAsia="es-ES"/>
        </w:rPr>
        <w:t xml:space="preserve"> </w:t>
      </w:r>
      <w:r w:rsidR="008B498D" w:rsidRPr="009303AE">
        <w:rPr>
          <w:b/>
          <w:szCs w:val="24"/>
          <w:lang w:eastAsia="es-ES"/>
        </w:rPr>
        <w:t>ELECTRONICA INDUSTRIAL Y SERVICIOS SAC</w:t>
      </w:r>
      <w:r w:rsidRPr="009303AE">
        <w:rPr>
          <w:szCs w:val="24"/>
          <w:lang w:eastAsia="es-ES"/>
        </w:rPr>
        <w:t>, corresponde señalar que este Organismo Supervisor no se pronunciará</w:t>
      </w:r>
      <w:r w:rsidR="008B498D" w:rsidRPr="009303AE">
        <w:rPr>
          <w:szCs w:val="24"/>
          <w:lang w:eastAsia="es-ES"/>
        </w:rPr>
        <w:t xml:space="preserve"> acerca de la Observación N° 1</w:t>
      </w:r>
      <w:r w:rsidRPr="009303AE">
        <w:rPr>
          <w:szCs w:val="24"/>
          <w:lang w:eastAsia="es-ES"/>
        </w:rPr>
        <w:t xml:space="preserve">, </w:t>
      </w:r>
      <w:r w:rsidRPr="009303AE">
        <w:rPr>
          <w:szCs w:val="24"/>
        </w:rPr>
        <w:t>puesto que de la revi</w:t>
      </w:r>
      <w:r w:rsidR="008B498D" w:rsidRPr="009303AE">
        <w:rPr>
          <w:szCs w:val="24"/>
        </w:rPr>
        <w:t>sión del pliego absolutorio de consultas y observaciones</w:t>
      </w:r>
      <w:r w:rsidRPr="009303AE">
        <w:rPr>
          <w:szCs w:val="24"/>
        </w:rPr>
        <w:t xml:space="preserve"> se advierte que la misma fue acogida por el Comité Especial y dicha absolución no fue cuestionada por el participante en su solicitud de elevación de observaciones.</w:t>
      </w:r>
    </w:p>
    <w:p w:rsidR="0071409F" w:rsidRPr="009303AE" w:rsidRDefault="0071409F" w:rsidP="00875A90">
      <w:pPr>
        <w:pStyle w:val="WW-Sangra3detindependiente"/>
        <w:suppressAutoHyphens w:val="0"/>
        <w:ind w:left="1"/>
        <w:rPr>
          <w:szCs w:val="24"/>
        </w:rPr>
      </w:pPr>
    </w:p>
    <w:p w:rsidR="00875A90" w:rsidRPr="009303AE" w:rsidRDefault="0071409F" w:rsidP="00875A90">
      <w:pPr>
        <w:pStyle w:val="WW-Sangra3detindependiente"/>
        <w:suppressAutoHyphens w:val="0"/>
        <w:ind w:left="1"/>
        <w:rPr>
          <w:szCs w:val="24"/>
        </w:rPr>
      </w:pPr>
      <w:r w:rsidRPr="009303AE">
        <w:rPr>
          <w:szCs w:val="24"/>
        </w:rPr>
        <w:t xml:space="preserve">Cabe </w:t>
      </w:r>
      <w:r w:rsidR="00145A71" w:rsidRPr="009303AE">
        <w:rPr>
          <w:szCs w:val="24"/>
        </w:rPr>
        <w:t xml:space="preserve">indicar que </w:t>
      </w:r>
      <w:r w:rsidRPr="009303AE">
        <w:rPr>
          <w:szCs w:val="24"/>
        </w:rPr>
        <w:t xml:space="preserve">si bien a través de su solicitud de elevación el participante pretende cuestionar la respuesta a la </w:t>
      </w:r>
      <w:r w:rsidR="00985775" w:rsidRPr="009303AE">
        <w:rPr>
          <w:szCs w:val="24"/>
        </w:rPr>
        <w:t>Consulta N° 3 del participante SISTEMAS DE PROTECCIÓN ELECTRICA S.A.C</w:t>
      </w:r>
      <w:r w:rsidRPr="009303AE">
        <w:rPr>
          <w:szCs w:val="24"/>
        </w:rPr>
        <w:t xml:space="preserve"> al no enmarcarse en alguno de los</w:t>
      </w:r>
      <w:r w:rsidR="00985775" w:rsidRPr="009303AE">
        <w:rPr>
          <w:szCs w:val="24"/>
        </w:rPr>
        <w:t xml:space="preserve"> supuesto</w:t>
      </w:r>
      <w:r w:rsidRPr="009303AE">
        <w:rPr>
          <w:szCs w:val="24"/>
        </w:rPr>
        <w:t>s</w:t>
      </w:r>
      <w:r w:rsidR="00985775" w:rsidRPr="009303AE">
        <w:rPr>
          <w:szCs w:val="24"/>
        </w:rPr>
        <w:t xml:space="preserve"> previsto</w:t>
      </w:r>
      <w:r w:rsidRPr="009303AE">
        <w:rPr>
          <w:szCs w:val="24"/>
        </w:rPr>
        <w:t>s</w:t>
      </w:r>
      <w:r w:rsidR="00985775" w:rsidRPr="009303AE">
        <w:rPr>
          <w:szCs w:val="24"/>
        </w:rPr>
        <w:t xml:space="preserve"> en el artículo 58° del Reglamento, este Organismo Supervisor no emitirá pronunciamiento al respecto.  </w:t>
      </w:r>
    </w:p>
    <w:p w:rsidR="003E0148" w:rsidRPr="009303AE" w:rsidRDefault="003E0148" w:rsidP="00875A90">
      <w:pPr>
        <w:pStyle w:val="WW-Sangra3detindependiente"/>
        <w:suppressAutoHyphens w:val="0"/>
        <w:ind w:left="0" w:firstLine="0"/>
        <w:rPr>
          <w:szCs w:val="24"/>
        </w:rPr>
      </w:pPr>
    </w:p>
    <w:p w:rsidR="00875A90" w:rsidRPr="009303AE" w:rsidRDefault="0071409F" w:rsidP="00875A90">
      <w:pPr>
        <w:pStyle w:val="WW-Sangra3detindependiente"/>
        <w:suppressAutoHyphens w:val="0"/>
        <w:ind w:left="0" w:firstLine="0"/>
        <w:rPr>
          <w:snapToGrid w:val="0"/>
          <w:szCs w:val="24"/>
          <w:lang w:val="es-PE"/>
        </w:rPr>
      </w:pPr>
      <w:r w:rsidRPr="009303AE">
        <w:rPr>
          <w:szCs w:val="24"/>
        </w:rPr>
        <w:t>Sin perjuicio</w:t>
      </w:r>
      <w:r w:rsidR="00875A90" w:rsidRPr="009303AE">
        <w:rPr>
          <w:szCs w:val="24"/>
        </w:rPr>
        <w:t xml:space="preserve"> </w:t>
      </w:r>
      <w:r w:rsidR="00875A90" w:rsidRPr="009303AE">
        <w:rPr>
          <w:snapToGrid w:val="0"/>
          <w:szCs w:val="24"/>
          <w:lang w:val="es-PE"/>
        </w:rPr>
        <w:t>de las observaciones de oficio que puedan realizarse al amparo de lo previsto por el inciso a) del artículo 58° de la ley.</w:t>
      </w:r>
    </w:p>
    <w:p w:rsidR="00875A90" w:rsidRPr="009303AE" w:rsidRDefault="00875A90" w:rsidP="00875A90">
      <w:pPr>
        <w:pStyle w:val="WW-Sangra3detindependiente"/>
        <w:suppressAutoHyphens w:val="0"/>
        <w:ind w:left="0" w:firstLine="0"/>
        <w:rPr>
          <w:snapToGrid w:val="0"/>
          <w:szCs w:val="24"/>
          <w:lang w:val="es-PE"/>
        </w:rPr>
      </w:pPr>
    </w:p>
    <w:p w:rsidR="00344BCC" w:rsidRPr="009303AE" w:rsidRDefault="00344BCC" w:rsidP="00875A90">
      <w:pPr>
        <w:pStyle w:val="WW-Sangra3detindependiente"/>
        <w:suppressAutoHyphens w:val="0"/>
        <w:ind w:left="0" w:firstLine="0"/>
        <w:rPr>
          <w:snapToGrid w:val="0"/>
          <w:szCs w:val="24"/>
          <w:lang w:val="es-PE"/>
        </w:rPr>
      </w:pPr>
    </w:p>
    <w:p w:rsidR="00344BCC" w:rsidRPr="009303AE" w:rsidRDefault="00344BCC" w:rsidP="00875A90">
      <w:pPr>
        <w:pStyle w:val="WW-Sangra3detindependiente"/>
        <w:suppressAutoHyphens w:val="0"/>
        <w:ind w:left="0" w:firstLine="0"/>
        <w:rPr>
          <w:snapToGrid w:val="0"/>
          <w:szCs w:val="24"/>
          <w:lang w:val="es-PE"/>
        </w:rPr>
      </w:pPr>
    </w:p>
    <w:p w:rsidR="00344BCC" w:rsidRPr="009303AE" w:rsidRDefault="00344BCC" w:rsidP="00875A90">
      <w:pPr>
        <w:pStyle w:val="WW-Sangra3detindependiente"/>
        <w:suppressAutoHyphens w:val="0"/>
        <w:ind w:left="0" w:firstLine="0"/>
        <w:rPr>
          <w:snapToGrid w:val="0"/>
          <w:szCs w:val="24"/>
          <w:lang w:val="es-PE"/>
        </w:rPr>
      </w:pPr>
    </w:p>
    <w:p w:rsidR="00344BCC" w:rsidRPr="009303AE" w:rsidRDefault="00344BCC" w:rsidP="00875A90">
      <w:pPr>
        <w:pStyle w:val="WW-Sangra3detindependiente"/>
        <w:suppressAutoHyphens w:val="0"/>
        <w:ind w:left="0" w:firstLine="0"/>
        <w:rPr>
          <w:snapToGrid w:val="0"/>
          <w:szCs w:val="24"/>
          <w:lang w:val="es-PE"/>
        </w:rPr>
      </w:pPr>
    </w:p>
    <w:p w:rsidR="00344BCC" w:rsidRPr="009303AE" w:rsidRDefault="00344BCC" w:rsidP="00875A90">
      <w:pPr>
        <w:pStyle w:val="WW-Sangra3detindependiente"/>
        <w:suppressAutoHyphens w:val="0"/>
        <w:ind w:left="0" w:firstLine="0"/>
        <w:rPr>
          <w:snapToGrid w:val="0"/>
          <w:szCs w:val="24"/>
          <w:lang w:val="es-PE"/>
        </w:rPr>
      </w:pPr>
    </w:p>
    <w:p w:rsidR="00875A90" w:rsidRPr="009303AE" w:rsidRDefault="00875A90" w:rsidP="00875A90">
      <w:pPr>
        <w:widowControl w:val="0"/>
        <w:numPr>
          <w:ilvl w:val="0"/>
          <w:numId w:val="1"/>
        </w:numPr>
        <w:spacing w:after="0" w:line="240" w:lineRule="auto"/>
        <w:jc w:val="both"/>
        <w:rPr>
          <w:rFonts w:ascii="Times New Roman" w:hAnsi="Times New Roman" w:cs="Times New Roman"/>
          <w:b/>
          <w:sz w:val="24"/>
          <w:szCs w:val="24"/>
        </w:rPr>
      </w:pPr>
      <w:r w:rsidRPr="009303AE">
        <w:rPr>
          <w:rFonts w:ascii="Times New Roman" w:hAnsi="Times New Roman" w:cs="Times New Roman"/>
          <w:b/>
          <w:sz w:val="24"/>
          <w:szCs w:val="24"/>
        </w:rPr>
        <w:lastRenderedPageBreak/>
        <w:t>OBSERVACIONES</w:t>
      </w:r>
    </w:p>
    <w:p w:rsidR="00875A90" w:rsidRPr="009303AE" w:rsidRDefault="00875A90" w:rsidP="00875A90">
      <w:pPr>
        <w:widowControl w:val="0"/>
        <w:spacing w:after="0" w:line="240" w:lineRule="auto"/>
        <w:ind w:left="360"/>
        <w:jc w:val="both"/>
        <w:rPr>
          <w:rFonts w:ascii="Times New Roman" w:hAnsi="Times New Roman" w:cs="Times New Roman"/>
          <w:b/>
          <w:sz w:val="24"/>
          <w:szCs w:val="24"/>
        </w:rPr>
      </w:pPr>
    </w:p>
    <w:p w:rsidR="00875A90" w:rsidRPr="009303AE" w:rsidRDefault="008B498D" w:rsidP="00875A90">
      <w:pPr>
        <w:widowControl w:val="0"/>
        <w:spacing w:after="0" w:line="240" w:lineRule="auto"/>
        <w:jc w:val="both"/>
        <w:rPr>
          <w:rFonts w:ascii="Times New Roman" w:hAnsi="Times New Roman" w:cs="Times New Roman"/>
          <w:b/>
          <w:sz w:val="24"/>
          <w:szCs w:val="24"/>
          <w:lang w:eastAsia="es-ES"/>
        </w:rPr>
      </w:pPr>
      <w:r w:rsidRPr="009303AE">
        <w:rPr>
          <w:rFonts w:ascii="Times New Roman" w:hAnsi="Times New Roman" w:cs="Times New Roman"/>
          <w:b/>
          <w:sz w:val="24"/>
          <w:szCs w:val="24"/>
        </w:rPr>
        <w:t>2.1. Observante:</w:t>
      </w:r>
      <w:r w:rsidRPr="009303AE">
        <w:rPr>
          <w:rFonts w:ascii="Times New Roman" w:hAnsi="Times New Roman" w:cs="Times New Roman"/>
          <w:b/>
          <w:sz w:val="24"/>
          <w:szCs w:val="24"/>
        </w:rPr>
        <w:tab/>
      </w:r>
      <w:r w:rsidRPr="009303AE">
        <w:rPr>
          <w:rFonts w:ascii="Times New Roman" w:hAnsi="Times New Roman" w:cs="Times New Roman"/>
          <w:b/>
          <w:sz w:val="24"/>
          <w:szCs w:val="24"/>
        </w:rPr>
        <w:tab/>
        <w:t xml:space="preserve">   </w:t>
      </w:r>
      <w:r w:rsidRPr="009303AE">
        <w:rPr>
          <w:rFonts w:ascii="Times New Roman" w:hAnsi="Times New Roman" w:cs="Times New Roman"/>
          <w:b/>
          <w:sz w:val="24"/>
          <w:szCs w:val="24"/>
          <w:lang w:eastAsia="es-ES"/>
        </w:rPr>
        <w:t>ELECTRONICA INDUSTRIAL Y SERVICIOS SAC</w:t>
      </w:r>
    </w:p>
    <w:p w:rsidR="00875A90" w:rsidRPr="009303AE" w:rsidRDefault="00875A90" w:rsidP="00875A90">
      <w:pPr>
        <w:widowControl w:val="0"/>
        <w:spacing w:after="0" w:line="240" w:lineRule="auto"/>
        <w:ind w:left="2552" w:hanging="2552"/>
        <w:jc w:val="both"/>
        <w:rPr>
          <w:rFonts w:ascii="Times New Roman" w:hAnsi="Times New Roman" w:cs="Times New Roman"/>
          <w:b/>
          <w:sz w:val="24"/>
          <w:szCs w:val="24"/>
        </w:rPr>
      </w:pPr>
    </w:p>
    <w:p w:rsidR="003E0148" w:rsidRPr="009303AE" w:rsidRDefault="00875A90" w:rsidP="00344BCC">
      <w:pPr>
        <w:widowControl w:val="0"/>
        <w:spacing w:after="0" w:line="240" w:lineRule="auto"/>
        <w:ind w:left="2835" w:hanging="2835"/>
        <w:jc w:val="both"/>
        <w:rPr>
          <w:rFonts w:ascii="Times New Roman" w:hAnsi="Times New Roman" w:cs="Times New Roman"/>
          <w:b/>
          <w:sz w:val="24"/>
          <w:szCs w:val="24"/>
        </w:rPr>
      </w:pPr>
      <w:r w:rsidRPr="009303AE">
        <w:rPr>
          <w:rFonts w:ascii="Times New Roman" w:hAnsi="Times New Roman" w:cs="Times New Roman"/>
          <w:b/>
          <w:sz w:val="24"/>
          <w:szCs w:val="24"/>
        </w:rPr>
        <w:t>Observación  N°</w:t>
      </w:r>
      <w:r w:rsidR="003E0148" w:rsidRPr="009303AE">
        <w:rPr>
          <w:rFonts w:ascii="Times New Roman" w:hAnsi="Times New Roman" w:cs="Times New Roman"/>
          <w:b/>
          <w:sz w:val="24"/>
          <w:szCs w:val="24"/>
        </w:rPr>
        <w:t xml:space="preserve"> 2</w:t>
      </w:r>
      <w:r w:rsidRPr="009303AE">
        <w:rPr>
          <w:rFonts w:ascii="Times New Roman" w:hAnsi="Times New Roman" w:cs="Times New Roman"/>
          <w:b/>
          <w:sz w:val="24"/>
          <w:szCs w:val="24"/>
        </w:rPr>
        <w:t>:</w:t>
      </w:r>
      <w:r w:rsidRPr="009303AE">
        <w:rPr>
          <w:rFonts w:ascii="Times New Roman" w:hAnsi="Times New Roman" w:cs="Times New Roman"/>
          <w:b/>
          <w:sz w:val="24"/>
          <w:szCs w:val="24"/>
        </w:rPr>
        <w:tab/>
        <w:t xml:space="preserve">             </w:t>
      </w:r>
      <w:r w:rsidR="00311ACB" w:rsidRPr="009303AE">
        <w:rPr>
          <w:rFonts w:ascii="Times New Roman" w:hAnsi="Times New Roman" w:cs="Times New Roman"/>
          <w:b/>
          <w:sz w:val="24"/>
          <w:szCs w:val="24"/>
        </w:rPr>
        <w:t xml:space="preserve">               </w:t>
      </w:r>
      <w:r w:rsidRPr="009303AE">
        <w:rPr>
          <w:rFonts w:ascii="Times New Roman" w:hAnsi="Times New Roman" w:cs="Times New Roman"/>
          <w:b/>
          <w:sz w:val="24"/>
          <w:szCs w:val="24"/>
        </w:rPr>
        <w:t xml:space="preserve">Contra el </w:t>
      </w:r>
      <w:r w:rsidR="00311ACB" w:rsidRPr="009303AE">
        <w:rPr>
          <w:rFonts w:ascii="Times New Roman" w:hAnsi="Times New Roman" w:cs="Times New Roman"/>
          <w:b/>
          <w:sz w:val="24"/>
          <w:szCs w:val="24"/>
        </w:rPr>
        <w:t>valor referencial</w:t>
      </w:r>
    </w:p>
    <w:p w:rsidR="00352272" w:rsidRPr="009303AE" w:rsidRDefault="00352272" w:rsidP="00344BCC">
      <w:pPr>
        <w:widowControl w:val="0"/>
        <w:spacing w:after="0" w:line="240" w:lineRule="auto"/>
        <w:ind w:left="2835" w:hanging="2835"/>
        <w:jc w:val="both"/>
        <w:rPr>
          <w:rFonts w:ascii="Times New Roman" w:hAnsi="Times New Roman" w:cs="Times New Roman"/>
          <w:b/>
          <w:sz w:val="24"/>
          <w:szCs w:val="24"/>
        </w:rPr>
      </w:pPr>
    </w:p>
    <w:p w:rsidR="006F5FCE" w:rsidRPr="009303AE" w:rsidRDefault="00875A90" w:rsidP="00875A90">
      <w:pPr>
        <w:widowControl w:val="0"/>
        <w:spacing w:after="0" w:line="240" w:lineRule="auto"/>
        <w:jc w:val="both"/>
        <w:rPr>
          <w:rFonts w:ascii="Times New Roman" w:hAnsi="Times New Roman" w:cs="Times New Roman"/>
          <w:sz w:val="24"/>
          <w:szCs w:val="24"/>
        </w:rPr>
      </w:pPr>
      <w:r w:rsidRPr="009303AE">
        <w:rPr>
          <w:rFonts w:ascii="Times New Roman" w:hAnsi="Times New Roman" w:cs="Times New Roman"/>
          <w:sz w:val="24"/>
          <w:szCs w:val="24"/>
        </w:rPr>
        <w:t xml:space="preserve">El participante cuestiona </w:t>
      </w:r>
      <w:r w:rsidR="00145A71" w:rsidRPr="009303AE">
        <w:rPr>
          <w:rFonts w:ascii="Times New Roman" w:hAnsi="Times New Roman" w:cs="Times New Roman"/>
          <w:sz w:val="24"/>
          <w:szCs w:val="24"/>
        </w:rPr>
        <w:t>el valor refer</w:t>
      </w:r>
      <w:r w:rsidR="00721DFF" w:rsidRPr="009303AE">
        <w:rPr>
          <w:rFonts w:ascii="Times New Roman" w:hAnsi="Times New Roman" w:cs="Times New Roman"/>
          <w:sz w:val="24"/>
          <w:szCs w:val="24"/>
        </w:rPr>
        <w:t>e</w:t>
      </w:r>
      <w:r w:rsidR="00145A71" w:rsidRPr="009303AE">
        <w:rPr>
          <w:rFonts w:ascii="Times New Roman" w:hAnsi="Times New Roman" w:cs="Times New Roman"/>
          <w:sz w:val="24"/>
          <w:szCs w:val="24"/>
        </w:rPr>
        <w:t>ncial,</w:t>
      </w:r>
      <w:r w:rsidR="003E0148" w:rsidRPr="009303AE">
        <w:rPr>
          <w:rFonts w:ascii="Times New Roman" w:hAnsi="Times New Roman" w:cs="Times New Roman"/>
          <w:sz w:val="24"/>
          <w:szCs w:val="24"/>
        </w:rPr>
        <w:t xml:space="preserve"> pues sostiene que </w:t>
      </w:r>
      <w:r w:rsidR="006F5FCE" w:rsidRPr="009303AE">
        <w:rPr>
          <w:rFonts w:ascii="Times New Roman" w:hAnsi="Times New Roman" w:cs="Times New Roman"/>
          <w:sz w:val="24"/>
          <w:szCs w:val="24"/>
        </w:rPr>
        <w:t xml:space="preserve">la presente contratación corresponde a dos (2) tipos de UPS, los cuales </w:t>
      </w:r>
      <w:r w:rsidR="00532DD7" w:rsidRPr="009303AE">
        <w:rPr>
          <w:rFonts w:ascii="Times New Roman" w:hAnsi="Times New Roman" w:cs="Times New Roman"/>
          <w:sz w:val="24"/>
          <w:szCs w:val="24"/>
        </w:rPr>
        <w:t>son</w:t>
      </w:r>
      <w:r w:rsidR="006F5FCE" w:rsidRPr="009303AE">
        <w:rPr>
          <w:rFonts w:ascii="Times New Roman" w:hAnsi="Times New Roman" w:cs="Times New Roman"/>
          <w:sz w:val="24"/>
          <w:szCs w:val="24"/>
        </w:rPr>
        <w:t xml:space="preserve"> “Equipos Monofásicos” y “Equipos Trifásico”; no obstante del cuadro comparativo registrado en el SEACE, se advierte que la cotización de la empresa </w:t>
      </w:r>
      <w:r w:rsidR="006F5FCE" w:rsidRPr="009303AE">
        <w:rPr>
          <w:rFonts w:ascii="Times New Roman" w:hAnsi="Times New Roman" w:cs="Times New Roman"/>
          <w:i/>
          <w:sz w:val="24"/>
          <w:szCs w:val="24"/>
        </w:rPr>
        <w:t>Sistemas de Protección Eléctrica S.A.C</w:t>
      </w:r>
      <w:r w:rsidR="0071409F" w:rsidRPr="009303AE">
        <w:rPr>
          <w:rFonts w:ascii="Times New Roman" w:hAnsi="Times New Roman" w:cs="Times New Roman"/>
          <w:sz w:val="24"/>
          <w:szCs w:val="24"/>
        </w:rPr>
        <w:t xml:space="preserve">, sobre la cual se habría determinado el valor referencial, </w:t>
      </w:r>
      <w:r w:rsidR="006F5FCE" w:rsidRPr="009303AE">
        <w:rPr>
          <w:rFonts w:ascii="Times New Roman" w:hAnsi="Times New Roman" w:cs="Times New Roman"/>
          <w:sz w:val="24"/>
          <w:szCs w:val="24"/>
        </w:rPr>
        <w:t>sólo considera un (1) modelo de UPS</w:t>
      </w:r>
      <w:r w:rsidR="008C31C7" w:rsidRPr="009303AE">
        <w:rPr>
          <w:rFonts w:ascii="Times New Roman" w:hAnsi="Times New Roman" w:cs="Times New Roman"/>
          <w:sz w:val="24"/>
          <w:szCs w:val="24"/>
        </w:rPr>
        <w:t xml:space="preserve">, siendo el modelo “NETYS RT” correspondiente a la marca SOCOMEC, </w:t>
      </w:r>
      <w:r w:rsidR="00344BCC" w:rsidRPr="009303AE">
        <w:rPr>
          <w:rFonts w:ascii="Times New Roman" w:hAnsi="Times New Roman" w:cs="Times New Roman"/>
          <w:sz w:val="24"/>
          <w:szCs w:val="24"/>
        </w:rPr>
        <w:t>perteneciendo</w:t>
      </w:r>
      <w:r w:rsidR="008C31C7" w:rsidRPr="009303AE">
        <w:rPr>
          <w:rFonts w:ascii="Times New Roman" w:hAnsi="Times New Roman" w:cs="Times New Roman"/>
          <w:sz w:val="24"/>
          <w:szCs w:val="24"/>
        </w:rPr>
        <w:t xml:space="preserve"> a un equipo “Monofásico”. </w:t>
      </w:r>
    </w:p>
    <w:p w:rsidR="00875A90" w:rsidRPr="009303AE" w:rsidRDefault="00875A90" w:rsidP="00875A90">
      <w:pPr>
        <w:widowControl w:val="0"/>
        <w:spacing w:after="0" w:line="240" w:lineRule="auto"/>
        <w:jc w:val="both"/>
        <w:rPr>
          <w:rFonts w:ascii="Times New Roman" w:hAnsi="Times New Roman" w:cs="Times New Roman"/>
          <w:sz w:val="24"/>
          <w:szCs w:val="24"/>
        </w:rPr>
      </w:pPr>
    </w:p>
    <w:p w:rsidR="00875A90" w:rsidRPr="009303AE" w:rsidRDefault="00875A90" w:rsidP="00875A90">
      <w:pPr>
        <w:widowControl w:val="0"/>
        <w:spacing w:after="0" w:line="240" w:lineRule="auto"/>
        <w:jc w:val="both"/>
        <w:rPr>
          <w:rFonts w:ascii="Times New Roman" w:hAnsi="Times New Roman" w:cs="Times New Roman"/>
          <w:b/>
          <w:sz w:val="24"/>
          <w:szCs w:val="24"/>
        </w:rPr>
      </w:pPr>
      <w:r w:rsidRPr="009303AE">
        <w:rPr>
          <w:rFonts w:ascii="Times New Roman" w:hAnsi="Times New Roman" w:cs="Times New Roman"/>
          <w:b/>
          <w:sz w:val="24"/>
          <w:szCs w:val="24"/>
        </w:rPr>
        <w:t xml:space="preserve">Pronunciamiento </w:t>
      </w:r>
    </w:p>
    <w:p w:rsidR="00573F14" w:rsidRPr="009303AE" w:rsidRDefault="00573F14" w:rsidP="00875A90">
      <w:pPr>
        <w:autoSpaceDE w:val="0"/>
        <w:autoSpaceDN w:val="0"/>
        <w:adjustRightInd w:val="0"/>
        <w:spacing w:after="0" w:line="240" w:lineRule="auto"/>
        <w:ind w:right="-1"/>
        <w:jc w:val="both"/>
        <w:rPr>
          <w:rFonts w:ascii="Times New Roman" w:hAnsi="Times New Roman" w:cs="Times New Roman"/>
          <w:color w:val="000000"/>
          <w:sz w:val="24"/>
          <w:szCs w:val="24"/>
        </w:rPr>
      </w:pPr>
    </w:p>
    <w:p w:rsidR="009A63C7" w:rsidRPr="009303AE" w:rsidRDefault="00573F14" w:rsidP="00573F14">
      <w:pPr>
        <w:pStyle w:val="NormalWeb"/>
        <w:spacing w:before="0" w:beforeAutospacing="0" w:after="0" w:afterAutospacing="0"/>
        <w:jc w:val="both"/>
      </w:pPr>
      <w:r w:rsidRPr="009303AE">
        <w:t xml:space="preserve">Del Resumen Ejecutivo se advierte que, a efectos de determinar el valor referencial, </w:t>
      </w:r>
      <w:r w:rsidR="00A0421A" w:rsidRPr="009303AE">
        <w:t>la Entidad ha recurrido a una (1) fuente “cotizaciones”</w:t>
      </w:r>
      <w:r w:rsidR="00540946" w:rsidRPr="009303AE">
        <w:t>, indica</w:t>
      </w:r>
      <w:r w:rsidR="00AA1FD9" w:rsidRPr="009303AE">
        <w:t>n</w:t>
      </w:r>
      <w:r w:rsidR="00540946" w:rsidRPr="009303AE">
        <w:t xml:space="preserve">do en el numeral 3.1 </w:t>
      </w:r>
      <w:r w:rsidR="00B04B83" w:rsidRPr="009303AE">
        <w:t>lo siguiente</w:t>
      </w:r>
      <w:r w:rsidR="00540946" w:rsidRPr="009303AE">
        <w:t xml:space="preserve">: </w:t>
      </w:r>
      <w:r w:rsidR="00540946" w:rsidRPr="009303AE">
        <w:rPr>
          <w:i/>
        </w:rPr>
        <w:t>“No es posible contar con una segunda fuente válida de información, debido a que la adquisición anterior (año 2006) incluyó una mayor cantidad de equipos, así como todo el cableado de la red del Banco, no haciéndolo comparable con compras anteriores realizadas por otras Entidades (SEACE)”</w:t>
      </w:r>
      <w:r w:rsidR="00A0421A" w:rsidRPr="009303AE">
        <w:rPr>
          <w:i/>
        </w:rPr>
        <w:t>.</w:t>
      </w:r>
      <w:r w:rsidR="00A0421A" w:rsidRPr="009303AE">
        <w:t xml:space="preserve"> Las cotizaciones recibidas fueron las siguientes: </w:t>
      </w:r>
    </w:p>
    <w:p w:rsidR="009A63C7" w:rsidRPr="009303AE" w:rsidRDefault="009A63C7" w:rsidP="009A63C7">
      <w:pPr>
        <w:pStyle w:val="NormalWeb"/>
        <w:spacing w:before="0" w:beforeAutospacing="0" w:after="0" w:afterAutospacing="0"/>
        <w:jc w:val="both"/>
      </w:pPr>
      <w:r w:rsidRPr="009303AE">
        <w:rPr>
          <w:noProof/>
        </w:rPr>
        <w:drawing>
          <wp:inline distT="0" distB="0" distL="0" distR="0">
            <wp:extent cx="5502875" cy="4628387"/>
            <wp:effectExtent l="0" t="0" r="3175"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147" cy="4637868"/>
                    </a:xfrm>
                    <a:prstGeom prst="rect">
                      <a:avLst/>
                    </a:prstGeom>
                    <a:noFill/>
                    <a:ln>
                      <a:noFill/>
                    </a:ln>
                  </pic:spPr>
                </pic:pic>
              </a:graphicData>
            </a:graphic>
          </wp:inline>
        </w:drawing>
      </w:r>
    </w:p>
    <w:p w:rsidR="0071409F" w:rsidRPr="009303AE" w:rsidRDefault="0071409F" w:rsidP="009A63C7">
      <w:pPr>
        <w:pStyle w:val="NormalWeb"/>
        <w:spacing w:before="0" w:beforeAutospacing="0" w:after="0" w:afterAutospacing="0"/>
        <w:jc w:val="both"/>
      </w:pPr>
      <w:r w:rsidRPr="009303AE">
        <w:lastRenderedPageBreak/>
        <w:t>En cuanto a la metodología utilizada para determinar el valor referencial, en el cuadro comparativo se señala que se utilizó el menor valor de la proforma válida recibida, la cual corresponde a la empresa Sistema de Protección Eléctrica S.A.C.</w:t>
      </w:r>
    </w:p>
    <w:p w:rsidR="0071409F" w:rsidRPr="009303AE" w:rsidRDefault="0071409F" w:rsidP="00573F14">
      <w:pPr>
        <w:pStyle w:val="Normaltimes"/>
        <w:rPr>
          <w:szCs w:val="24"/>
          <w:lang w:val="es-PE"/>
        </w:rPr>
      </w:pPr>
    </w:p>
    <w:p w:rsidR="001D2B99" w:rsidRPr="009303AE" w:rsidRDefault="001D2B99" w:rsidP="001D2B99">
      <w:pPr>
        <w:pStyle w:val="Normaltimes"/>
        <w:rPr>
          <w:szCs w:val="24"/>
          <w:lang w:val="es-PE"/>
        </w:rPr>
      </w:pPr>
      <w:r w:rsidRPr="009303AE">
        <w:rPr>
          <w:szCs w:val="24"/>
          <w:lang w:val="es-PE"/>
        </w:rPr>
        <w:t>Por su parte, en el literal A</w:t>
      </w:r>
      <w:r w:rsidR="00E05A1C" w:rsidRPr="009303AE">
        <w:rPr>
          <w:szCs w:val="24"/>
          <w:lang w:val="es-PE"/>
        </w:rPr>
        <w:t>.</w:t>
      </w:r>
      <w:r w:rsidRPr="009303AE">
        <w:rPr>
          <w:szCs w:val="24"/>
          <w:lang w:val="es-PE"/>
        </w:rPr>
        <w:t>1 del Capítulo III se advierte lo siguiente</w:t>
      </w:r>
      <w:r w:rsidR="00E05A1C" w:rsidRPr="009303AE">
        <w:rPr>
          <w:szCs w:val="24"/>
          <w:lang w:val="es-PE"/>
        </w:rPr>
        <w:t>:</w:t>
      </w:r>
    </w:p>
    <w:p w:rsidR="004A6613" w:rsidRPr="009303AE" w:rsidRDefault="004A6613" w:rsidP="001D2B99">
      <w:pPr>
        <w:pStyle w:val="Normaltimes"/>
        <w:rPr>
          <w:szCs w:val="24"/>
          <w:lang w:val="es-PE"/>
        </w:rPr>
      </w:pPr>
    </w:p>
    <w:p w:rsidR="0071409F" w:rsidRPr="009303AE" w:rsidRDefault="004A6613" w:rsidP="004A6613">
      <w:pPr>
        <w:pStyle w:val="Normaltimes"/>
        <w:jc w:val="center"/>
        <w:rPr>
          <w:szCs w:val="24"/>
          <w:lang w:val="es-PE"/>
        </w:rPr>
      </w:pPr>
      <w:r w:rsidRPr="009303AE">
        <w:rPr>
          <w:noProof/>
          <w:szCs w:val="24"/>
          <w:lang w:val="es-PE" w:eastAsia="es-PE"/>
        </w:rPr>
        <w:drawing>
          <wp:inline distT="0" distB="0" distL="0" distR="0">
            <wp:extent cx="4013501" cy="955589"/>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5022" cy="960713"/>
                    </a:xfrm>
                    <a:prstGeom prst="rect">
                      <a:avLst/>
                    </a:prstGeom>
                    <a:noFill/>
                    <a:ln>
                      <a:noFill/>
                    </a:ln>
                  </pic:spPr>
                </pic:pic>
              </a:graphicData>
            </a:graphic>
          </wp:inline>
        </w:drawing>
      </w:r>
    </w:p>
    <w:p w:rsidR="009A63C7" w:rsidRPr="009303AE" w:rsidRDefault="009A63C7" w:rsidP="009A63C7">
      <w:pPr>
        <w:pStyle w:val="Normaltimes"/>
        <w:rPr>
          <w:szCs w:val="24"/>
          <w:lang w:val="es-PE"/>
        </w:rPr>
      </w:pPr>
    </w:p>
    <w:p w:rsidR="009A63C7" w:rsidRPr="009303AE" w:rsidRDefault="009A63C7" w:rsidP="009A63C7">
      <w:pPr>
        <w:pStyle w:val="Normaltimes"/>
        <w:jc w:val="center"/>
        <w:rPr>
          <w:szCs w:val="24"/>
          <w:lang w:val="es-PE"/>
        </w:rPr>
      </w:pPr>
      <w:r w:rsidRPr="009303AE">
        <w:rPr>
          <w:noProof/>
          <w:szCs w:val="24"/>
          <w:lang w:val="es-PE" w:eastAsia="es-PE"/>
        </w:rPr>
        <w:drawing>
          <wp:inline distT="0" distB="0" distL="0" distR="0">
            <wp:extent cx="4346253" cy="66726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7301" cy="672032"/>
                    </a:xfrm>
                    <a:prstGeom prst="rect">
                      <a:avLst/>
                    </a:prstGeom>
                    <a:noFill/>
                    <a:ln>
                      <a:noFill/>
                    </a:ln>
                  </pic:spPr>
                </pic:pic>
              </a:graphicData>
            </a:graphic>
          </wp:inline>
        </w:drawing>
      </w:r>
    </w:p>
    <w:p w:rsidR="0071409F" w:rsidRPr="009303AE" w:rsidRDefault="009A63C7" w:rsidP="009A63C7">
      <w:pPr>
        <w:pStyle w:val="Normaltimes"/>
        <w:jc w:val="center"/>
        <w:rPr>
          <w:szCs w:val="24"/>
          <w:lang w:val="es-PE"/>
        </w:rPr>
      </w:pPr>
      <w:r w:rsidRPr="009303AE">
        <w:rPr>
          <w:noProof/>
          <w:szCs w:val="24"/>
          <w:lang w:val="es-PE" w:eastAsia="es-PE"/>
        </w:rPr>
        <w:drawing>
          <wp:inline distT="0" distB="0" distL="0" distR="0">
            <wp:extent cx="3531194" cy="489585"/>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6096" cy="502743"/>
                    </a:xfrm>
                    <a:prstGeom prst="rect">
                      <a:avLst/>
                    </a:prstGeom>
                    <a:noFill/>
                    <a:ln>
                      <a:noFill/>
                    </a:ln>
                  </pic:spPr>
                </pic:pic>
              </a:graphicData>
            </a:graphic>
          </wp:inline>
        </w:drawing>
      </w:r>
    </w:p>
    <w:p w:rsidR="009A63C7" w:rsidRPr="009303AE" w:rsidRDefault="009A63C7" w:rsidP="009A63C7">
      <w:pPr>
        <w:pStyle w:val="Normaltimes"/>
        <w:jc w:val="center"/>
        <w:rPr>
          <w:szCs w:val="24"/>
          <w:lang w:val="es-PE"/>
        </w:rPr>
      </w:pPr>
    </w:p>
    <w:p w:rsidR="00573F14" w:rsidRPr="009303AE" w:rsidRDefault="0071409F" w:rsidP="00E05A1C">
      <w:pPr>
        <w:pStyle w:val="Normaltimes"/>
        <w:jc w:val="both"/>
        <w:rPr>
          <w:szCs w:val="24"/>
          <w:lang w:val="es-PE"/>
        </w:rPr>
      </w:pPr>
      <w:r w:rsidRPr="009303AE">
        <w:rPr>
          <w:szCs w:val="24"/>
          <w:lang w:val="es-PE"/>
        </w:rPr>
        <w:t xml:space="preserve">En el </w:t>
      </w:r>
      <w:r w:rsidR="00573F14" w:rsidRPr="009303AE">
        <w:rPr>
          <w:szCs w:val="24"/>
          <w:lang w:val="es-PE"/>
        </w:rPr>
        <w:t>pliego absolutorio de consultas y observaciones, al absolver la presente observación el Comité Especial</w:t>
      </w:r>
      <w:r w:rsidR="00AA1FD9" w:rsidRPr="009303AE">
        <w:rPr>
          <w:szCs w:val="24"/>
          <w:lang w:val="es-PE"/>
        </w:rPr>
        <w:t xml:space="preserve"> </w:t>
      </w:r>
      <w:r w:rsidR="00573F14" w:rsidRPr="009303AE">
        <w:rPr>
          <w:szCs w:val="24"/>
          <w:lang w:val="es-PE"/>
        </w:rPr>
        <w:t xml:space="preserve"> indicó: </w:t>
      </w:r>
    </w:p>
    <w:p w:rsidR="00573F14" w:rsidRPr="009303AE" w:rsidRDefault="00573F14" w:rsidP="00573F14">
      <w:pPr>
        <w:pStyle w:val="Normaltimes"/>
        <w:rPr>
          <w:szCs w:val="24"/>
          <w:lang w:val="es-PE"/>
        </w:rPr>
      </w:pPr>
    </w:p>
    <w:p w:rsidR="00573F14" w:rsidRPr="009303AE" w:rsidRDefault="00573F14" w:rsidP="00573F14">
      <w:pPr>
        <w:pStyle w:val="Normaltimes"/>
        <w:ind w:left="426" w:right="566"/>
        <w:jc w:val="both"/>
        <w:rPr>
          <w:i/>
          <w:szCs w:val="24"/>
          <w:lang w:val="es-PE"/>
        </w:rPr>
      </w:pPr>
      <w:r w:rsidRPr="009303AE">
        <w:rPr>
          <w:i/>
          <w:szCs w:val="24"/>
          <w:lang w:val="es-PE"/>
        </w:rPr>
        <w:t>“(…) Para realizar el estudio de posibilidades que ofrece el mercado se invitó a 7 empresas de las cuales, solo 3 presentaron cotizaciones, cumpliendo todas con los términos de referencia solicitados.</w:t>
      </w:r>
    </w:p>
    <w:p w:rsidR="00573F14" w:rsidRPr="009303AE" w:rsidRDefault="00573F14" w:rsidP="00573F14">
      <w:pPr>
        <w:pStyle w:val="Normaltimes"/>
        <w:ind w:left="426" w:right="566"/>
        <w:jc w:val="both"/>
        <w:rPr>
          <w:i/>
          <w:szCs w:val="24"/>
          <w:lang w:val="es-PE"/>
        </w:rPr>
      </w:pPr>
    </w:p>
    <w:p w:rsidR="00573F14" w:rsidRPr="009303AE" w:rsidRDefault="00573F14" w:rsidP="00573F14">
      <w:pPr>
        <w:pStyle w:val="Normaltimes"/>
        <w:ind w:left="426" w:right="566"/>
        <w:jc w:val="both"/>
        <w:rPr>
          <w:i/>
          <w:szCs w:val="24"/>
          <w:lang w:val="es-PE"/>
        </w:rPr>
      </w:pPr>
      <w:r w:rsidRPr="009303AE">
        <w:rPr>
          <w:i/>
          <w:szCs w:val="24"/>
          <w:lang w:val="es-PE"/>
        </w:rPr>
        <w:t xml:space="preserve">En el “Resumen Ejecutivo” al señalar cantidad 1, nos referimos a una solución para la adquisición de equipos para actualización tecnológica de los sistemas UPS, que comprende todo lo solicitado. </w:t>
      </w:r>
    </w:p>
    <w:p w:rsidR="00573F14" w:rsidRPr="009303AE" w:rsidRDefault="00573F14" w:rsidP="00573F14">
      <w:pPr>
        <w:pStyle w:val="Normaltimes"/>
        <w:ind w:left="426" w:right="566"/>
        <w:jc w:val="both"/>
        <w:rPr>
          <w:i/>
          <w:szCs w:val="24"/>
          <w:lang w:val="es-PE"/>
        </w:rPr>
      </w:pPr>
    </w:p>
    <w:p w:rsidR="00573F14" w:rsidRPr="009303AE" w:rsidRDefault="00573F14" w:rsidP="00573F14">
      <w:pPr>
        <w:pStyle w:val="Normaltimes"/>
        <w:ind w:left="426" w:right="566"/>
        <w:jc w:val="both"/>
        <w:rPr>
          <w:i/>
          <w:szCs w:val="24"/>
          <w:lang w:val="es-PE"/>
        </w:rPr>
      </w:pPr>
      <w:r w:rsidRPr="009303AE">
        <w:rPr>
          <w:i/>
          <w:szCs w:val="24"/>
          <w:lang w:val="es-PE"/>
        </w:rPr>
        <w:t xml:space="preserve">Por lo tanto, nos ratificamos en el valor referencial indicado en las bases que rigen el proceso”. </w:t>
      </w:r>
    </w:p>
    <w:p w:rsidR="005D3A51" w:rsidRPr="009303AE" w:rsidRDefault="00573F14" w:rsidP="005D3A51">
      <w:pPr>
        <w:pStyle w:val="Normaltimes"/>
        <w:jc w:val="both"/>
        <w:rPr>
          <w:szCs w:val="24"/>
          <w:lang w:val="es-PE"/>
        </w:rPr>
      </w:pPr>
      <w:r w:rsidRPr="009303AE">
        <w:rPr>
          <w:szCs w:val="24"/>
          <w:lang w:val="es-PE"/>
        </w:rPr>
        <w:t> </w:t>
      </w:r>
    </w:p>
    <w:p w:rsidR="0071409F" w:rsidRPr="009303AE" w:rsidRDefault="0071409F" w:rsidP="00573F14">
      <w:pPr>
        <w:pStyle w:val="Normaltimes"/>
        <w:jc w:val="both"/>
        <w:rPr>
          <w:i/>
          <w:szCs w:val="24"/>
        </w:rPr>
      </w:pPr>
      <w:r w:rsidRPr="009303AE">
        <w:rPr>
          <w:szCs w:val="24"/>
        </w:rPr>
        <w:t>Adicionalmente, en su informe técnico, dicho colegiado indicó:</w:t>
      </w:r>
      <w:r w:rsidRPr="009303AE">
        <w:rPr>
          <w:i/>
          <w:szCs w:val="24"/>
        </w:rPr>
        <w:t xml:space="preserve"> “(…) El Comité Especial no acogió la observación por considerar que si en el que si bien en el estudio de mercado las empresas indican que cumplan con lo solicitado, debemos esperar a que presenten sus propuestas, y recién en ese momento se verificará la admisión o descalificación según cumplan o no las bases que rigen el </w:t>
      </w:r>
      <w:r w:rsidR="0038473C" w:rsidRPr="009303AE">
        <w:rPr>
          <w:i/>
          <w:szCs w:val="24"/>
        </w:rPr>
        <w:t>proceso (</w:t>
      </w:r>
      <w:r w:rsidRPr="009303AE">
        <w:rPr>
          <w:i/>
          <w:szCs w:val="24"/>
        </w:rPr>
        <w:t>…)”</w:t>
      </w:r>
    </w:p>
    <w:p w:rsidR="0071409F" w:rsidRPr="009303AE" w:rsidRDefault="0071409F" w:rsidP="00573F14">
      <w:pPr>
        <w:pStyle w:val="Normaltimes"/>
        <w:jc w:val="both"/>
        <w:rPr>
          <w:szCs w:val="24"/>
        </w:rPr>
      </w:pPr>
    </w:p>
    <w:p w:rsidR="005D3A51" w:rsidRPr="009303AE" w:rsidRDefault="00A0421A" w:rsidP="00573F14">
      <w:pPr>
        <w:pStyle w:val="Normaltimes"/>
        <w:jc w:val="both"/>
        <w:rPr>
          <w:szCs w:val="24"/>
        </w:rPr>
      </w:pPr>
      <w:r w:rsidRPr="009303AE">
        <w:rPr>
          <w:szCs w:val="24"/>
        </w:rPr>
        <w:t>Al respecto</w:t>
      </w:r>
      <w:r w:rsidR="005D3A51" w:rsidRPr="009303AE">
        <w:rPr>
          <w:szCs w:val="24"/>
        </w:rPr>
        <w:t xml:space="preserve">, de acuerdo con lo dispuesto en el artículo 27 de la Ley, concordado con el artículo 13 del Reglamento, la definición del valor referencial es facultad de la Entidad, </w:t>
      </w:r>
      <w:r w:rsidR="005D3A51" w:rsidRPr="009303AE">
        <w:rPr>
          <w:szCs w:val="24"/>
          <w:u w:val="single"/>
        </w:rPr>
        <w:t xml:space="preserve">el cual será determinado sobre la base de un </w:t>
      </w:r>
      <w:r w:rsidR="005D3A51" w:rsidRPr="009303AE">
        <w:rPr>
          <w:bCs/>
          <w:szCs w:val="24"/>
          <w:u w:val="single"/>
        </w:rPr>
        <w:t>estudio</w:t>
      </w:r>
      <w:r w:rsidR="005D3A51" w:rsidRPr="009303AE">
        <w:rPr>
          <w:szCs w:val="24"/>
          <w:u w:val="single"/>
        </w:rPr>
        <w:t xml:space="preserve"> de las posibilidades y condiciones que ofrece el </w:t>
      </w:r>
      <w:r w:rsidR="005D3A51" w:rsidRPr="009303AE">
        <w:rPr>
          <w:bCs/>
          <w:szCs w:val="24"/>
          <w:u w:val="single"/>
        </w:rPr>
        <w:t>mercado</w:t>
      </w:r>
      <w:r w:rsidR="005D3A51" w:rsidRPr="009303AE">
        <w:rPr>
          <w:szCs w:val="24"/>
        </w:rPr>
        <w:t>.</w:t>
      </w:r>
    </w:p>
    <w:p w:rsidR="0038473C" w:rsidRPr="009303AE" w:rsidRDefault="0038473C" w:rsidP="00573F14">
      <w:pPr>
        <w:pStyle w:val="Normaltimes"/>
        <w:jc w:val="both"/>
        <w:rPr>
          <w:szCs w:val="24"/>
        </w:rPr>
      </w:pPr>
    </w:p>
    <w:p w:rsidR="0038473C" w:rsidRPr="009303AE" w:rsidRDefault="0038473C" w:rsidP="0038473C">
      <w:pPr>
        <w:pStyle w:val="Normaltimes"/>
        <w:jc w:val="both"/>
        <w:rPr>
          <w:szCs w:val="24"/>
        </w:rPr>
      </w:pPr>
      <w:r w:rsidRPr="009303AE">
        <w:rPr>
          <w:szCs w:val="24"/>
        </w:rPr>
        <w:t>Adicionalmente, de acuerdo con lo dispuesto en el artículo 12 del Reglamento</w:t>
      </w:r>
      <w:r w:rsidRPr="009303AE">
        <w:rPr>
          <w:rFonts w:eastAsia="Calibri"/>
          <w:szCs w:val="24"/>
          <w:lang w:eastAsia="en-US"/>
        </w:rPr>
        <w:t>, el órgano encargado de las contrataciones tiene la obligación de realizar un estudio de posibilidades que ofrece el mercado para determinar el valor referencial, la existencia de pluralidad de marcas y/o postores, entre otros.</w:t>
      </w:r>
    </w:p>
    <w:p w:rsidR="0038473C" w:rsidRPr="009303AE" w:rsidRDefault="0038473C" w:rsidP="00573F14">
      <w:pPr>
        <w:pStyle w:val="Normaltimes"/>
        <w:jc w:val="both"/>
        <w:rPr>
          <w:szCs w:val="24"/>
          <w:lang w:val="es-PE"/>
        </w:rPr>
      </w:pPr>
    </w:p>
    <w:p w:rsidR="001D2B99" w:rsidRPr="009303AE" w:rsidRDefault="0038473C" w:rsidP="00573F14">
      <w:pPr>
        <w:pStyle w:val="Normaltimes"/>
        <w:jc w:val="both"/>
        <w:rPr>
          <w:szCs w:val="24"/>
        </w:rPr>
      </w:pPr>
      <w:r w:rsidRPr="009303AE">
        <w:rPr>
          <w:szCs w:val="24"/>
        </w:rPr>
        <w:t>En el presente caso, aun cuando la Entidad señala que la forma de determinar el valor referencial se ajusta a la normativa de contrataciones Públicas y a lo declarado por las empresas que presentaron</w:t>
      </w:r>
      <w:r w:rsidR="00E140A4" w:rsidRPr="009303AE">
        <w:rPr>
          <w:szCs w:val="24"/>
        </w:rPr>
        <w:t xml:space="preserve"> cotizaciones en el estudio de p</w:t>
      </w:r>
      <w:r w:rsidRPr="009303AE">
        <w:rPr>
          <w:szCs w:val="24"/>
        </w:rPr>
        <w:t xml:space="preserve">osibilidades que ofrece el mercado, en efecto, se advertiría algunas </w:t>
      </w:r>
      <w:r w:rsidR="00A26F96" w:rsidRPr="009303AE">
        <w:rPr>
          <w:szCs w:val="24"/>
        </w:rPr>
        <w:t xml:space="preserve">inconsistencias que debieron ser disipadas y/o aclaradas por el comité especial oportunamente, esto es en el pliego absolutorio de observaciones, pues es responsabilidad de la entidad realizar un estudio de posibilidades que ofrece el mercado que, en efecto, refleje las condiciones del mercado de los productos que busca adquirir. </w:t>
      </w:r>
      <w:r w:rsidRPr="009303AE">
        <w:rPr>
          <w:szCs w:val="24"/>
        </w:rPr>
        <w:t xml:space="preserve"> </w:t>
      </w:r>
    </w:p>
    <w:p w:rsidR="00467388" w:rsidRPr="009303AE" w:rsidRDefault="00467388" w:rsidP="00573F14">
      <w:pPr>
        <w:pStyle w:val="Normaltimes"/>
        <w:jc w:val="both"/>
        <w:rPr>
          <w:szCs w:val="24"/>
        </w:rPr>
      </w:pPr>
    </w:p>
    <w:p w:rsidR="00573F14" w:rsidRPr="009303AE" w:rsidRDefault="0038473C" w:rsidP="00573F14">
      <w:pPr>
        <w:pStyle w:val="Normaltimes"/>
        <w:jc w:val="both"/>
        <w:rPr>
          <w:szCs w:val="24"/>
          <w:lang w:val="es-PE"/>
        </w:rPr>
      </w:pPr>
      <w:r w:rsidRPr="009303AE">
        <w:rPr>
          <w:szCs w:val="24"/>
          <w:lang w:val="es-PE"/>
        </w:rPr>
        <w:t>No obstante ello</w:t>
      </w:r>
      <w:r w:rsidR="00573F14" w:rsidRPr="009303AE">
        <w:rPr>
          <w:szCs w:val="24"/>
          <w:lang w:val="es-PE"/>
        </w:rPr>
        <w:t xml:space="preserve">, teniendo en consideración que es competencia del órgano encargado de las contrataciones de la Entidad realizar el </w:t>
      </w:r>
      <w:r w:rsidR="00573F14" w:rsidRPr="009303AE">
        <w:rPr>
          <w:bCs/>
          <w:szCs w:val="24"/>
          <w:lang w:val="es-PE"/>
        </w:rPr>
        <w:t>estudio</w:t>
      </w:r>
      <w:r w:rsidR="00573F14" w:rsidRPr="009303AE">
        <w:rPr>
          <w:szCs w:val="24"/>
          <w:lang w:val="es-PE"/>
        </w:rPr>
        <w:t xml:space="preserve"> de las posibilidades que ofrece el </w:t>
      </w:r>
      <w:r w:rsidR="00573F14" w:rsidRPr="009303AE">
        <w:rPr>
          <w:bCs/>
          <w:szCs w:val="24"/>
          <w:lang w:val="es-PE"/>
        </w:rPr>
        <w:t>mercado</w:t>
      </w:r>
      <w:r w:rsidR="00573F14" w:rsidRPr="009303AE">
        <w:rPr>
          <w:szCs w:val="24"/>
          <w:lang w:val="es-PE"/>
        </w:rPr>
        <w:t xml:space="preserve"> y </w:t>
      </w:r>
      <w:r w:rsidRPr="009303AE">
        <w:rPr>
          <w:szCs w:val="24"/>
          <w:lang w:val="es-PE"/>
        </w:rPr>
        <w:t>determinar el valor referencial</w:t>
      </w:r>
      <w:r w:rsidR="000E674F" w:rsidRPr="009303AE">
        <w:rPr>
          <w:szCs w:val="24"/>
          <w:lang w:val="es-PE"/>
        </w:rPr>
        <w:t xml:space="preserve">, </w:t>
      </w:r>
      <w:r w:rsidR="00573F14" w:rsidRPr="009303AE">
        <w:rPr>
          <w:szCs w:val="24"/>
          <w:lang w:val="es-PE"/>
        </w:rPr>
        <w:t xml:space="preserve">este Organismo Supervisor ha decidido </w:t>
      </w:r>
      <w:r w:rsidR="00573F14" w:rsidRPr="009303AE">
        <w:rPr>
          <w:b/>
          <w:bCs/>
          <w:szCs w:val="24"/>
          <w:lang w:val="es-PE"/>
        </w:rPr>
        <w:t>NO ACOGER</w:t>
      </w:r>
      <w:r w:rsidR="00573F14" w:rsidRPr="009303AE">
        <w:rPr>
          <w:szCs w:val="24"/>
          <w:lang w:val="es-PE"/>
        </w:rPr>
        <w:t xml:space="preserve"> la observación.</w:t>
      </w:r>
    </w:p>
    <w:p w:rsidR="00573F14" w:rsidRPr="009303AE" w:rsidRDefault="00573F14" w:rsidP="00573F14">
      <w:pPr>
        <w:pStyle w:val="Normaltimes"/>
        <w:jc w:val="both"/>
        <w:rPr>
          <w:szCs w:val="24"/>
          <w:lang w:val="es-PE"/>
        </w:rPr>
      </w:pPr>
    </w:p>
    <w:p w:rsidR="001D2B99" w:rsidRPr="009303AE" w:rsidRDefault="001D2B99" w:rsidP="00573F14">
      <w:pPr>
        <w:pStyle w:val="Normaltimes"/>
        <w:jc w:val="both"/>
        <w:rPr>
          <w:szCs w:val="24"/>
          <w:lang w:val="es-PE"/>
        </w:rPr>
      </w:pPr>
      <w:r w:rsidRPr="009303AE">
        <w:rPr>
          <w:szCs w:val="24"/>
          <w:lang w:val="es-PE"/>
        </w:rPr>
        <w:t xml:space="preserve">Sin perjuicio de ello, con ocasión de la integración de Bases, </w:t>
      </w:r>
      <w:r w:rsidRPr="009303AE">
        <w:rPr>
          <w:b/>
          <w:szCs w:val="24"/>
          <w:u w:val="single"/>
          <w:lang w:val="es-PE"/>
        </w:rPr>
        <w:t>deberá registrarse</w:t>
      </w:r>
      <w:r w:rsidRPr="009303AE">
        <w:rPr>
          <w:szCs w:val="24"/>
          <w:lang w:val="es-PE"/>
        </w:rPr>
        <w:t xml:space="preserve"> en el SEACE, un informe que sustente el análisis técnico realizado por la Entidad para determinar que las cotizaciones realizadas incluyen todos los bienes materia de contratación y todas las condici</w:t>
      </w:r>
      <w:r w:rsidR="00A26F96" w:rsidRPr="009303AE">
        <w:rPr>
          <w:szCs w:val="24"/>
          <w:lang w:val="es-PE"/>
        </w:rPr>
        <w:t xml:space="preserve">ones establecidas en las Bases, lo cual incluye que los equipos y componentes objeto de la convocatoria sean de la misma marca. </w:t>
      </w:r>
    </w:p>
    <w:p w:rsidR="001D2B99" w:rsidRPr="009303AE" w:rsidRDefault="001D2B99" w:rsidP="00573F14">
      <w:pPr>
        <w:pStyle w:val="Normaltimes"/>
        <w:jc w:val="both"/>
        <w:rPr>
          <w:szCs w:val="24"/>
          <w:lang w:val="es-PE"/>
        </w:rPr>
      </w:pPr>
    </w:p>
    <w:p w:rsidR="00975EB1" w:rsidRPr="009303AE" w:rsidRDefault="00975EB1" w:rsidP="00975EB1">
      <w:pPr>
        <w:spacing w:after="0" w:line="240" w:lineRule="auto"/>
        <w:jc w:val="both"/>
        <w:rPr>
          <w:rFonts w:ascii="Times New Roman" w:hAnsi="Times New Roman" w:cs="Times New Roman"/>
          <w:sz w:val="24"/>
          <w:szCs w:val="24"/>
        </w:rPr>
      </w:pPr>
      <w:r w:rsidRPr="009303AE">
        <w:rPr>
          <w:rFonts w:ascii="Times New Roman" w:hAnsi="Times New Roman" w:cs="Times New Roman"/>
          <w:sz w:val="24"/>
          <w:szCs w:val="24"/>
          <w:lang w:val="es-ES_tradnl"/>
        </w:rPr>
        <w:t>Cabe acotar que la información registrada en el resumen ejecutivo</w:t>
      </w:r>
      <w:r w:rsidR="0038473C" w:rsidRPr="009303AE">
        <w:rPr>
          <w:rFonts w:ascii="Times New Roman" w:hAnsi="Times New Roman" w:cs="Times New Roman"/>
          <w:sz w:val="24"/>
          <w:szCs w:val="24"/>
          <w:lang w:val="es-ES_tradnl"/>
        </w:rPr>
        <w:t xml:space="preserve"> y en el SEACE</w:t>
      </w:r>
      <w:r w:rsidRPr="009303AE">
        <w:rPr>
          <w:rFonts w:ascii="Times New Roman" w:hAnsi="Times New Roman" w:cs="Times New Roman"/>
          <w:sz w:val="24"/>
          <w:szCs w:val="24"/>
          <w:lang w:val="es-ES_tradnl"/>
        </w:rPr>
        <w:t xml:space="preserve"> tiene carácter de declaración jurada, razón por la cual, la veracidad de su contenido </w:t>
      </w:r>
      <w:r w:rsidR="0038473C" w:rsidRPr="009303AE">
        <w:rPr>
          <w:rFonts w:ascii="Times New Roman" w:hAnsi="Times New Roman" w:cs="Times New Roman"/>
          <w:sz w:val="24"/>
          <w:szCs w:val="24"/>
          <w:lang w:val="es-ES_tradnl"/>
        </w:rPr>
        <w:t xml:space="preserve">es </w:t>
      </w:r>
      <w:r w:rsidRPr="009303AE">
        <w:rPr>
          <w:rFonts w:ascii="Times New Roman" w:hAnsi="Times New Roman" w:cs="Times New Roman"/>
          <w:sz w:val="24"/>
          <w:szCs w:val="24"/>
          <w:lang w:val="es-ES_tradnl"/>
        </w:rPr>
        <w:t xml:space="preserve"> responsabilidad de la Entidad, y por tanto, sujeta a rendición de cuentas por parte </w:t>
      </w:r>
      <w:r w:rsidR="0038473C" w:rsidRPr="009303AE">
        <w:rPr>
          <w:rFonts w:ascii="Times New Roman" w:hAnsi="Times New Roman" w:cs="Times New Roman"/>
          <w:sz w:val="24"/>
          <w:szCs w:val="24"/>
          <w:lang w:val="es-ES_tradnl"/>
        </w:rPr>
        <w:t>de la dependencia competente</w:t>
      </w:r>
      <w:r w:rsidRPr="009303AE">
        <w:rPr>
          <w:rFonts w:ascii="Times New Roman" w:hAnsi="Times New Roman" w:cs="Times New Roman"/>
          <w:sz w:val="24"/>
          <w:szCs w:val="24"/>
          <w:lang w:val="es-ES_tradnl"/>
        </w:rPr>
        <w:t>, ante el Titular de la Entidad, Contraloría General de la República, Ministerio Público, Poder Judicial y/o ante otros organismos competentes, no siendo este Organismo Supervisor perito técnico en tales aspectos.</w:t>
      </w:r>
    </w:p>
    <w:p w:rsidR="006F5FCE" w:rsidRPr="009303AE" w:rsidRDefault="006F5FCE" w:rsidP="00875A90">
      <w:pPr>
        <w:pStyle w:val="Normaltimes"/>
        <w:jc w:val="both"/>
        <w:rPr>
          <w:szCs w:val="24"/>
          <w:lang w:val="es-PE"/>
        </w:rPr>
      </w:pPr>
    </w:p>
    <w:p w:rsidR="00875A90" w:rsidRPr="009303AE" w:rsidRDefault="00875A90" w:rsidP="00875A90">
      <w:pPr>
        <w:pStyle w:val="Lista"/>
        <w:numPr>
          <w:ilvl w:val="0"/>
          <w:numId w:val="1"/>
        </w:numPr>
        <w:rPr>
          <w:b/>
          <w:lang w:val="es-PE"/>
        </w:rPr>
      </w:pPr>
      <w:r w:rsidRPr="009303AE">
        <w:rPr>
          <w:b/>
        </w:rPr>
        <w:t>CONTENIDO</w:t>
      </w:r>
      <w:r w:rsidRPr="009303AE">
        <w:rPr>
          <w:b/>
          <w:lang w:val="es-PE"/>
        </w:rPr>
        <w:t xml:space="preserve"> DE LAS BASES CONTRARIO A LA NORMATIVA SOBRE CONTRATACIONES DEL ESTADO </w:t>
      </w:r>
    </w:p>
    <w:p w:rsidR="00875A90" w:rsidRPr="009303AE" w:rsidRDefault="00875A90" w:rsidP="00875A90">
      <w:pPr>
        <w:widowControl w:val="0"/>
        <w:tabs>
          <w:tab w:val="left" w:pos="0"/>
        </w:tabs>
        <w:spacing w:after="0" w:line="240" w:lineRule="auto"/>
        <w:jc w:val="both"/>
        <w:rPr>
          <w:rFonts w:ascii="Times New Roman" w:hAnsi="Times New Roman" w:cs="Times New Roman"/>
          <w:b/>
          <w:sz w:val="24"/>
          <w:szCs w:val="24"/>
        </w:rPr>
      </w:pPr>
    </w:p>
    <w:p w:rsidR="00875A90" w:rsidRPr="009303AE" w:rsidRDefault="00875A90" w:rsidP="00875A90">
      <w:pPr>
        <w:pStyle w:val="Textoindependiente"/>
        <w:spacing w:after="0"/>
        <w:jc w:val="both"/>
      </w:pPr>
      <w:r w:rsidRPr="009303AE">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875A90" w:rsidRPr="009303AE" w:rsidRDefault="00875A90" w:rsidP="00875A90">
      <w:pPr>
        <w:widowControl w:val="0"/>
        <w:spacing w:after="0" w:line="240" w:lineRule="auto"/>
        <w:jc w:val="both"/>
        <w:rPr>
          <w:rFonts w:ascii="Times New Roman" w:hAnsi="Times New Roman" w:cs="Times New Roman"/>
          <w:sz w:val="24"/>
          <w:szCs w:val="24"/>
        </w:rPr>
      </w:pPr>
    </w:p>
    <w:p w:rsidR="003C1F57" w:rsidRPr="009303AE" w:rsidRDefault="007637A5" w:rsidP="003C1F57">
      <w:pPr>
        <w:widowControl w:val="0"/>
        <w:spacing w:after="0" w:line="240" w:lineRule="auto"/>
        <w:jc w:val="both"/>
        <w:rPr>
          <w:rFonts w:ascii="Times New Roman" w:eastAsia="Times New Roman" w:hAnsi="Times New Roman" w:cs="Times New Roman"/>
          <w:b/>
          <w:sz w:val="24"/>
          <w:szCs w:val="24"/>
        </w:rPr>
      </w:pPr>
      <w:r w:rsidRPr="009303AE">
        <w:rPr>
          <w:rFonts w:ascii="Times New Roman" w:eastAsia="Times New Roman" w:hAnsi="Times New Roman" w:cs="Times New Roman"/>
          <w:b/>
          <w:sz w:val="24"/>
          <w:szCs w:val="24"/>
        </w:rPr>
        <w:t xml:space="preserve">3.1. Documentación de presentación obligatoria </w:t>
      </w:r>
    </w:p>
    <w:p w:rsidR="003C1F57" w:rsidRPr="009303AE" w:rsidRDefault="003C1F57" w:rsidP="00875A90">
      <w:pPr>
        <w:widowControl w:val="0"/>
        <w:spacing w:after="0" w:line="240" w:lineRule="auto"/>
        <w:jc w:val="both"/>
        <w:rPr>
          <w:rFonts w:ascii="Times New Roman" w:hAnsi="Times New Roman" w:cs="Times New Roman"/>
          <w:sz w:val="24"/>
          <w:szCs w:val="24"/>
        </w:rPr>
      </w:pPr>
    </w:p>
    <w:p w:rsidR="003C1F57" w:rsidRPr="009303AE" w:rsidRDefault="00CD274A" w:rsidP="00875A90">
      <w:pPr>
        <w:pStyle w:val="Prrafodelista"/>
        <w:widowControl w:val="0"/>
        <w:numPr>
          <w:ilvl w:val="0"/>
          <w:numId w:val="6"/>
        </w:numPr>
        <w:jc w:val="both"/>
        <w:rPr>
          <w:i/>
          <w:sz w:val="24"/>
          <w:szCs w:val="24"/>
        </w:rPr>
      </w:pPr>
      <w:r w:rsidRPr="009303AE">
        <w:rPr>
          <w:sz w:val="24"/>
          <w:szCs w:val="24"/>
        </w:rPr>
        <w:t>En el literal f) de la documentación de p</w:t>
      </w:r>
      <w:r w:rsidR="000F2405" w:rsidRPr="009303AE">
        <w:rPr>
          <w:sz w:val="24"/>
          <w:szCs w:val="24"/>
        </w:rPr>
        <w:t xml:space="preserve">resentación facultativa </w:t>
      </w:r>
      <w:r w:rsidR="00285983" w:rsidRPr="009303AE">
        <w:rPr>
          <w:sz w:val="24"/>
          <w:szCs w:val="24"/>
        </w:rPr>
        <w:t>indica:</w:t>
      </w:r>
      <w:r w:rsidR="00285983" w:rsidRPr="009303AE">
        <w:rPr>
          <w:i/>
          <w:sz w:val="24"/>
          <w:szCs w:val="24"/>
        </w:rPr>
        <w:t xml:space="preserve"> “Carta</w:t>
      </w:r>
      <w:r w:rsidRPr="009303AE">
        <w:rPr>
          <w:i/>
          <w:sz w:val="24"/>
          <w:szCs w:val="24"/>
        </w:rPr>
        <w:t xml:space="preserve"> del fabricante de los equipos ofertados o su representante autorizado en el país indicando que el postor está autorizado a comercializar los bienes ofertados (deberá acreditar mediante carta del fabricante que es un representante vigente y autorizado del fabricante</w:t>
      </w:r>
      <w:r w:rsidR="00497EF8" w:rsidRPr="009303AE">
        <w:rPr>
          <w:i/>
          <w:sz w:val="24"/>
          <w:szCs w:val="24"/>
        </w:rPr>
        <w:t>)</w:t>
      </w:r>
      <w:r w:rsidRPr="009303AE">
        <w:rPr>
          <w:i/>
          <w:sz w:val="24"/>
          <w:szCs w:val="24"/>
        </w:rPr>
        <w:t xml:space="preserve">”. </w:t>
      </w:r>
    </w:p>
    <w:p w:rsidR="00497EF8" w:rsidRPr="009303AE" w:rsidRDefault="00497EF8" w:rsidP="00497EF8">
      <w:pPr>
        <w:pStyle w:val="Prrafodelista"/>
        <w:widowControl w:val="0"/>
        <w:ind w:left="720"/>
        <w:jc w:val="both"/>
        <w:rPr>
          <w:i/>
          <w:sz w:val="24"/>
          <w:szCs w:val="24"/>
        </w:rPr>
      </w:pPr>
    </w:p>
    <w:p w:rsidR="00CD274A" w:rsidRPr="009303AE" w:rsidRDefault="00CD274A" w:rsidP="00497EF8">
      <w:pPr>
        <w:spacing w:after="0" w:line="240" w:lineRule="auto"/>
        <w:ind w:left="360"/>
        <w:jc w:val="both"/>
        <w:rPr>
          <w:rFonts w:ascii="Times New Roman" w:eastAsia="Times New Roman" w:hAnsi="Times New Roman" w:cs="Times New Roman"/>
          <w:sz w:val="24"/>
          <w:szCs w:val="24"/>
          <w:lang w:val="es-ES" w:eastAsia="es-MX"/>
        </w:rPr>
      </w:pPr>
      <w:r w:rsidRPr="009303AE">
        <w:rPr>
          <w:rFonts w:ascii="Times New Roman" w:eastAsia="Times New Roman" w:hAnsi="Times New Roman" w:cs="Times New Roman"/>
          <w:sz w:val="24"/>
          <w:szCs w:val="24"/>
          <w:lang w:val="es-ES" w:eastAsia="es-MX"/>
        </w:rPr>
        <w:t xml:space="preserve">Al respecto, debe señalarse que en sendos pronunciamientos emitidos por este Organismo Supervisor se ha señalado que si bien la Entidad mediante la presentación de una carta de fabricante buscaría asegurar el origen legal de los productos contratados, su exigencia no necesariamente garantiza el cumplimiento de dicho objetivo, pues con o sin dicho documento, existe la posibilidad que los bienes entregados posean un origen inadecuado (por ser adulterados, ingresados indebidamente al territorio nacional, falseados, etc.). </w:t>
      </w:r>
    </w:p>
    <w:p w:rsidR="00CD274A" w:rsidRPr="009303AE" w:rsidRDefault="00CD274A" w:rsidP="00CD274A">
      <w:pPr>
        <w:spacing w:after="0" w:line="240" w:lineRule="auto"/>
        <w:jc w:val="both"/>
        <w:rPr>
          <w:rFonts w:ascii="Times New Roman" w:eastAsia="Times New Roman" w:hAnsi="Times New Roman" w:cs="Times New Roman"/>
          <w:sz w:val="24"/>
          <w:szCs w:val="24"/>
          <w:lang w:val="es-MX" w:eastAsia="es-MX"/>
        </w:rPr>
      </w:pPr>
    </w:p>
    <w:p w:rsidR="004F2CF2" w:rsidRPr="009303AE" w:rsidRDefault="00CD274A" w:rsidP="004F2CF2">
      <w:pPr>
        <w:spacing w:after="0" w:line="240" w:lineRule="auto"/>
        <w:ind w:left="360"/>
        <w:jc w:val="both"/>
        <w:rPr>
          <w:rFonts w:ascii="Times New Roman" w:hAnsi="Times New Roman" w:cs="Times New Roman"/>
          <w:b/>
          <w:bCs/>
          <w:color w:val="000000"/>
          <w:sz w:val="24"/>
          <w:szCs w:val="24"/>
          <w:u w:val="single"/>
          <w:shd w:val="clear" w:color="auto" w:fill="FFFF66"/>
        </w:rPr>
      </w:pPr>
      <w:r w:rsidRPr="009303AE">
        <w:rPr>
          <w:rFonts w:ascii="Times New Roman" w:eastAsia="Times New Roman" w:hAnsi="Times New Roman" w:cs="Times New Roman"/>
          <w:sz w:val="24"/>
          <w:szCs w:val="24"/>
          <w:lang w:val="es-ES" w:eastAsia="es-MX"/>
        </w:rPr>
        <w:t>Por lo tanto, toda vez que el único obligado a cumplir con sus obligaciones en los términos y condiciones ofertados en el proceso de selección es el contratista, independientemente de su calidad de representante, distribuidor, importador o fabricante</w:t>
      </w:r>
      <w:r w:rsidRPr="009303AE">
        <w:rPr>
          <w:rFonts w:ascii="Times New Roman" w:eastAsia="Times New Roman" w:hAnsi="Times New Roman" w:cs="Times New Roman"/>
          <w:sz w:val="24"/>
          <w:szCs w:val="24"/>
          <w:vertAlign w:val="superscript"/>
          <w:lang w:val="es-ES" w:eastAsia="es-MX"/>
        </w:rPr>
        <w:footnoteReference w:id="1"/>
      </w:r>
      <w:r w:rsidRPr="009303AE">
        <w:rPr>
          <w:rFonts w:ascii="Times New Roman" w:eastAsia="Times New Roman" w:hAnsi="Times New Roman" w:cs="Times New Roman"/>
          <w:sz w:val="24"/>
          <w:szCs w:val="24"/>
          <w:lang w:val="es-ES" w:eastAsia="es-MX"/>
        </w:rPr>
        <w:t xml:space="preserve">, y considerando la inconveniencia de requerir la carta del fabricante, con ocasión de la integración de las Bases, </w:t>
      </w:r>
      <w:r w:rsidRPr="009303AE">
        <w:rPr>
          <w:rFonts w:ascii="Times New Roman" w:eastAsia="Times New Roman" w:hAnsi="Times New Roman" w:cs="Times New Roman"/>
          <w:b/>
          <w:sz w:val="24"/>
          <w:szCs w:val="24"/>
          <w:u w:val="single"/>
          <w:lang w:val="es-ES" w:eastAsia="es-MX"/>
        </w:rPr>
        <w:t>deberá suprimirse</w:t>
      </w:r>
      <w:r w:rsidRPr="009303AE">
        <w:rPr>
          <w:rFonts w:ascii="Times New Roman" w:eastAsia="Times New Roman" w:hAnsi="Times New Roman" w:cs="Times New Roman"/>
          <w:sz w:val="24"/>
          <w:szCs w:val="24"/>
          <w:lang w:val="es-ES" w:eastAsia="es-MX"/>
        </w:rPr>
        <w:t xml:space="preserve"> dicha exigencia.</w:t>
      </w:r>
      <w:r w:rsidR="00E05A1C" w:rsidRPr="009303AE">
        <w:rPr>
          <w:rFonts w:ascii="Times New Roman" w:eastAsia="Times New Roman" w:hAnsi="Times New Roman" w:cs="Times New Roman"/>
          <w:sz w:val="24"/>
          <w:szCs w:val="24"/>
          <w:lang w:val="es-ES" w:eastAsia="es-MX"/>
        </w:rPr>
        <w:t xml:space="preserve"> </w:t>
      </w:r>
      <w:r w:rsidR="004F2CF2" w:rsidRPr="009303AE">
        <w:rPr>
          <w:rFonts w:ascii="Times New Roman" w:hAnsi="Times New Roman" w:cs="Times New Roman"/>
          <w:sz w:val="24"/>
          <w:szCs w:val="24"/>
        </w:rPr>
        <w:t xml:space="preserve">Sin perjuicio de lo expuesto, considerando que, a diferencia de los requerimientos técnicos mínimos, </w:t>
      </w:r>
      <w:r w:rsidR="004F2CF2" w:rsidRPr="009303AE">
        <w:rPr>
          <w:rFonts w:ascii="Times New Roman" w:hAnsi="Times New Roman" w:cs="Times New Roman"/>
          <w:sz w:val="24"/>
          <w:szCs w:val="24"/>
          <w:u w:val="single"/>
        </w:rPr>
        <w:t>la finalidad de los factores de evaluación es la de seleccionar y otorgar puntaje a aquellos postores que acrediten o presenten propuestas que representen un</w:t>
      </w:r>
      <w:r w:rsidR="004F2CF2" w:rsidRPr="009303AE">
        <w:rPr>
          <w:rFonts w:ascii="Times New Roman" w:hAnsi="Times New Roman" w:cs="Times New Roman"/>
          <w:b/>
          <w:bCs/>
          <w:sz w:val="24"/>
          <w:szCs w:val="24"/>
          <w:u w:val="single"/>
        </w:rPr>
        <w:t xml:space="preserve"> valor agregado </w:t>
      </w:r>
      <w:r w:rsidR="004F2CF2" w:rsidRPr="009303AE">
        <w:rPr>
          <w:rFonts w:ascii="Times New Roman" w:hAnsi="Times New Roman" w:cs="Times New Roman"/>
          <w:sz w:val="24"/>
          <w:szCs w:val="24"/>
          <w:u w:val="single"/>
        </w:rPr>
        <w:t>respecto a lo mínimo requerido,</w:t>
      </w:r>
      <w:r w:rsidR="004F2CF2" w:rsidRPr="009303AE">
        <w:rPr>
          <w:rFonts w:ascii="Times New Roman" w:hAnsi="Times New Roman" w:cs="Times New Roman"/>
          <w:sz w:val="24"/>
          <w:szCs w:val="24"/>
        </w:rPr>
        <w:t xml:space="preserve"> debe señalarse que resultará posible establecer un factor de evaluación a través del cual se solicite la presentación de la referida carta del fabricante</w:t>
      </w:r>
      <w:r w:rsidR="00251223" w:rsidRPr="009303AE">
        <w:rPr>
          <w:rFonts w:ascii="Times New Roman" w:hAnsi="Times New Roman" w:cs="Times New Roman"/>
          <w:sz w:val="24"/>
          <w:szCs w:val="24"/>
        </w:rPr>
        <w:t xml:space="preserve">, asimismo dicho factor de evaluación no podrá asignarse más de diez (10) puntos. </w:t>
      </w:r>
    </w:p>
    <w:p w:rsidR="004F2CF2" w:rsidRPr="009303AE" w:rsidRDefault="004F2CF2" w:rsidP="004F2CF2">
      <w:pPr>
        <w:spacing w:after="0" w:line="240" w:lineRule="auto"/>
        <w:jc w:val="both"/>
        <w:rPr>
          <w:rFonts w:ascii="Times New Roman" w:eastAsia="Times New Roman" w:hAnsi="Times New Roman" w:cs="Times New Roman"/>
          <w:sz w:val="24"/>
          <w:szCs w:val="24"/>
          <w:lang w:eastAsia="es-MX"/>
        </w:rPr>
      </w:pPr>
    </w:p>
    <w:p w:rsidR="009C6467" w:rsidRPr="009303AE" w:rsidRDefault="009C6467" w:rsidP="009C6467">
      <w:pPr>
        <w:numPr>
          <w:ilvl w:val="0"/>
          <w:numId w:val="7"/>
        </w:numPr>
        <w:tabs>
          <w:tab w:val="left" w:pos="709"/>
        </w:tabs>
        <w:spacing w:after="0" w:line="240" w:lineRule="auto"/>
        <w:jc w:val="both"/>
        <w:rPr>
          <w:rFonts w:ascii="Times New Roman" w:hAnsi="Times New Roman" w:cs="Times New Roman"/>
          <w:sz w:val="24"/>
          <w:szCs w:val="24"/>
        </w:rPr>
      </w:pPr>
      <w:r w:rsidRPr="009303AE">
        <w:rPr>
          <w:rFonts w:ascii="Times New Roman" w:hAnsi="Times New Roman" w:cs="Times New Roman"/>
          <w:sz w:val="24"/>
          <w:szCs w:val="24"/>
        </w:rPr>
        <w:t>Del literal g) de la documentación de presentación obligatoria, se solicita:</w:t>
      </w:r>
    </w:p>
    <w:p w:rsidR="009C6467" w:rsidRPr="009303AE" w:rsidRDefault="009C6467" w:rsidP="009C6467">
      <w:pPr>
        <w:tabs>
          <w:tab w:val="left" w:pos="709"/>
        </w:tabs>
        <w:spacing w:after="0" w:line="240" w:lineRule="auto"/>
        <w:ind w:left="720"/>
        <w:jc w:val="both"/>
        <w:rPr>
          <w:rFonts w:ascii="Times New Roman" w:hAnsi="Times New Roman" w:cs="Times New Roman"/>
          <w:sz w:val="24"/>
          <w:szCs w:val="24"/>
        </w:rPr>
      </w:pPr>
    </w:p>
    <w:p w:rsidR="009C6467" w:rsidRPr="009303AE" w:rsidRDefault="009C6467" w:rsidP="009C6467">
      <w:pPr>
        <w:tabs>
          <w:tab w:val="left" w:pos="709"/>
        </w:tabs>
        <w:spacing w:after="0" w:line="240" w:lineRule="auto"/>
        <w:ind w:left="708"/>
        <w:jc w:val="both"/>
        <w:rPr>
          <w:rFonts w:ascii="Times New Roman" w:hAnsi="Times New Roman" w:cs="Times New Roman"/>
          <w:i/>
          <w:sz w:val="24"/>
          <w:szCs w:val="24"/>
        </w:rPr>
      </w:pPr>
      <w:r w:rsidRPr="009303AE">
        <w:rPr>
          <w:rFonts w:ascii="Times New Roman" w:hAnsi="Times New Roman" w:cs="Times New Roman"/>
          <w:i/>
          <w:sz w:val="24"/>
          <w:szCs w:val="24"/>
        </w:rPr>
        <w:tab/>
        <w:t>g) Carta del fabricante de los equipos ofertados o su representante autorizado en el país en la que acredite que los equipos ofertados (Gabinete UPS, módulo UPS y/o UPS según corresponda al ANEXO E) se encuentran vigentes tecnológicamente, es decir que no se encuentran en la lista de equipos “</w:t>
      </w:r>
      <w:proofErr w:type="spellStart"/>
      <w:r w:rsidRPr="009303AE">
        <w:rPr>
          <w:rFonts w:ascii="Times New Roman" w:hAnsi="Times New Roman" w:cs="Times New Roman"/>
          <w:i/>
          <w:sz w:val="24"/>
          <w:szCs w:val="24"/>
        </w:rPr>
        <w:t>end</w:t>
      </w:r>
      <w:proofErr w:type="spellEnd"/>
      <w:r w:rsidRPr="009303AE">
        <w:rPr>
          <w:rFonts w:ascii="Times New Roman" w:hAnsi="Times New Roman" w:cs="Times New Roman"/>
          <w:i/>
          <w:sz w:val="24"/>
          <w:szCs w:val="24"/>
        </w:rPr>
        <w:t>-of-</w:t>
      </w:r>
      <w:proofErr w:type="spellStart"/>
      <w:r w:rsidRPr="009303AE">
        <w:rPr>
          <w:rFonts w:ascii="Times New Roman" w:hAnsi="Times New Roman" w:cs="Times New Roman"/>
          <w:i/>
          <w:sz w:val="24"/>
          <w:szCs w:val="24"/>
        </w:rPr>
        <w:t>life</w:t>
      </w:r>
      <w:proofErr w:type="spellEnd"/>
      <w:r w:rsidRPr="009303AE">
        <w:rPr>
          <w:rFonts w:ascii="Times New Roman" w:hAnsi="Times New Roman" w:cs="Times New Roman"/>
          <w:i/>
          <w:sz w:val="24"/>
          <w:szCs w:val="24"/>
        </w:rPr>
        <w:t xml:space="preserve">”. </w:t>
      </w:r>
    </w:p>
    <w:p w:rsidR="009C6467" w:rsidRPr="009303AE" w:rsidRDefault="009C6467" w:rsidP="009C6467">
      <w:pPr>
        <w:tabs>
          <w:tab w:val="left" w:pos="709"/>
        </w:tabs>
        <w:spacing w:after="0" w:line="240" w:lineRule="auto"/>
        <w:ind w:left="708"/>
        <w:jc w:val="both"/>
        <w:rPr>
          <w:rFonts w:ascii="Times New Roman" w:hAnsi="Times New Roman" w:cs="Times New Roman"/>
          <w:i/>
          <w:sz w:val="24"/>
          <w:szCs w:val="24"/>
        </w:rPr>
      </w:pPr>
    </w:p>
    <w:p w:rsidR="009C6467" w:rsidRPr="009303AE" w:rsidRDefault="00342601" w:rsidP="00342601">
      <w:pPr>
        <w:tabs>
          <w:tab w:val="left" w:pos="709"/>
        </w:tabs>
        <w:spacing w:after="0" w:line="240" w:lineRule="auto"/>
        <w:ind w:left="708"/>
        <w:jc w:val="both"/>
        <w:rPr>
          <w:rFonts w:ascii="Times New Roman" w:hAnsi="Times New Roman" w:cs="Times New Roman"/>
          <w:sz w:val="24"/>
          <w:szCs w:val="24"/>
        </w:rPr>
      </w:pPr>
      <w:r w:rsidRPr="009303AE">
        <w:rPr>
          <w:rFonts w:ascii="Times New Roman" w:hAnsi="Times New Roman" w:cs="Times New Roman"/>
          <w:sz w:val="24"/>
          <w:szCs w:val="24"/>
        </w:rPr>
        <w:tab/>
      </w:r>
      <w:r w:rsidR="009C6467" w:rsidRPr="009303AE">
        <w:rPr>
          <w:rFonts w:ascii="Times New Roman" w:hAnsi="Times New Roman" w:cs="Times New Roman"/>
          <w:sz w:val="24"/>
          <w:szCs w:val="24"/>
        </w:rPr>
        <w:t>Al respecto, considerando que el postor ganador de la buena pro es q</w:t>
      </w:r>
      <w:r w:rsidRPr="009303AE">
        <w:rPr>
          <w:rFonts w:ascii="Times New Roman" w:hAnsi="Times New Roman" w:cs="Times New Roman"/>
          <w:sz w:val="24"/>
          <w:szCs w:val="24"/>
        </w:rPr>
        <w:t>uien fi</w:t>
      </w:r>
      <w:r w:rsidR="009C6467" w:rsidRPr="009303AE">
        <w:rPr>
          <w:rFonts w:ascii="Times New Roman" w:hAnsi="Times New Roman" w:cs="Times New Roman"/>
          <w:sz w:val="24"/>
          <w:szCs w:val="24"/>
        </w:rPr>
        <w:t>rmará el contrato y será responsable contractualmente</w:t>
      </w:r>
      <w:r w:rsidRPr="009303AE">
        <w:rPr>
          <w:rFonts w:ascii="Times New Roman" w:hAnsi="Times New Roman" w:cs="Times New Roman"/>
          <w:sz w:val="24"/>
          <w:szCs w:val="24"/>
        </w:rPr>
        <w:t>;</w:t>
      </w:r>
      <w:r w:rsidR="009C6467" w:rsidRPr="009303AE">
        <w:rPr>
          <w:rFonts w:ascii="Times New Roman" w:hAnsi="Times New Roman" w:cs="Times New Roman"/>
          <w:sz w:val="24"/>
          <w:szCs w:val="24"/>
        </w:rPr>
        <w:t xml:space="preserve"> por ello con ocasión de la integración de las Bases deberá en lugar de lo solicitado, presentar una carta o declaración jurada del postor, haciéndose mención únicamente que se encuentran vigentes en el mercado.</w:t>
      </w:r>
    </w:p>
    <w:p w:rsidR="009C6467" w:rsidRPr="009303AE" w:rsidRDefault="009C6467" w:rsidP="009C6467">
      <w:pPr>
        <w:tabs>
          <w:tab w:val="left" w:pos="709"/>
        </w:tabs>
        <w:spacing w:after="0" w:line="240" w:lineRule="auto"/>
        <w:jc w:val="both"/>
        <w:rPr>
          <w:rFonts w:ascii="Times New Roman" w:hAnsi="Times New Roman" w:cs="Times New Roman"/>
          <w:sz w:val="24"/>
          <w:szCs w:val="24"/>
        </w:rPr>
      </w:pPr>
    </w:p>
    <w:p w:rsidR="00AE4EA0" w:rsidRPr="009303AE" w:rsidRDefault="00AE4EA0" w:rsidP="00AE4EA0">
      <w:pPr>
        <w:numPr>
          <w:ilvl w:val="0"/>
          <w:numId w:val="7"/>
        </w:numPr>
        <w:tabs>
          <w:tab w:val="left" w:pos="709"/>
        </w:tabs>
        <w:spacing w:after="0" w:line="240" w:lineRule="auto"/>
        <w:jc w:val="both"/>
        <w:rPr>
          <w:rFonts w:ascii="Times New Roman" w:hAnsi="Times New Roman" w:cs="Times New Roman"/>
          <w:sz w:val="24"/>
          <w:szCs w:val="24"/>
        </w:rPr>
      </w:pPr>
      <w:r w:rsidRPr="009303AE">
        <w:rPr>
          <w:rFonts w:ascii="Times New Roman" w:hAnsi="Times New Roman" w:cs="Times New Roman"/>
          <w:sz w:val="24"/>
          <w:szCs w:val="24"/>
        </w:rPr>
        <w:t>Del</w:t>
      </w:r>
      <w:r w:rsidR="0041031E" w:rsidRPr="009303AE">
        <w:rPr>
          <w:rFonts w:ascii="Times New Roman" w:hAnsi="Times New Roman" w:cs="Times New Roman"/>
          <w:sz w:val="24"/>
          <w:szCs w:val="24"/>
        </w:rPr>
        <w:t xml:space="preserve"> literal h) de la documentación de presentación obligatori</w:t>
      </w:r>
      <w:r w:rsidR="00425B9D" w:rsidRPr="009303AE">
        <w:rPr>
          <w:rFonts w:ascii="Times New Roman" w:hAnsi="Times New Roman" w:cs="Times New Roman"/>
          <w:sz w:val="24"/>
          <w:szCs w:val="24"/>
        </w:rPr>
        <w:t>a,</w:t>
      </w:r>
      <w:r w:rsidRPr="009303AE">
        <w:rPr>
          <w:rFonts w:ascii="Times New Roman" w:hAnsi="Times New Roman" w:cs="Times New Roman"/>
          <w:sz w:val="24"/>
          <w:szCs w:val="24"/>
        </w:rPr>
        <w:t xml:space="preserve"> se exige lo siguiente:</w:t>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AE4EA0" w:rsidRPr="009303AE" w:rsidRDefault="00AE4EA0" w:rsidP="00AE4EA0">
      <w:pPr>
        <w:tabs>
          <w:tab w:val="left" w:pos="709"/>
        </w:tabs>
        <w:spacing w:after="0" w:line="240" w:lineRule="auto"/>
        <w:ind w:left="720"/>
        <w:jc w:val="center"/>
        <w:rPr>
          <w:rFonts w:ascii="Times New Roman" w:hAnsi="Times New Roman" w:cs="Times New Roman"/>
          <w:sz w:val="24"/>
          <w:szCs w:val="24"/>
        </w:rPr>
      </w:pPr>
      <w:r w:rsidRPr="009303AE">
        <w:rPr>
          <w:rFonts w:ascii="Times New Roman" w:hAnsi="Times New Roman" w:cs="Times New Roman"/>
          <w:noProof/>
          <w:sz w:val="24"/>
          <w:szCs w:val="24"/>
        </w:rPr>
        <w:drawing>
          <wp:inline distT="0" distB="0" distL="0" distR="0">
            <wp:extent cx="4098928" cy="360218"/>
            <wp:effectExtent l="0" t="0" r="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30190" cy="362965"/>
                    </a:xfrm>
                    <a:prstGeom prst="rect">
                      <a:avLst/>
                    </a:prstGeom>
                    <a:noFill/>
                    <a:ln>
                      <a:noFill/>
                    </a:ln>
                  </pic:spPr>
                </pic:pic>
              </a:graphicData>
            </a:graphic>
          </wp:inline>
        </w:drawing>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r w:rsidRPr="009303AE">
        <w:rPr>
          <w:rFonts w:ascii="Times New Roman" w:hAnsi="Times New Roman" w:cs="Times New Roman"/>
          <w:sz w:val="24"/>
          <w:szCs w:val="24"/>
        </w:rPr>
        <w:t>Por su parte el literal k) de la documentación de presentación obligatoria, indica:</w:t>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AE4EA0" w:rsidRPr="009303AE" w:rsidRDefault="00AE4EA0" w:rsidP="00AE4EA0">
      <w:pPr>
        <w:tabs>
          <w:tab w:val="left" w:pos="709"/>
        </w:tabs>
        <w:spacing w:after="0" w:line="240" w:lineRule="auto"/>
        <w:ind w:left="720"/>
        <w:jc w:val="center"/>
        <w:rPr>
          <w:rFonts w:ascii="Times New Roman" w:hAnsi="Times New Roman" w:cs="Times New Roman"/>
          <w:sz w:val="24"/>
          <w:szCs w:val="24"/>
        </w:rPr>
      </w:pPr>
      <w:r w:rsidRPr="009303AE">
        <w:rPr>
          <w:rFonts w:ascii="Times New Roman" w:hAnsi="Times New Roman" w:cs="Times New Roman"/>
          <w:noProof/>
          <w:sz w:val="24"/>
          <w:szCs w:val="24"/>
        </w:rPr>
        <w:drawing>
          <wp:inline distT="0" distB="0" distL="0" distR="0">
            <wp:extent cx="4112029" cy="15493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33014" cy="159495"/>
                    </a:xfrm>
                    <a:prstGeom prst="rect">
                      <a:avLst/>
                    </a:prstGeom>
                    <a:noFill/>
                    <a:ln>
                      <a:noFill/>
                    </a:ln>
                  </pic:spPr>
                </pic:pic>
              </a:graphicData>
            </a:graphic>
          </wp:inline>
        </w:drawing>
      </w:r>
    </w:p>
    <w:p w:rsidR="00AE4EA0" w:rsidRPr="009303AE" w:rsidRDefault="00AE4EA0" w:rsidP="00AE4EA0">
      <w:pPr>
        <w:tabs>
          <w:tab w:val="left" w:pos="709"/>
        </w:tabs>
        <w:spacing w:after="0" w:line="240" w:lineRule="auto"/>
        <w:ind w:left="720"/>
        <w:jc w:val="center"/>
        <w:rPr>
          <w:rFonts w:ascii="Times New Roman" w:hAnsi="Times New Roman" w:cs="Times New Roman"/>
          <w:sz w:val="24"/>
          <w:szCs w:val="24"/>
        </w:rPr>
      </w:pPr>
      <w:r w:rsidRPr="009303AE">
        <w:rPr>
          <w:rFonts w:ascii="Times New Roman" w:hAnsi="Times New Roman" w:cs="Times New Roman"/>
          <w:noProof/>
          <w:sz w:val="24"/>
          <w:szCs w:val="24"/>
        </w:rPr>
        <w:drawing>
          <wp:inline distT="0" distB="0" distL="0" distR="0">
            <wp:extent cx="4078778" cy="240391"/>
            <wp:effectExtent l="0" t="0" r="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85306" cy="246669"/>
                    </a:xfrm>
                    <a:prstGeom prst="rect">
                      <a:avLst/>
                    </a:prstGeom>
                    <a:noFill/>
                    <a:ln>
                      <a:noFill/>
                    </a:ln>
                  </pic:spPr>
                </pic:pic>
              </a:graphicData>
            </a:graphic>
          </wp:inline>
        </w:drawing>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r w:rsidRPr="009303AE">
        <w:rPr>
          <w:rFonts w:ascii="Times New Roman" w:hAnsi="Times New Roman" w:cs="Times New Roman"/>
          <w:sz w:val="24"/>
          <w:szCs w:val="24"/>
        </w:rPr>
        <w:t>Ahora bien, del literal A.1 de los Requerimientos Técnicos Mínimos, se solicita:</w:t>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AE4EA0" w:rsidRPr="009303AE" w:rsidRDefault="00AE4EA0" w:rsidP="00AE4EA0">
      <w:pPr>
        <w:tabs>
          <w:tab w:val="left" w:pos="709"/>
        </w:tabs>
        <w:spacing w:after="0" w:line="240" w:lineRule="auto"/>
        <w:ind w:left="720"/>
        <w:jc w:val="center"/>
        <w:rPr>
          <w:rFonts w:ascii="Times New Roman" w:hAnsi="Times New Roman" w:cs="Times New Roman"/>
          <w:sz w:val="24"/>
          <w:szCs w:val="24"/>
        </w:rPr>
      </w:pPr>
      <w:r w:rsidRPr="009303AE">
        <w:rPr>
          <w:rFonts w:ascii="Times New Roman" w:hAnsi="Times New Roman" w:cs="Times New Roman"/>
          <w:noProof/>
          <w:sz w:val="24"/>
          <w:szCs w:val="24"/>
        </w:rPr>
        <w:drawing>
          <wp:inline distT="0" distB="0" distL="0" distR="0">
            <wp:extent cx="4100945" cy="57537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1746" cy="579694"/>
                    </a:xfrm>
                    <a:prstGeom prst="rect">
                      <a:avLst/>
                    </a:prstGeom>
                    <a:noFill/>
                    <a:ln>
                      <a:noFill/>
                    </a:ln>
                  </pic:spPr>
                </pic:pic>
              </a:graphicData>
            </a:graphic>
          </wp:inline>
        </w:drawing>
      </w:r>
    </w:p>
    <w:p w:rsidR="00AE4EA0" w:rsidRPr="009303AE" w:rsidRDefault="00AE4EA0" w:rsidP="00AE4EA0">
      <w:pPr>
        <w:tabs>
          <w:tab w:val="left" w:pos="709"/>
        </w:tabs>
        <w:spacing w:after="0" w:line="240" w:lineRule="auto"/>
        <w:ind w:left="720"/>
        <w:jc w:val="both"/>
        <w:rPr>
          <w:rFonts w:ascii="Times New Roman" w:hAnsi="Times New Roman" w:cs="Times New Roman"/>
          <w:sz w:val="24"/>
          <w:szCs w:val="24"/>
        </w:rPr>
      </w:pPr>
    </w:p>
    <w:p w:rsidR="0041031E" w:rsidRPr="009303AE" w:rsidRDefault="00AE4EA0" w:rsidP="00AE4EA0">
      <w:pPr>
        <w:tabs>
          <w:tab w:val="left" w:pos="709"/>
        </w:tabs>
        <w:spacing w:after="0" w:line="240" w:lineRule="auto"/>
        <w:ind w:left="720"/>
        <w:jc w:val="both"/>
        <w:rPr>
          <w:rFonts w:ascii="Times New Roman" w:hAnsi="Times New Roman" w:cs="Times New Roman"/>
          <w:sz w:val="24"/>
          <w:szCs w:val="24"/>
        </w:rPr>
      </w:pPr>
      <w:r w:rsidRPr="009303AE">
        <w:rPr>
          <w:rFonts w:ascii="Times New Roman" w:hAnsi="Times New Roman" w:cs="Times New Roman"/>
          <w:sz w:val="24"/>
          <w:szCs w:val="24"/>
        </w:rPr>
        <w:t xml:space="preserve">Al respecto, cabe indicar que la Entidad ha previsto el plazo de garantía de tres (3) años, por ello con ocasión de la integración de las Bases </w:t>
      </w:r>
      <w:r w:rsidRPr="009303AE">
        <w:rPr>
          <w:rFonts w:ascii="Times New Roman" w:hAnsi="Times New Roman" w:cs="Times New Roman"/>
          <w:b/>
          <w:sz w:val="24"/>
          <w:szCs w:val="24"/>
          <w:u w:val="single"/>
        </w:rPr>
        <w:t>deberá indicar</w:t>
      </w:r>
      <w:r w:rsidRPr="009303AE">
        <w:rPr>
          <w:rFonts w:ascii="Times New Roman" w:hAnsi="Times New Roman" w:cs="Times New Roman"/>
          <w:b/>
          <w:sz w:val="24"/>
          <w:szCs w:val="24"/>
        </w:rPr>
        <w:t xml:space="preserve"> </w:t>
      </w:r>
      <w:r w:rsidRPr="009303AE">
        <w:rPr>
          <w:rFonts w:ascii="Times New Roman" w:hAnsi="Times New Roman" w:cs="Times New Roman"/>
          <w:sz w:val="24"/>
          <w:szCs w:val="24"/>
        </w:rPr>
        <w:t xml:space="preserve">que </w:t>
      </w:r>
      <w:r w:rsidR="00425B9D" w:rsidRPr="009303AE">
        <w:rPr>
          <w:rFonts w:ascii="Times New Roman" w:hAnsi="Times New Roman" w:cs="Times New Roman"/>
          <w:sz w:val="24"/>
          <w:szCs w:val="24"/>
        </w:rPr>
        <w:t>la garantía del</w:t>
      </w:r>
      <w:r w:rsidR="0041031E" w:rsidRPr="009303AE">
        <w:rPr>
          <w:rFonts w:ascii="Times New Roman" w:hAnsi="Times New Roman" w:cs="Times New Roman"/>
          <w:sz w:val="24"/>
          <w:szCs w:val="24"/>
        </w:rPr>
        <w:t xml:space="preserve"> suministro de repuesto</w:t>
      </w:r>
      <w:r w:rsidR="002F3384" w:rsidRPr="009303AE">
        <w:rPr>
          <w:rFonts w:ascii="Times New Roman" w:hAnsi="Times New Roman" w:cs="Times New Roman"/>
          <w:sz w:val="24"/>
          <w:szCs w:val="24"/>
        </w:rPr>
        <w:t xml:space="preserve"> deberá ser dentro del plazo establecido en la garantía de tres (3) años</w:t>
      </w:r>
      <w:r w:rsidR="00531FD1" w:rsidRPr="009303AE">
        <w:rPr>
          <w:rFonts w:ascii="Times New Roman" w:hAnsi="Times New Roman" w:cs="Times New Roman"/>
          <w:sz w:val="24"/>
          <w:szCs w:val="24"/>
        </w:rPr>
        <w:t>. Asimismo</w:t>
      </w:r>
      <w:r w:rsidR="00A26F96" w:rsidRPr="009303AE">
        <w:rPr>
          <w:rFonts w:ascii="Times New Roman" w:hAnsi="Times New Roman" w:cs="Times New Roman"/>
          <w:sz w:val="24"/>
          <w:szCs w:val="24"/>
        </w:rPr>
        <w:t xml:space="preserve">, a efecto de no generar confusión en los participantes, </w:t>
      </w:r>
      <w:r w:rsidR="00531FD1" w:rsidRPr="009303AE">
        <w:rPr>
          <w:rFonts w:ascii="Times New Roman" w:hAnsi="Times New Roman" w:cs="Times New Roman"/>
          <w:b/>
          <w:sz w:val="24"/>
          <w:szCs w:val="24"/>
          <w:u w:val="single"/>
        </w:rPr>
        <w:t>deberá suprimir</w:t>
      </w:r>
      <w:r w:rsidR="00531FD1" w:rsidRPr="009303AE">
        <w:rPr>
          <w:rFonts w:ascii="Times New Roman" w:hAnsi="Times New Roman" w:cs="Times New Roman"/>
          <w:b/>
          <w:sz w:val="24"/>
          <w:szCs w:val="24"/>
        </w:rPr>
        <w:t xml:space="preserve"> </w:t>
      </w:r>
      <w:r w:rsidR="009752E6" w:rsidRPr="009303AE">
        <w:rPr>
          <w:rFonts w:ascii="Times New Roman" w:hAnsi="Times New Roman" w:cs="Times New Roman"/>
          <w:sz w:val="24"/>
          <w:szCs w:val="24"/>
        </w:rPr>
        <w:t xml:space="preserve"> </w:t>
      </w:r>
      <w:r w:rsidR="00A26F96" w:rsidRPr="009303AE">
        <w:rPr>
          <w:rFonts w:ascii="Times New Roman" w:hAnsi="Times New Roman" w:cs="Times New Roman"/>
          <w:sz w:val="24"/>
          <w:szCs w:val="24"/>
        </w:rPr>
        <w:t xml:space="preserve">el siguiente texto: </w:t>
      </w:r>
      <w:r w:rsidR="00A26F96" w:rsidRPr="009303AE">
        <w:rPr>
          <w:rFonts w:ascii="Times New Roman" w:hAnsi="Times New Roman" w:cs="Times New Roman"/>
          <w:i/>
          <w:sz w:val="24"/>
          <w:szCs w:val="24"/>
        </w:rPr>
        <w:t>“Todo equipo o componente que suministre el contratista deberá estar vigente tecnológicamente, con un periodo de vigencia de al menos 5 años contabilizados desde la fecha de entrega de los mismos al BCRP”.</w:t>
      </w:r>
      <w:r w:rsidR="00A26F96" w:rsidRPr="009303AE">
        <w:rPr>
          <w:rFonts w:ascii="Times New Roman" w:hAnsi="Times New Roman" w:cs="Times New Roman"/>
          <w:sz w:val="24"/>
          <w:szCs w:val="24"/>
        </w:rPr>
        <w:t xml:space="preserve"> </w:t>
      </w:r>
      <w:r w:rsidR="00531FD1" w:rsidRPr="009303AE">
        <w:rPr>
          <w:rFonts w:ascii="Times New Roman" w:hAnsi="Times New Roman" w:cs="Times New Roman"/>
          <w:sz w:val="24"/>
          <w:szCs w:val="24"/>
        </w:rPr>
        <w:t xml:space="preserve"> </w:t>
      </w:r>
    </w:p>
    <w:p w:rsidR="00425B9D" w:rsidRPr="009303AE" w:rsidRDefault="00425B9D" w:rsidP="00AE4EA0">
      <w:pPr>
        <w:tabs>
          <w:tab w:val="left" w:pos="709"/>
        </w:tabs>
        <w:spacing w:after="0" w:line="240" w:lineRule="auto"/>
        <w:jc w:val="both"/>
        <w:rPr>
          <w:rFonts w:ascii="Times New Roman" w:hAnsi="Times New Roman" w:cs="Times New Roman"/>
          <w:sz w:val="24"/>
          <w:szCs w:val="24"/>
        </w:rPr>
      </w:pPr>
    </w:p>
    <w:p w:rsidR="00DC530D" w:rsidRPr="009303AE" w:rsidRDefault="00DC530D" w:rsidP="00DC530D">
      <w:pPr>
        <w:numPr>
          <w:ilvl w:val="0"/>
          <w:numId w:val="7"/>
        </w:numPr>
        <w:tabs>
          <w:tab w:val="left" w:pos="709"/>
        </w:tabs>
        <w:spacing w:after="0" w:line="240" w:lineRule="auto"/>
        <w:jc w:val="both"/>
        <w:rPr>
          <w:rFonts w:ascii="Times New Roman" w:hAnsi="Times New Roman" w:cs="Times New Roman"/>
          <w:sz w:val="24"/>
          <w:szCs w:val="24"/>
        </w:rPr>
      </w:pPr>
      <w:r w:rsidRPr="009303AE">
        <w:rPr>
          <w:rFonts w:ascii="Times New Roman" w:hAnsi="Times New Roman" w:cs="Times New Roman"/>
          <w:sz w:val="24"/>
          <w:szCs w:val="24"/>
        </w:rPr>
        <w:t xml:space="preserve">Deberá adecuarse el literal j) de la documentación de presentación obligatoria, de tal manera que indique </w:t>
      </w:r>
      <w:r w:rsidR="00B01966" w:rsidRPr="009303AE">
        <w:rPr>
          <w:rFonts w:ascii="Times New Roman" w:hAnsi="Times New Roman" w:cs="Times New Roman"/>
          <w:sz w:val="24"/>
          <w:szCs w:val="24"/>
        </w:rPr>
        <w:t>que la experiencia del personal técnico propuesto</w:t>
      </w:r>
      <w:r w:rsidRPr="009303AE">
        <w:rPr>
          <w:rFonts w:ascii="Times New Roman" w:hAnsi="Times New Roman" w:cs="Times New Roman"/>
          <w:sz w:val="24"/>
          <w:szCs w:val="24"/>
        </w:rPr>
        <w:t xml:space="preserve">, podrá </w:t>
      </w:r>
      <w:r w:rsidR="00497EF8" w:rsidRPr="009303AE">
        <w:rPr>
          <w:rFonts w:ascii="Times New Roman" w:hAnsi="Times New Roman" w:cs="Times New Roman"/>
          <w:sz w:val="24"/>
          <w:szCs w:val="24"/>
        </w:rPr>
        <w:t>acreditarse</w:t>
      </w:r>
      <w:r w:rsidRPr="009303AE">
        <w:rPr>
          <w:rFonts w:ascii="Times New Roman" w:hAnsi="Times New Roman" w:cs="Times New Roman"/>
          <w:sz w:val="24"/>
          <w:szCs w:val="24"/>
        </w:rPr>
        <w:t xml:space="preserve"> con la presentación de (i) contratos con su respectiva conformidad o (ii) constancias o (iii) certificados o (iv) cualquier otro documento que, de manera fehaciente, demuestre la experiencia del profesional propuesto, en ese sentido, deberá suprimirse toda disposición en contrario de cual extremo de las Bases.</w:t>
      </w:r>
    </w:p>
    <w:p w:rsidR="0093692E" w:rsidRPr="009303AE" w:rsidRDefault="0093692E" w:rsidP="0093692E">
      <w:pPr>
        <w:tabs>
          <w:tab w:val="left" w:pos="709"/>
        </w:tabs>
        <w:spacing w:after="0" w:line="240" w:lineRule="auto"/>
        <w:ind w:left="720"/>
        <w:jc w:val="both"/>
        <w:rPr>
          <w:rFonts w:ascii="Times New Roman" w:hAnsi="Times New Roman" w:cs="Times New Roman"/>
          <w:sz w:val="24"/>
          <w:szCs w:val="24"/>
        </w:rPr>
      </w:pPr>
    </w:p>
    <w:p w:rsidR="0093692E" w:rsidRPr="009303AE" w:rsidRDefault="0093692E" w:rsidP="0093692E">
      <w:pPr>
        <w:tabs>
          <w:tab w:val="left" w:pos="0"/>
        </w:tabs>
        <w:spacing w:after="0" w:line="240" w:lineRule="auto"/>
        <w:jc w:val="both"/>
        <w:rPr>
          <w:rFonts w:ascii="Times New Roman" w:hAnsi="Times New Roman" w:cs="Times New Roman"/>
          <w:b/>
          <w:sz w:val="24"/>
          <w:szCs w:val="24"/>
        </w:rPr>
      </w:pPr>
      <w:r w:rsidRPr="009303AE">
        <w:rPr>
          <w:rFonts w:ascii="Times New Roman" w:hAnsi="Times New Roman" w:cs="Times New Roman"/>
          <w:b/>
          <w:sz w:val="24"/>
          <w:szCs w:val="24"/>
        </w:rPr>
        <w:t xml:space="preserve">3.2. Documentación de presentación facultativa </w:t>
      </w:r>
    </w:p>
    <w:p w:rsidR="0093692E" w:rsidRPr="009303AE" w:rsidRDefault="0093692E" w:rsidP="0093692E">
      <w:pPr>
        <w:tabs>
          <w:tab w:val="left" w:pos="709"/>
        </w:tabs>
        <w:spacing w:after="0" w:line="240" w:lineRule="auto"/>
        <w:ind w:left="720"/>
        <w:jc w:val="both"/>
        <w:rPr>
          <w:rFonts w:ascii="Times New Roman" w:hAnsi="Times New Roman" w:cs="Times New Roman"/>
          <w:sz w:val="24"/>
          <w:szCs w:val="24"/>
        </w:rPr>
      </w:pPr>
    </w:p>
    <w:p w:rsidR="0093692E" w:rsidRPr="009303AE" w:rsidRDefault="0093692E" w:rsidP="0093692E">
      <w:pPr>
        <w:pStyle w:val="Textoindependiente2"/>
        <w:numPr>
          <w:ilvl w:val="0"/>
          <w:numId w:val="7"/>
        </w:numPr>
        <w:tabs>
          <w:tab w:val="left" w:pos="426"/>
        </w:tabs>
        <w:spacing w:after="0" w:line="240" w:lineRule="auto"/>
        <w:jc w:val="both"/>
        <w:rPr>
          <w:sz w:val="24"/>
          <w:szCs w:val="24"/>
          <w:lang w:val="es-ES_tradnl"/>
        </w:rPr>
      </w:pPr>
      <w:r w:rsidRPr="009303AE">
        <w:rPr>
          <w:sz w:val="24"/>
          <w:szCs w:val="24"/>
          <w:lang w:val="es-ES_tradnl"/>
        </w:rPr>
        <w:t xml:space="preserve">En el literal c) de la documentación de presentación facultativa y en el factor “Experiencia del Postor” deberá indicarse  que dicho factor se acreditará con la siguiente documentación: </w:t>
      </w:r>
      <w:r w:rsidRPr="009303AE">
        <w:rPr>
          <w:sz w:val="24"/>
          <w:szCs w:val="24"/>
          <w:lang w:val="es-PE"/>
        </w:rPr>
        <w:t>(i) contratos y su respectiva conformidad; o (ii) comprobantes de pago, cuya cancelación se acredite documental y fehacientemente, conforme a lo señalado en el literal f) del numeral 1) del artículo 44 del Reglamento.</w:t>
      </w:r>
    </w:p>
    <w:p w:rsidR="00DC530D" w:rsidRPr="009303AE" w:rsidRDefault="00DC530D" w:rsidP="00875A90">
      <w:pPr>
        <w:widowControl w:val="0"/>
        <w:spacing w:after="0" w:line="240" w:lineRule="auto"/>
        <w:jc w:val="both"/>
        <w:rPr>
          <w:rFonts w:ascii="Times New Roman" w:hAnsi="Times New Roman" w:cs="Times New Roman"/>
          <w:sz w:val="24"/>
          <w:szCs w:val="24"/>
        </w:rPr>
      </w:pPr>
    </w:p>
    <w:p w:rsidR="003F227C" w:rsidRPr="009303AE" w:rsidRDefault="00324BB6" w:rsidP="00324BB6">
      <w:pPr>
        <w:pStyle w:val="Prrafodelista"/>
        <w:widowControl w:val="0"/>
        <w:numPr>
          <w:ilvl w:val="1"/>
          <w:numId w:val="9"/>
        </w:numPr>
        <w:tabs>
          <w:tab w:val="left" w:pos="540"/>
        </w:tabs>
        <w:jc w:val="both"/>
        <w:rPr>
          <w:rFonts w:eastAsia="Calibri"/>
          <w:b/>
          <w:sz w:val="24"/>
          <w:szCs w:val="24"/>
          <w:lang w:eastAsia="es-MX"/>
        </w:rPr>
      </w:pPr>
      <w:r w:rsidRPr="009303AE">
        <w:rPr>
          <w:rFonts w:eastAsia="Calibri"/>
          <w:b/>
          <w:sz w:val="24"/>
          <w:szCs w:val="24"/>
          <w:lang w:eastAsia="es-MX"/>
        </w:rPr>
        <w:t xml:space="preserve"> </w:t>
      </w:r>
      <w:r w:rsidR="003F227C" w:rsidRPr="009303AE">
        <w:rPr>
          <w:rFonts w:eastAsia="Calibri"/>
          <w:b/>
          <w:sz w:val="24"/>
          <w:szCs w:val="24"/>
          <w:lang w:eastAsia="es-MX"/>
        </w:rPr>
        <w:t>Proceso de Implementación</w:t>
      </w:r>
    </w:p>
    <w:p w:rsidR="003F227C" w:rsidRPr="009303AE" w:rsidRDefault="003F227C" w:rsidP="003F227C">
      <w:pPr>
        <w:pStyle w:val="Textoindependiente2"/>
        <w:widowControl w:val="0"/>
        <w:spacing w:after="0" w:line="240" w:lineRule="auto"/>
        <w:jc w:val="both"/>
        <w:rPr>
          <w:b/>
          <w:sz w:val="24"/>
          <w:szCs w:val="24"/>
        </w:rPr>
      </w:pPr>
    </w:p>
    <w:p w:rsidR="003F227C" w:rsidRPr="009303AE" w:rsidRDefault="003F227C" w:rsidP="003F227C">
      <w:pPr>
        <w:pStyle w:val="Textoindependiente2"/>
        <w:widowControl w:val="0"/>
        <w:spacing w:after="0" w:line="240" w:lineRule="auto"/>
        <w:jc w:val="both"/>
        <w:rPr>
          <w:sz w:val="24"/>
          <w:szCs w:val="24"/>
        </w:rPr>
      </w:pPr>
      <w:r w:rsidRPr="009303AE">
        <w:rPr>
          <w:sz w:val="24"/>
          <w:szCs w:val="24"/>
        </w:rPr>
        <w:t>En el numeral 4.5.3 del Capítulo III de las Especificaciones Técnicas, se señala lo siguiente:</w:t>
      </w:r>
    </w:p>
    <w:p w:rsidR="003F227C" w:rsidRPr="009303AE" w:rsidRDefault="003F227C" w:rsidP="003F227C">
      <w:pPr>
        <w:pStyle w:val="Textoindependiente2"/>
        <w:widowControl w:val="0"/>
        <w:spacing w:after="0" w:line="240" w:lineRule="auto"/>
        <w:ind w:left="567" w:right="707"/>
        <w:jc w:val="both"/>
        <w:rPr>
          <w:i/>
          <w:sz w:val="24"/>
          <w:szCs w:val="24"/>
        </w:rPr>
      </w:pPr>
    </w:p>
    <w:p w:rsidR="003F227C" w:rsidRPr="009303AE" w:rsidRDefault="003F227C" w:rsidP="00251E62">
      <w:pPr>
        <w:pStyle w:val="Textoindependiente2"/>
        <w:widowControl w:val="0"/>
        <w:spacing w:after="0" w:line="240" w:lineRule="auto"/>
        <w:ind w:left="851" w:right="991"/>
        <w:jc w:val="both"/>
        <w:rPr>
          <w:i/>
          <w:sz w:val="24"/>
          <w:szCs w:val="24"/>
        </w:rPr>
      </w:pPr>
      <w:r w:rsidRPr="009303AE">
        <w:rPr>
          <w:i/>
          <w:sz w:val="24"/>
          <w:szCs w:val="24"/>
        </w:rPr>
        <w:t xml:space="preserve">“4.5.3 Realizará la transferencia de conocimiento al personal del BCRP, mediante charlas teóricas y prácticas de una duración de al menos cuatro horas”. </w:t>
      </w:r>
    </w:p>
    <w:p w:rsidR="003F227C" w:rsidRPr="009303AE" w:rsidRDefault="003F227C" w:rsidP="003F227C">
      <w:pPr>
        <w:pStyle w:val="Textoindependiente2"/>
        <w:widowControl w:val="0"/>
        <w:spacing w:after="0" w:line="240" w:lineRule="auto"/>
        <w:jc w:val="both"/>
        <w:rPr>
          <w:sz w:val="24"/>
          <w:szCs w:val="24"/>
        </w:rPr>
      </w:pPr>
    </w:p>
    <w:p w:rsidR="003F227C" w:rsidRPr="009303AE" w:rsidRDefault="003F227C" w:rsidP="003F227C">
      <w:pPr>
        <w:pStyle w:val="Textoindependiente2"/>
        <w:widowControl w:val="0"/>
        <w:spacing w:after="0" w:line="240" w:lineRule="auto"/>
        <w:jc w:val="both"/>
        <w:rPr>
          <w:sz w:val="24"/>
          <w:szCs w:val="24"/>
        </w:rPr>
      </w:pPr>
      <w:r w:rsidRPr="009303AE">
        <w:rPr>
          <w:sz w:val="24"/>
          <w:szCs w:val="24"/>
        </w:rPr>
        <w:t>Al respecto, se advierte que no se ha especificado la cantidad de personas que el postor deba considerar para tal capacitación, ni en lugar donde se realizará la misma. Por ello,</w:t>
      </w:r>
      <w:r w:rsidRPr="009303AE">
        <w:rPr>
          <w:b/>
          <w:sz w:val="24"/>
          <w:szCs w:val="24"/>
        </w:rPr>
        <w:t xml:space="preserve"> </w:t>
      </w:r>
      <w:r w:rsidRPr="009303AE">
        <w:rPr>
          <w:b/>
          <w:sz w:val="24"/>
          <w:szCs w:val="24"/>
          <w:u w:val="single"/>
        </w:rPr>
        <w:t>deberá indicarse</w:t>
      </w:r>
      <w:r w:rsidRPr="009303AE">
        <w:rPr>
          <w:sz w:val="24"/>
          <w:szCs w:val="24"/>
        </w:rPr>
        <w:t xml:space="preserve"> la cantidad de personas que serán capacitadas y el lugar donde se realizará la misma, con la finalidad de que el participante pueda </w:t>
      </w:r>
      <w:r w:rsidR="001D2B99" w:rsidRPr="009303AE">
        <w:rPr>
          <w:sz w:val="24"/>
          <w:szCs w:val="24"/>
        </w:rPr>
        <w:t xml:space="preserve">formular </w:t>
      </w:r>
      <w:r w:rsidRPr="009303AE">
        <w:rPr>
          <w:sz w:val="24"/>
          <w:szCs w:val="24"/>
        </w:rPr>
        <w:t>su oferta sobre datos objetivos.</w:t>
      </w:r>
    </w:p>
    <w:p w:rsidR="003F227C" w:rsidRPr="009303AE" w:rsidRDefault="003F227C" w:rsidP="003F227C">
      <w:pPr>
        <w:pStyle w:val="Prrafodelista"/>
        <w:widowControl w:val="0"/>
        <w:tabs>
          <w:tab w:val="left" w:pos="540"/>
        </w:tabs>
        <w:ind w:left="360"/>
        <w:jc w:val="both"/>
        <w:rPr>
          <w:rFonts w:eastAsia="Calibri"/>
          <w:b/>
          <w:sz w:val="24"/>
          <w:szCs w:val="24"/>
          <w:lang w:val="es-ES" w:eastAsia="es-MX"/>
        </w:rPr>
      </w:pPr>
    </w:p>
    <w:p w:rsidR="0093692E" w:rsidRPr="009303AE" w:rsidRDefault="0093692E" w:rsidP="00324BB6">
      <w:pPr>
        <w:pStyle w:val="Prrafodelista"/>
        <w:widowControl w:val="0"/>
        <w:numPr>
          <w:ilvl w:val="1"/>
          <w:numId w:val="9"/>
        </w:numPr>
        <w:tabs>
          <w:tab w:val="left" w:pos="540"/>
        </w:tabs>
        <w:jc w:val="both"/>
        <w:rPr>
          <w:rFonts w:eastAsia="Calibri"/>
          <w:b/>
          <w:sz w:val="24"/>
          <w:szCs w:val="24"/>
          <w:lang w:eastAsia="es-MX"/>
        </w:rPr>
      </w:pPr>
      <w:r w:rsidRPr="009303AE">
        <w:rPr>
          <w:rFonts w:eastAsia="Calibri"/>
          <w:b/>
          <w:sz w:val="24"/>
          <w:szCs w:val="24"/>
          <w:lang w:eastAsia="es-MX"/>
        </w:rPr>
        <w:t xml:space="preserve">Factor de evaluación “Experiencia del Postor” </w:t>
      </w:r>
    </w:p>
    <w:p w:rsidR="0093692E" w:rsidRPr="009303AE" w:rsidRDefault="0093692E" w:rsidP="0093692E">
      <w:pPr>
        <w:widowControl w:val="0"/>
        <w:tabs>
          <w:tab w:val="left" w:pos="540"/>
        </w:tabs>
        <w:spacing w:after="0" w:line="240" w:lineRule="auto"/>
        <w:jc w:val="both"/>
        <w:rPr>
          <w:rFonts w:ascii="Times New Roman" w:eastAsia="Times New Roman" w:hAnsi="Times New Roman" w:cs="Times New Roman"/>
          <w:sz w:val="24"/>
          <w:szCs w:val="24"/>
          <w:lang w:eastAsia="es-MX"/>
        </w:rPr>
      </w:pPr>
    </w:p>
    <w:p w:rsidR="0093692E" w:rsidRPr="009303AE" w:rsidRDefault="0093692E" w:rsidP="0093692E">
      <w:pPr>
        <w:widowControl w:val="0"/>
        <w:tabs>
          <w:tab w:val="left" w:pos="540"/>
        </w:tabs>
        <w:spacing w:after="0" w:line="240" w:lineRule="auto"/>
        <w:jc w:val="both"/>
        <w:rPr>
          <w:rFonts w:ascii="Times New Roman" w:eastAsia="Calibri" w:hAnsi="Times New Roman" w:cs="Times New Roman"/>
          <w:b/>
          <w:sz w:val="24"/>
          <w:szCs w:val="24"/>
          <w:lang w:eastAsia="en-US"/>
        </w:rPr>
      </w:pPr>
      <w:r w:rsidRPr="009303AE">
        <w:rPr>
          <w:rFonts w:ascii="Times New Roman" w:eastAsia="Times New Roman" w:hAnsi="Times New Roman" w:cs="Times New Roman"/>
          <w:sz w:val="24"/>
          <w:szCs w:val="24"/>
          <w:lang w:eastAsia="es-MX"/>
        </w:rPr>
        <w:t xml:space="preserve">En el factor “Experiencia del Postor” se advierte que no se ha señalado qué bienes serán considerados similares al objeto de la convocatoria, lo cual no se ajusta con lo señalado en el artículo 44° del Reglamento. Por lo tanto, con ocasión de la integración de las Bases, </w:t>
      </w:r>
      <w:r w:rsidRPr="009303AE">
        <w:rPr>
          <w:rFonts w:ascii="Times New Roman" w:eastAsia="Times New Roman" w:hAnsi="Times New Roman" w:cs="Times New Roman"/>
          <w:b/>
          <w:sz w:val="24"/>
          <w:szCs w:val="24"/>
          <w:u w:val="single"/>
          <w:lang w:eastAsia="es-MX"/>
        </w:rPr>
        <w:t>deberá precisarse</w:t>
      </w:r>
      <w:r w:rsidRPr="009303AE">
        <w:rPr>
          <w:rFonts w:ascii="Times New Roman" w:eastAsia="Times New Roman" w:hAnsi="Times New Roman" w:cs="Times New Roman"/>
          <w:sz w:val="24"/>
          <w:szCs w:val="24"/>
          <w:lang w:eastAsia="es-MX"/>
        </w:rPr>
        <w:t xml:space="preserve"> qué bienes serán considerados similares, considerando que por </w:t>
      </w:r>
      <w:r w:rsidRPr="009303AE">
        <w:rPr>
          <w:rFonts w:ascii="Times New Roman" w:eastAsia="Calibri" w:hAnsi="Times New Roman" w:cs="Times New Roman"/>
          <w:sz w:val="24"/>
          <w:szCs w:val="24"/>
          <w:lang w:eastAsia="en-US"/>
        </w:rPr>
        <w:t xml:space="preserve">bienes similares debe entenderse a aquellos de naturaleza semejante, no iguales, </w:t>
      </w:r>
      <w:r w:rsidRPr="009303AE">
        <w:rPr>
          <w:rFonts w:ascii="Times New Roman" w:eastAsia="Calibri" w:hAnsi="Times New Roman" w:cs="Times New Roman"/>
          <w:sz w:val="24"/>
          <w:szCs w:val="24"/>
          <w:u w:val="single"/>
          <w:lang w:eastAsia="en-US"/>
        </w:rPr>
        <w:t>que reúnan alguna o algunas de las características que definen la naturaleza del bien materia del proceso.</w:t>
      </w:r>
      <w:r w:rsidRPr="009303AE">
        <w:rPr>
          <w:rFonts w:ascii="Times New Roman" w:eastAsia="Calibri" w:hAnsi="Times New Roman" w:cs="Times New Roman"/>
          <w:b/>
          <w:sz w:val="24"/>
          <w:szCs w:val="24"/>
          <w:lang w:eastAsia="en-US"/>
        </w:rPr>
        <w:t xml:space="preserve"> </w:t>
      </w:r>
    </w:p>
    <w:p w:rsidR="00A86BFD" w:rsidRPr="009303AE" w:rsidRDefault="00A86BFD" w:rsidP="0093692E">
      <w:pPr>
        <w:widowControl w:val="0"/>
        <w:tabs>
          <w:tab w:val="left" w:pos="540"/>
        </w:tabs>
        <w:spacing w:after="0" w:line="240" w:lineRule="auto"/>
        <w:jc w:val="both"/>
        <w:rPr>
          <w:rFonts w:ascii="Times New Roman" w:eastAsia="Calibri" w:hAnsi="Times New Roman" w:cs="Times New Roman"/>
          <w:b/>
          <w:sz w:val="24"/>
          <w:szCs w:val="24"/>
          <w:lang w:eastAsia="en-US"/>
        </w:rPr>
      </w:pPr>
    </w:p>
    <w:p w:rsidR="00565EF1" w:rsidRPr="009303AE" w:rsidRDefault="00565EF1" w:rsidP="00565EF1">
      <w:pPr>
        <w:pStyle w:val="Prrafodelista"/>
        <w:widowControl w:val="0"/>
        <w:numPr>
          <w:ilvl w:val="1"/>
          <w:numId w:val="9"/>
        </w:numPr>
        <w:tabs>
          <w:tab w:val="left" w:pos="540"/>
        </w:tabs>
        <w:jc w:val="both"/>
        <w:rPr>
          <w:rFonts w:eastAsia="Calibri"/>
          <w:b/>
          <w:sz w:val="24"/>
          <w:szCs w:val="24"/>
          <w:lang w:eastAsia="en-US"/>
        </w:rPr>
      </w:pPr>
      <w:r w:rsidRPr="009303AE">
        <w:rPr>
          <w:rFonts w:eastAsia="Calibri"/>
          <w:b/>
          <w:sz w:val="24"/>
          <w:szCs w:val="24"/>
          <w:lang w:eastAsia="en-US"/>
        </w:rPr>
        <w:t xml:space="preserve">Modificaciones de oficio </w:t>
      </w:r>
    </w:p>
    <w:p w:rsidR="00565EF1" w:rsidRPr="009303AE" w:rsidRDefault="00565EF1" w:rsidP="00565EF1">
      <w:pPr>
        <w:pStyle w:val="Textoindependiente2"/>
        <w:widowControl w:val="0"/>
        <w:spacing w:after="0" w:line="240" w:lineRule="auto"/>
        <w:ind w:left="360"/>
        <w:jc w:val="both"/>
        <w:rPr>
          <w:sz w:val="24"/>
          <w:szCs w:val="24"/>
        </w:rPr>
      </w:pPr>
    </w:p>
    <w:p w:rsidR="00565EF1" w:rsidRPr="009303AE" w:rsidRDefault="0082300F" w:rsidP="00565EF1">
      <w:pPr>
        <w:pStyle w:val="Textoindependiente2"/>
        <w:widowControl w:val="0"/>
        <w:spacing w:after="0" w:line="240" w:lineRule="auto"/>
        <w:jc w:val="both"/>
        <w:rPr>
          <w:sz w:val="24"/>
          <w:szCs w:val="24"/>
        </w:rPr>
      </w:pPr>
      <w:r>
        <w:rPr>
          <w:sz w:val="24"/>
          <w:szCs w:val="24"/>
        </w:rPr>
        <w:t>En el</w:t>
      </w:r>
      <w:r w:rsidR="00565EF1" w:rsidRPr="009303AE">
        <w:rPr>
          <w:sz w:val="24"/>
          <w:szCs w:val="24"/>
        </w:rPr>
        <w:t xml:space="preserve"> Pliego Absolutorio de Consultas y Observaciones, el Comité Especial con motivo de la observación N° 01 del participante ELECTRÓNICA </w:t>
      </w:r>
      <w:r>
        <w:rPr>
          <w:sz w:val="24"/>
          <w:szCs w:val="24"/>
        </w:rPr>
        <w:t xml:space="preserve">INDUSTRIAL Y SERVICIOS S.A.C, </w:t>
      </w:r>
      <w:r w:rsidR="00565EF1" w:rsidRPr="009303AE">
        <w:rPr>
          <w:sz w:val="24"/>
          <w:szCs w:val="24"/>
        </w:rPr>
        <w:t xml:space="preserve"> ha modificado </w:t>
      </w:r>
      <w:r w:rsidR="00951D88" w:rsidRPr="009303AE">
        <w:rPr>
          <w:sz w:val="24"/>
          <w:szCs w:val="24"/>
        </w:rPr>
        <w:t xml:space="preserve">de oficio </w:t>
      </w:r>
      <w:r w:rsidR="00565EF1" w:rsidRPr="009303AE">
        <w:rPr>
          <w:sz w:val="24"/>
          <w:szCs w:val="24"/>
        </w:rPr>
        <w:t>el factor de evaluación “Experiencia del Postor”, además se ha incluido de oficio el</w:t>
      </w:r>
      <w:r w:rsidR="001D2B99" w:rsidRPr="009303AE">
        <w:rPr>
          <w:sz w:val="24"/>
          <w:szCs w:val="24"/>
        </w:rPr>
        <w:t xml:space="preserve"> factor de evaluación “Mejoras”, siendo que este último resulta subjetivo, pues no se ha precisado su forma de acreditación ni cuáles son los rangos</w:t>
      </w:r>
      <w:r w:rsidR="00285983" w:rsidRPr="009303AE">
        <w:rPr>
          <w:sz w:val="24"/>
          <w:szCs w:val="24"/>
        </w:rPr>
        <w:t xml:space="preserve"> de variación de entrada de volt</w:t>
      </w:r>
      <w:r w:rsidR="001D2B99" w:rsidRPr="009303AE">
        <w:rPr>
          <w:sz w:val="24"/>
          <w:szCs w:val="24"/>
        </w:rPr>
        <w:t xml:space="preserve">aje que mejoran las características </w:t>
      </w:r>
      <w:r w:rsidR="00285983" w:rsidRPr="009303AE">
        <w:rPr>
          <w:sz w:val="24"/>
          <w:szCs w:val="24"/>
        </w:rPr>
        <w:t xml:space="preserve">del transformador de aislamiento. </w:t>
      </w:r>
    </w:p>
    <w:p w:rsidR="00565EF1" w:rsidRPr="009303AE" w:rsidRDefault="00565EF1" w:rsidP="00565EF1">
      <w:pPr>
        <w:pStyle w:val="Textoindependiente2"/>
        <w:widowControl w:val="0"/>
        <w:spacing w:after="0" w:line="240" w:lineRule="auto"/>
        <w:jc w:val="both"/>
        <w:rPr>
          <w:sz w:val="24"/>
          <w:szCs w:val="24"/>
        </w:rPr>
      </w:pPr>
    </w:p>
    <w:p w:rsidR="00565EF1" w:rsidRPr="009303AE" w:rsidRDefault="001D2B99" w:rsidP="00565EF1">
      <w:pPr>
        <w:pStyle w:val="Textoindependiente2"/>
        <w:widowControl w:val="0"/>
        <w:spacing w:after="0" w:line="240" w:lineRule="auto"/>
        <w:jc w:val="both"/>
        <w:rPr>
          <w:sz w:val="24"/>
          <w:szCs w:val="24"/>
        </w:rPr>
      </w:pPr>
      <w:r w:rsidRPr="009303AE">
        <w:rPr>
          <w:sz w:val="24"/>
          <w:szCs w:val="24"/>
        </w:rPr>
        <w:t>En ese sentido,</w:t>
      </w:r>
      <w:r w:rsidR="00F92B7A" w:rsidRPr="009303AE">
        <w:rPr>
          <w:sz w:val="24"/>
          <w:szCs w:val="24"/>
        </w:rPr>
        <w:t xml:space="preserve"> con ocasión de la integración de la integración de las Bases, </w:t>
      </w:r>
      <w:r w:rsidR="00F92B7A" w:rsidRPr="009303AE">
        <w:rPr>
          <w:b/>
          <w:sz w:val="24"/>
          <w:szCs w:val="24"/>
          <w:u w:val="single"/>
        </w:rPr>
        <w:t>deberá dejar sin efecto</w:t>
      </w:r>
      <w:r w:rsidR="00F92B7A" w:rsidRPr="009303AE">
        <w:rPr>
          <w:sz w:val="24"/>
          <w:szCs w:val="24"/>
        </w:rPr>
        <w:t xml:space="preserve"> </w:t>
      </w:r>
      <w:r w:rsidRPr="009303AE">
        <w:rPr>
          <w:sz w:val="24"/>
          <w:szCs w:val="24"/>
        </w:rPr>
        <w:t xml:space="preserve">la inclusión del factor “Mejoras”. </w:t>
      </w:r>
      <w:r w:rsidR="00F92B7A" w:rsidRPr="009303AE">
        <w:rPr>
          <w:sz w:val="24"/>
          <w:szCs w:val="24"/>
        </w:rPr>
        <w:t xml:space="preserve"> </w:t>
      </w:r>
    </w:p>
    <w:p w:rsidR="00565EF1" w:rsidRPr="009303AE" w:rsidRDefault="00565EF1" w:rsidP="00875A90">
      <w:pPr>
        <w:widowControl w:val="0"/>
        <w:spacing w:after="0" w:line="240" w:lineRule="auto"/>
        <w:jc w:val="both"/>
        <w:rPr>
          <w:rFonts w:ascii="Times New Roman" w:hAnsi="Times New Roman" w:cs="Times New Roman"/>
          <w:sz w:val="24"/>
          <w:szCs w:val="24"/>
        </w:rPr>
      </w:pPr>
    </w:p>
    <w:p w:rsidR="00875A90" w:rsidRPr="009303AE" w:rsidRDefault="00875A90" w:rsidP="003F0FBF">
      <w:pPr>
        <w:pStyle w:val="Prrafodelista"/>
        <w:numPr>
          <w:ilvl w:val="0"/>
          <w:numId w:val="9"/>
        </w:numPr>
        <w:jc w:val="both"/>
        <w:rPr>
          <w:b/>
          <w:sz w:val="24"/>
          <w:szCs w:val="24"/>
        </w:rPr>
      </w:pPr>
      <w:r w:rsidRPr="009303AE">
        <w:rPr>
          <w:b/>
          <w:sz w:val="24"/>
          <w:szCs w:val="24"/>
        </w:rPr>
        <w:t xml:space="preserve">CONCLUSIONES </w:t>
      </w:r>
    </w:p>
    <w:p w:rsidR="00875A90" w:rsidRPr="009303AE" w:rsidRDefault="00875A90" w:rsidP="00875A90">
      <w:pPr>
        <w:spacing w:after="0" w:line="240" w:lineRule="auto"/>
        <w:ind w:left="284"/>
        <w:jc w:val="both"/>
        <w:rPr>
          <w:rFonts w:ascii="Times New Roman" w:hAnsi="Times New Roman" w:cs="Times New Roman"/>
          <w:b/>
          <w:sz w:val="24"/>
          <w:szCs w:val="24"/>
        </w:rPr>
      </w:pPr>
    </w:p>
    <w:p w:rsidR="00875A90" w:rsidRPr="009303AE" w:rsidRDefault="00875A90" w:rsidP="00875A90">
      <w:pPr>
        <w:tabs>
          <w:tab w:val="left" w:pos="567"/>
        </w:tabs>
        <w:spacing w:after="0" w:line="240" w:lineRule="auto"/>
        <w:jc w:val="both"/>
        <w:rPr>
          <w:rFonts w:ascii="Times New Roman" w:hAnsi="Times New Roman" w:cs="Times New Roman"/>
          <w:snapToGrid w:val="0"/>
          <w:sz w:val="24"/>
          <w:szCs w:val="24"/>
        </w:rPr>
      </w:pPr>
      <w:r w:rsidRPr="009303AE">
        <w:rPr>
          <w:rFonts w:ascii="Times New Roman" w:hAnsi="Times New Roman" w:cs="Times New Roman"/>
          <w:snapToGrid w:val="0"/>
          <w:sz w:val="24"/>
          <w:szCs w:val="24"/>
        </w:rPr>
        <w:t>En virtud de lo expuesto, este Organismo Supervisor ha dispuesto:</w:t>
      </w:r>
    </w:p>
    <w:p w:rsidR="00875A90" w:rsidRPr="009303AE" w:rsidRDefault="00875A90" w:rsidP="00875A90">
      <w:pPr>
        <w:widowControl w:val="0"/>
        <w:spacing w:after="0" w:line="240" w:lineRule="auto"/>
        <w:jc w:val="both"/>
        <w:rPr>
          <w:rFonts w:ascii="Times New Roman" w:hAnsi="Times New Roman" w:cs="Times New Roman"/>
          <w:b/>
          <w:sz w:val="24"/>
          <w:szCs w:val="24"/>
        </w:rPr>
      </w:pPr>
    </w:p>
    <w:p w:rsidR="00875A90" w:rsidRPr="009303AE" w:rsidRDefault="00875A90" w:rsidP="00B9277C">
      <w:pPr>
        <w:pStyle w:val="Prrafodelista"/>
        <w:widowControl w:val="0"/>
        <w:numPr>
          <w:ilvl w:val="1"/>
          <w:numId w:val="12"/>
        </w:numPr>
        <w:ind w:left="567" w:hanging="567"/>
        <w:jc w:val="both"/>
        <w:rPr>
          <w:sz w:val="24"/>
          <w:szCs w:val="24"/>
        </w:rPr>
      </w:pPr>
      <w:r w:rsidRPr="009303AE">
        <w:rPr>
          <w:snapToGrid w:val="0"/>
          <w:sz w:val="24"/>
          <w:szCs w:val="24"/>
        </w:rPr>
        <w:t xml:space="preserve">El </w:t>
      </w:r>
      <w:r w:rsidRPr="009303AE">
        <w:rPr>
          <w:sz w:val="24"/>
          <w:szCs w:val="24"/>
          <w:lang w:val="es-ES" w:eastAsia="es-ES"/>
        </w:rPr>
        <w:t>Comité Especial deberá cumplir con lo dispuesto por este Organismo Supervisor al absolver las observaciones indicadas en el numeral 2 del presente Pronunciamiento.</w:t>
      </w:r>
    </w:p>
    <w:p w:rsidR="00875A90" w:rsidRPr="009303AE" w:rsidRDefault="00875A90" w:rsidP="00875A90">
      <w:pPr>
        <w:pStyle w:val="Prrafodelista"/>
        <w:widowControl w:val="0"/>
        <w:ind w:left="567" w:hanging="567"/>
        <w:jc w:val="both"/>
        <w:rPr>
          <w:sz w:val="24"/>
          <w:szCs w:val="24"/>
        </w:rPr>
      </w:pPr>
    </w:p>
    <w:p w:rsidR="00875A90" w:rsidRPr="009303AE" w:rsidRDefault="00875A90" w:rsidP="00B9277C">
      <w:pPr>
        <w:pStyle w:val="Prrafodelista"/>
        <w:widowControl w:val="0"/>
        <w:numPr>
          <w:ilvl w:val="1"/>
          <w:numId w:val="12"/>
        </w:numPr>
        <w:ind w:left="567" w:hanging="567"/>
        <w:jc w:val="both"/>
        <w:rPr>
          <w:sz w:val="24"/>
          <w:szCs w:val="24"/>
        </w:rPr>
      </w:pPr>
      <w:r w:rsidRPr="009303AE">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875A90" w:rsidRPr="009303AE" w:rsidRDefault="00875A90" w:rsidP="00875A90">
      <w:pPr>
        <w:pStyle w:val="Prrafodelista"/>
        <w:ind w:left="567" w:hanging="567"/>
        <w:rPr>
          <w:iCs/>
          <w:sz w:val="24"/>
          <w:szCs w:val="24"/>
        </w:rPr>
      </w:pPr>
    </w:p>
    <w:p w:rsidR="003F0FBF" w:rsidRPr="009303AE" w:rsidRDefault="00875A90" w:rsidP="00B9277C">
      <w:pPr>
        <w:pStyle w:val="Prrafodelista"/>
        <w:widowControl w:val="0"/>
        <w:numPr>
          <w:ilvl w:val="1"/>
          <w:numId w:val="12"/>
        </w:numPr>
        <w:ind w:left="567" w:hanging="567"/>
        <w:jc w:val="both"/>
        <w:rPr>
          <w:sz w:val="24"/>
          <w:szCs w:val="24"/>
        </w:rPr>
      </w:pPr>
      <w:r w:rsidRPr="009303AE">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3F0FBF" w:rsidRPr="009303AE" w:rsidRDefault="003F0FBF" w:rsidP="003F0FBF">
      <w:pPr>
        <w:pStyle w:val="Prrafodelista"/>
        <w:rPr>
          <w:sz w:val="24"/>
          <w:szCs w:val="24"/>
        </w:rPr>
      </w:pPr>
    </w:p>
    <w:p w:rsidR="003F0FBF" w:rsidRPr="009303AE" w:rsidRDefault="003F0FBF" w:rsidP="00B9277C">
      <w:pPr>
        <w:pStyle w:val="Prrafodelista"/>
        <w:widowControl w:val="0"/>
        <w:numPr>
          <w:ilvl w:val="1"/>
          <w:numId w:val="12"/>
        </w:numPr>
        <w:ind w:left="567" w:hanging="567"/>
        <w:jc w:val="both"/>
        <w:rPr>
          <w:sz w:val="24"/>
          <w:szCs w:val="24"/>
        </w:rPr>
      </w:pPr>
      <w:r w:rsidRPr="009303AE">
        <w:rPr>
          <w:color w:val="000000"/>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9303AE">
        <w:rPr>
          <w:rStyle w:val="Refdenotaalpie"/>
          <w:color w:val="000000"/>
          <w:sz w:val="24"/>
          <w:szCs w:val="24"/>
        </w:rPr>
        <w:footnoteReference w:id="2"/>
      </w:r>
      <w:r w:rsidRPr="009303AE">
        <w:rPr>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3F0FBF" w:rsidRPr="009303AE" w:rsidRDefault="003F0FBF" w:rsidP="003F0FBF">
      <w:pPr>
        <w:pStyle w:val="Prrafodelista"/>
        <w:widowControl w:val="0"/>
        <w:ind w:left="567"/>
        <w:jc w:val="both"/>
        <w:rPr>
          <w:sz w:val="24"/>
          <w:szCs w:val="24"/>
        </w:rPr>
      </w:pPr>
    </w:p>
    <w:p w:rsidR="00875A90" w:rsidRPr="009303AE" w:rsidRDefault="00875A90" w:rsidP="00B9277C">
      <w:pPr>
        <w:pStyle w:val="Prrafodelista"/>
        <w:widowControl w:val="0"/>
        <w:numPr>
          <w:ilvl w:val="1"/>
          <w:numId w:val="12"/>
        </w:numPr>
        <w:ind w:left="567" w:hanging="567"/>
        <w:jc w:val="both"/>
        <w:rPr>
          <w:sz w:val="24"/>
          <w:szCs w:val="24"/>
        </w:rPr>
      </w:pPr>
      <w:r w:rsidRPr="009303AE">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B9277C" w:rsidRPr="009303AE" w:rsidRDefault="00B9277C" w:rsidP="00B9277C">
      <w:pPr>
        <w:pStyle w:val="Prrafodelista"/>
        <w:rPr>
          <w:sz w:val="24"/>
          <w:szCs w:val="24"/>
        </w:rPr>
      </w:pPr>
    </w:p>
    <w:p w:rsidR="00875A90" w:rsidRPr="009303AE" w:rsidRDefault="00875A90" w:rsidP="00B9277C">
      <w:pPr>
        <w:pStyle w:val="Prrafodelista"/>
        <w:widowControl w:val="0"/>
        <w:numPr>
          <w:ilvl w:val="1"/>
          <w:numId w:val="12"/>
        </w:numPr>
        <w:ind w:left="567" w:hanging="567"/>
        <w:jc w:val="both"/>
        <w:rPr>
          <w:sz w:val="24"/>
          <w:szCs w:val="24"/>
        </w:rPr>
      </w:pPr>
      <w:r w:rsidRPr="009303AE">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875A90" w:rsidRPr="009303AE" w:rsidRDefault="00875A90" w:rsidP="00875A90">
      <w:pPr>
        <w:pStyle w:val="Prrafodelista"/>
        <w:ind w:left="567" w:hanging="567"/>
        <w:rPr>
          <w:iCs/>
          <w:sz w:val="24"/>
          <w:szCs w:val="24"/>
        </w:rPr>
      </w:pPr>
    </w:p>
    <w:p w:rsidR="00875A90" w:rsidRPr="009303AE" w:rsidRDefault="00875A90" w:rsidP="00B9277C">
      <w:pPr>
        <w:pStyle w:val="Prrafodelista"/>
        <w:widowControl w:val="0"/>
        <w:numPr>
          <w:ilvl w:val="1"/>
          <w:numId w:val="12"/>
        </w:numPr>
        <w:ind w:left="567" w:hanging="567"/>
        <w:jc w:val="both"/>
        <w:rPr>
          <w:sz w:val="24"/>
          <w:szCs w:val="24"/>
        </w:rPr>
      </w:pPr>
      <w:r w:rsidRPr="009303AE">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75A90" w:rsidRPr="009303AE" w:rsidRDefault="00875A90" w:rsidP="00875A90">
      <w:pPr>
        <w:pStyle w:val="Prrafodelista"/>
        <w:rPr>
          <w:iCs/>
          <w:sz w:val="24"/>
          <w:szCs w:val="24"/>
        </w:rPr>
      </w:pPr>
    </w:p>
    <w:p w:rsidR="00875A90" w:rsidRPr="009303AE" w:rsidRDefault="00875A90" w:rsidP="00875A90">
      <w:pPr>
        <w:pStyle w:val="Prrafodelista"/>
        <w:rPr>
          <w:iCs/>
          <w:sz w:val="24"/>
          <w:szCs w:val="24"/>
        </w:rPr>
      </w:pPr>
    </w:p>
    <w:p w:rsidR="00875A90" w:rsidRPr="009303AE" w:rsidRDefault="00B01966" w:rsidP="00875A90">
      <w:pPr>
        <w:widowControl w:val="0"/>
        <w:spacing w:after="0" w:line="240" w:lineRule="auto"/>
        <w:ind w:left="3545" w:firstLine="709"/>
        <w:jc w:val="both"/>
        <w:rPr>
          <w:rFonts w:ascii="Times New Roman" w:hAnsi="Times New Roman" w:cs="Times New Roman"/>
          <w:sz w:val="24"/>
          <w:szCs w:val="24"/>
        </w:rPr>
      </w:pPr>
      <w:r w:rsidRPr="009303AE">
        <w:rPr>
          <w:rFonts w:ascii="Times New Roman" w:hAnsi="Times New Roman" w:cs="Times New Roman"/>
          <w:sz w:val="24"/>
          <w:szCs w:val="24"/>
        </w:rPr>
        <w:t xml:space="preserve">         Jesús María, 29</w:t>
      </w:r>
      <w:r w:rsidR="00875A90" w:rsidRPr="009303AE">
        <w:rPr>
          <w:rFonts w:ascii="Times New Roman" w:hAnsi="Times New Roman" w:cs="Times New Roman"/>
          <w:sz w:val="24"/>
          <w:szCs w:val="24"/>
        </w:rPr>
        <w:t xml:space="preserve"> de diciembre de 2015.</w:t>
      </w: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B01966" w:rsidRPr="009303AE" w:rsidRDefault="00B01966"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9303AE">
        <w:rPr>
          <w:rFonts w:ascii="Times New Roman" w:eastAsia="Calibri" w:hAnsi="Times New Roman" w:cs="Times New Roman"/>
          <w:color w:val="000000"/>
          <w:sz w:val="24"/>
          <w:szCs w:val="24"/>
          <w:lang w:eastAsia="en-US"/>
        </w:rPr>
        <w:t xml:space="preserve">Elaborado: </w:t>
      </w:r>
      <w:r w:rsidRPr="009303AE">
        <w:rPr>
          <w:rFonts w:ascii="Times New Roman" w:eastAsia="Calibri" w:hAnsi="Times New Roman" w:cs="Times New Roman"/>
          <w:color w:val="000000"/>
          <w:sz w:val="24"/>
          <w:szCs w:val="24"/>
          <w:lang w:eastAsia="en-US"/>
        </w:rPr>
        <w:tab/>
      </w:r>
      <w:r w:rsidRPr="009303AE">
        <w:rPr>
          <w:rFonts w:ascii="Times New Roman" w:eastAsia="Calibri" w:hAnsi="Times New Roman" w:cs="Times New Roman"/>
          <w:color w:val="000000"/>
          <w:sz w:val="24"/>
          <w:szCs w:val="24"/>
          <w:lang w:eastAsia="en-US"/>
        </w:rPr>
        <w:tab/>
        <w:t>María Alejandra Garrido Recalde</w:t>
      </w:r>
    </w:p>
    <w:p w:rsidR="00875A90" w:rsidRPr="009303AE" w:rsidRDefault="00875A90" w:rsidP="00875A90">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9303AE">
        <w:rPr>
          <w:rFonts w:ascii="Times New Roman" w:eastAsia="Calibri" w:hAnsi="Times New Roman" w:cs="Times New Roman"/>
          <w:color w:val="000000"/>
          <w:sz w:val="24"/>
          <w:szCs w:val="24"/>
          <w:lang w:eastAsia="en-US"/>
        </w:rPr>
        <w:t xml:space="preserve">Supervisado: </w:t>
      </w:r>
      <w:r w:rsidRPr="009303AE">
        <w:rPr>
          <w:rFonts w:ascii="Times New Roman" w:eastAsia="Calibri" w:hAnsi="Times New Roman" w:cs="Times New Roman"/>
          <w:color w:val="000000"/>
          <w:sz w:val="24"/>
          <w:szCs w:val="24"/>
          <w:lang w:eastAsia="en-US"/>
        </w:rPr>
        <w:tab/>
      </w:r>
      <w:r w:rsidRPr="009303AE">
        <w:rPr>
          <w:rFonts w:ascii="Times New Roman" w:eastAsia="Calibri" w:hAnsi="Times New Roman" w:cs="Times New Roman"/>
          <w:color w:val="000000"/>
          <w:sz w:val="24"/>
          <w:szCs w:val="24"/>
          <w:lang w:eastAsia="en-US"/>
        </w:rPr>
        <w:tab/>
      </w:r>
      <w:proofErr w:type="spellStart"/>
      <w:r w:rsidRPr="009303AE">
        <w:rPr>
          <w:rFonts w:ascii="Times New Roman" w:eastAsia="Calibri" w:hAnsi="Times New Roman" w:cs="Times New Roman"/>
          <w:color w:val="000000"/>
          <w:sz w:val="24"/>
          <w:szCs w:val="24"/>
          <w:lang w:eastAsia="en-US"/>
        </w:rPr>
        <w:t>Elissa</w:t>
      </w:r>
      <w:proofErr w:type="spellEnd"/>
      <w:r w:rsidRPr="009303AE">
        <w:rPr>
          <w:rFonts w:ascii="Times New Roman" w:eastAsia="Calibri" w:hAnsi="Times New Roman" w:cs="Times New Roman"/>
          <w:color w:val="000000"/>
          <w:sz w:val="24"/>
          <w:szCs w:val="24"/>
          <w:lang w:eastAsia="en-US"/>
        </w:rPr>
        <w:t xml:space="preserve"> </w:t>
      </w:r>
      <w:proofErr w:type="spellStart"/>
      <w:r w:rsidRPr="009303AE">
        <w:rPr>
          <w:rFonts w:ascii="Times New Roman" w:eastAsia="Calibri" w:hAnsi="Times New Roman" w:cs="Times New Roman"/>
          <w:color w:val="000000"/>
          <w:sz w:val="24"/>
          <w:szCs w:val="24"/>
          <w:lang w:eastAsia="en-US"/>
        </w:rPr>
        <w:t>Lacca</w:t>
      </w:r>
      <w:proofErr w:type="spellEnd"/>
      <w:r w:rsidRPr="009303AE">
        <w:rPr>
          <w:rFonts w:ascii="Times New Roman" w:eastAsia="Calibri" w:hAnsi="Times New Roman" w:cs="Times New Roman"/>
          <w:color w:val="000000"/>
          <w:sz w:val="24"/>
          <w:szCs w:val="24"/>
          <w:lang w:eastAsia="en-US"/>
        </w:rPr>
        <w:t xml:space="preserve"> Velasco </w:t>
      </w:r>
    </w:p>
    <w:p w:rsidR="00875A90" w:rsidRPr="009303AE" w:rsidRDefault="00875A90" w:rsidP="00875A90">
      <w:pPr>
        <w:widowControl w:val="0"/>
        <w:spacing w:after="0" w:line="240" w:lineRule="auto"/>
        <w:ind w:left="567"/>
        <w:jc w:val="both"/>
        <w:rPr>
          <w:rFonts w:ascii="Times New Roman" w:hAnsi="Times New Roman" w:cs="Times New Roman"/>
          <w:sz w:val="24"/>
          <w:szCs w:val="24"/>
        </w:rPr>
      </w:pPr>
      <w:r w:rsidRPr="009303AE">
        <w:rPr>
          <w:rFonts w:ascii="Times New Roman" w:eastAsia="Calibri" w:hAnsi="Times New Roman" w:cs="Times New Roman"/>
          <w:color w:val="000000"/>
          <w:sz w:val="24"/>
          <w:szCs w:val="24"/>
          <w:lang w:eastAsia="en-US"/>
        </w:rPr>
        <w:t xml:space="preserve">Validado:  </w:t>
      </w:r>
      <w:r w:rsidRPr="009303AE">
        <w:rPr>
          <w:rFonts w:ascii="Times New Roman" w:eastAsia="Calibri" w:hAnsi="Times New Roman" w:cs="Times New Roman"/>
          <w:color w:val="000000"/>
          <w:sz w:val="24"/>
          <w:szCs w:val="24"/>
          <w:lang w:eastAsia="en-US"/>
        </w:rPr>
        <w:tab/>
      </w:r>
      <w:r w:rsidRPr="009303AE">
        <w:rPr>
          <w:rFonts w:ascii="Times New Roman" w:eastAsia="Calibri" w:hAnsi="Times New Roman" w:cs="Times New Roman"/>
          <w:color w:val="000000"/>
          <w:sz w:val="24"/>
          <w:szCs w:val="24"/>
          <w:lang w:eastAsia="en-US"/>
        </w:rPr>
        <w:tab/>
      </w:r>
      <w:r w:rsidR="00B01966" w:rsidRPr="009303AE">
        <w:rPr>
          <w:rFonts w:ascii="Times New Roman" w:eastAsia="Calibri" w:hAnsi="Times New Roman" w:cs="Times New Roman"/>
          <w:color w:val="000000"/>
          <w:sz w:val="24"/>
          <w:szCs w:val="24"/>
          <w:lang w:eastAsia="en-US"/>
        </w:rPr>
        <w:t xml:space="preserve">Laura Gutiérrez Gonzales </w:t>
      </w: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B01966" w:rsidRPr="009303AE" w:rsidRDefault="00B01966"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875A90" w:rsidRPr="009303AE" w:rsidRDefault="00875A90" w:rsidP="00875A90">
      <w:pPr>
        <w:keepNext/>
        <w:keepLines/>
        <w:widowControl w:val="0"/>
        <w:tabs>
          <w:tab w:val="left" w:pos="2660"/>
        </w:tabs>
        <w:spacing w:after="0" w:line="240" w:lineRule="auto"/>
        <w:jc w:val="center"/>
        <w:rPr>
          <w:rFonts w:ascii="Times New Roman" w:hAnsi="Times New Roman" w:cs="Times New Roman"/>
          <w:b/>
          <w:sz w:val="24"/>
          <w:szCs w:val="24"/>
        </w:rPr>
      </w:pPr>
      <w:r w:rsidRPr="009303AE">
        <w:rPr>
          <w:rFonts w:ascii="Times New Roman" w:hAnsi="Times New Roman" w:cs="Times New Roman"/>
          <w:b/>
          <w:sz w:val="24"/>
          <w:szCs w:val="24"/>
        </w:rPr>
        <w:t>PATRICIA ALARCÓN ALVIZURI</w:t>
      </w:r>
    </w:p>
    <w:p w:rsidR="00875A90" w:rsidRPr="009303AE" w:rsidRDefault="00875A90" w:rsidP="00875A90">
      <w:pPr>
        <w:keepNext/>
        <w:keepLines/>
        <w:widowControl w:val="0"/>
        <w:tabs>
          <w:tab w:val="left" w:pos="2660"/>
        </w:tabs>
        <w:spacing w:after="0" w:line="240" w:lineRule="auto"/>
        <w:jc w:val="center"/>
        <w:rPr>
          <w:rFonts w:ascii="Times New Roman" w:eastAsia="Calibri" w:hAnsi="Times New Roman" w:cs="Times New Roman"/>
          <w:color w:val="000000"/>
          <w:sz w:val="24"/>
          <w:szCs w:val="24"/>
          <w:lang w:eastAsia="en-US"/>
        </w:rPr>
      </w:pPr>
      <w:r w:rsidRPr="009303AE">
        <w:rPr>
          <w:rFonts w:ascii="Times New Roman" w:hAnsi="Times New Roman" w:cs="Times New Roman"/>
          <w:b/>
          <w:sz w:val="24"/>
          <w:szCs w:val="24"/>
        </w:rPr>
        <w:t>Directora de Supervisión</w:t>
      </w:r>
    </w:p>
    <w:p w:rsidR="00875A90" w:rsidRPr="009303AE" w:rsidRDefault="00875A90" w:rsidP="00875A90">
      <w:pPr>
        <w:spacing w:after="0" w:line="240" w:lineRule="auto"/>
        <w:rPr>
          <w:rFonts w:ascii="Times New Roman" w:hAnsi="Times New Roman" w:cs="Times New Roman"/>
          <w:sz w:val="24"/>
          <w:szCs w:val="24"/>
        </w:rPr>
      </w:pPr>
    </w:p>
    <w:p w:rsidR="00875A90" w:rsidRPr="009303AE" w:rsidRDefault="00875A90" w:rsidP="00875A90">
      <w:pPr>
        <w:spacing w:after="0" w:line="240" w:lineRule="auto"/>
        <w:rPr>
          <w:rFonts w:ascii="Times New Roman" w:hAnsi="Times New Roman" w:cs="Times New Roman"/>
          <w:sz w:val="24"/>
          <w:szCs w:val="24"/>
        </w:rPr>
      </w:pPr>
    </w:p>
    <w:sectPr w:rsidR="00875A90" w:rsidRPr="009303AE" w:rsidSect="00226BD1">
      <w:pgSz w:w="11906" w:h="16838" w:code="9"/>
      <w:pgMar w:top="1417" w:right="1701" w:bottom="1417" w:left="1701" w:header="1134" w:footer="72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A90" w:rsidRDefault="00875A90" w:rsidP="00875A90">
      <w:pPr>
        <w:spacing w:after="0" w:line="240" w:lineRule="auto"/>
      </w:pPr>
      <w:r>
        <w:separator/>
      </w:r>
    </w:p>
  </w:endnote>
  <w:endnote w:type="continuationSeparator" w:id="0">
    <w:p w:rsidR="00875A90" w:rsidRDefault="00875A90" w:rsidP="00875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A90" w:rsidRDefault="00875A90" w:rsidP="00875A90">
      <w:pPr>
        <w:spacing w:after="0" w:line="240" w:lineRule="auto"/>
      </w:pPr>
      <w:r>
        <w:separator/>
      </w:r>
    </w:p>
  </w:footnote>
  <w:footnote w:type="continuationSeparator" w:id="0">
    <w:p w:rsidR="00875A90" w:rsidRDefault="00875A90" w:rsidP="00875A90">
      <w:pPr>
        <w:spacing w:after="0" w:line="240" w:lineRule="auto"/>
      </w:pPr>
      <w:r>
        <w:continuationSeparator/>
      </w:r>
    </w:p>
  </w:footnote>
  <w:footnote w:id="1">
    <w:p w:rsidR="00CD274A" w:rsidRPr="00880FBB" w:rsidRDefault="00CD274A" w:rsidP="00CD274A">
      <w:pPr>
        <w:pStyle w:val="Textonotapie"/>
        <w:jc w:val="both"/>
        <w:rPr>
          <w:rFonts w:ascii="Times New Roman" w:hAnsi="Times New Roman"/>
          <w:i/>
        </w:rPr>
      </w:pPr>
      <w:r w:rsidRPr="00880FBB">
        <w:rPr>
          <w:rStyle w:val="Refdenotaalpie"/>
          <w:i/>
        </w:rPr>
        <w:footnoteRef/>
      </w:r>
      <w:r w:rsidRPr="00880FBB">
        <w:rPr>
          <w:rFonts w:ascii="Times New Roman" w:hAnsi="Times New Roman"/>
          <w:i/>
        </w:rPr>
        <w:t xml:space="preserve">Véase, entre otros,  los Pronunciamientos 111-2009/DTN y Nº 221-2009/DTN. En: </w:t>
      </w:r>
      <w:hyperlink r:id="rId1" w:history="1">
        <w:r w:rsidRPr="00880FBB">
          <w:rPr>
            <w:rStyle w:val="Hipervnculo"/>
            <w:rFonts w:ascii="Times New Roman" w:hAnsi="Times New Roman"/>
            <w:i/>
          </w:rPr>
          <w:t>www.osce.gob.pe</w:t>
        </w:r>
      </w:hyperlink>
      <w:r w:rsidRPr="00880FBB">
        <w:rPr>
          <w:rFonts w:ascii="Times New Roman" w:hAnsi="Times New Roman"/>
          <w:i/>
        </w:rPr>
        <w:t xml:space="preserve">  Sección: Legislación y documentos elaborados por el OSCE.</w:t>
      </w:r>
    </w:p>
    <w:p w:rsidR="00CD274A" w:rsidRPr="00880FBB" w:rsidRDefault="00CD274A" w:rsidP="00CD274A">
      <w:pPr>
        <w:pStyle w:val="Textonotapie"/>
        <w:rPr>
          <w:rFonts w:ascii="Times New Roman" w:hAnsi="Times New Roman"/>
          <w:i/>
        </w:rPr>
      </w:pPr>
    </w:p>
  </w:footnote>
  <w:footnote w:id="2">
    <w:p w:rsidR="003F0FBF" w:rsidRPr="00C81E3F" w:rsidRDefault="003F0FBF" w:rsidP="003F0FBF">
      <w:pPr>
        <w:pStyle w:val="Textonotapie"/>
        <w:jc w:val="both"/>
        <w:rPr>
          <w:rFonts w:ascii="Times New Roman" w:hAnsi="Times New Roman"/>
          <w:sz w:val="18"/>
          <w:szCs w:val="18"/>
        </w:rPr>
      </w:pPr>
      <w:r w:rsidRPr="00F64F34">
        <w:rPr>
          <w:rStyle w:val="Refdenotaalpie"/>
          <w:rFonts w:ascii="Times New Roman" w:hAnsi="Times New Roman"/>
          <w:sz w:val="18"/>
          <w:szCs w:val="18"/>
        </w:rPr>
        <w:footnoteRef/>
      </w:r>
      <w:r w:rsidRPr="00F64F34">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4E33"/>
    <w:multiLevelType w:val="hybridMultilevel"/>
    <w:tmpl w:val="3BF22D32"/>
    <w:lvl w:ilvl="0" w:tplc="98F0D508">
      <w:start w:val="3"/>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75449F0"/>
    <w:multiLevelType w:val="multilevel"/>
    <w:tmpl w:val="F0546B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CA1519"/>
    <w:multiLevelType w:val="hybridMultilevel"/>
    <w:tmpl w:val="3C96A636"/>
    <w:lvl w:ilvl="0" w:tplc="6B6ECD86">
      <w:start w:val="6"/>
      <w:numFmt w:val="bullet"/>
      <w:lvlText w:val="-"/>
      <w:lvlJc w:val="left"/>
      <w:pPr>
        <w:ind w:left="780" w:hanging="360"/>
      </w:pPr>
      <w:rPr>
        <w:rFonts w:ascii="Times New Roman" w:eastAsia="Times New Roman" w:hAnsi="Times New Roman" w:cs="Times New Roman"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
    <w:nsid w:val="14FD60E3"/>
    <w:multiLevelType w:val="hybridMultilevel"/>
    <w:tmpl w:val="5C58F600"/>
    <w:lvl w:ilvl="0" w:tplc="4C2C89F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BFB7618"/>
    <w:multiLevelType w:val="multilevel"/>
    <w:tmpl w:val="8640CA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5B90A6F"/>
    <w:multiLevelType w:val="multilevel"/>
    <w:tmpl w:val="CFB8738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78B733F"/>
    <w:multiLevelType w:val="multilevel"/>
    <w:tmpl w:val="92E260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B3A3D71"/>
    <w:multiLevelType w:val="multilevel"/>
    <w:tmpl w:val="B16C274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7D5328E"/>
    <w:multiLevelType w:val="hybridMultilevel"/>
    <w:tmpl w:val="37A628D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74FB03D7"/>
    <w:multiLevelType w:val="multilevel"/>
    <w:tmpl w:val="F0F44B4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8"/>
  </w:num>
  <w:num w:numId="2">
    <w:abstractNumId w:val="4"/>
  </w:num>
  <w:num w:numId="3">
    <w:abstractNumId w:val="2"/>
  </w:num>
  <w:num w:numId="4">
    <w:abstractNumId w:val="10"/>
  </w:num>
  <w:num w:numId="5">
    <w:abstractNumId w:val="11"/>
  </w:num>
  <w:num w:numId="6">
    <w:abstractNumId w:val="0"/>
  </w:num>
  <w:num w:numId="7">
    <w:abstractNumId w:val="3"/>
  </w:num>
  <w:num w:numId="8">
    <w:abstractNumId w:val="6"/>
  </w:num>
  <w:num w:numId="9">
    <w:abstractNumId w:val="5"/>
  </w:num>
  <w:num w:numId="10">
    <w:abstractNumId w:val="1"/>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10"/>
    <w:rsid w:val="000A614D"/>
    <w:rsid w:val="000E674F"/>
    <w:rsid w:val="000F2405"/>
    <w:rsid w:val="001047F9"/>
    <w:rsid w:val="00145A71"/>
    <w:rsid w:val="001D2B99"/>
    <w:rsid w:val="00226BD1"/>
    <w:rsid w:val="00251223"/>
    <w:rsid w:val="00251E62"/>
    <w:rsid w:val="00285983"/>
    <w:rsid w:val="002B5AD9"/>
    <w:rsid w:val="002F3384"/>
    <w:rsid w:val="002F5E53"/>
    <w:rsid w:val="00311ACB"/>
    <w:rsid w:val="00324BB6"/>
    <w:rsid w:val="00342601"/>
    <w:rsid w:val="00344BCC"/>
    <w:rsid w:val="00352272"/>
    <w:rsid w:val="0038473C"/>
    <w:rsid w:val="003C1F57"/>
    <w:rsid w:val="003E0148"/>
    <w:rsid w:val="003F0FBF"/>
    <w:rsid w:val="003F227C"/>
    <w:rsid w:val="0041031E"/>
    <w:rsid w:val="00425B9D"/>
    <w:rsid w:val="00467388"/>
    <w:rsid w:val="00497E64"/>
    <w:rsid w:val="00497EF8"/>
    <w:rsid w:val="004A6613"/>
    <w:rsid w:val="004F2A49"/>
    <w:rsid w:val="004F2CF2"/>
    <w:rsid w:val="00531FD1"/>
    <w:rsid w:val="00532DD7"/>
    <w:rsid w:val="00540946"/>
    <w:rsid w:val="00565EF1"/>
    <w:rsid w:val="00573F14"/>
    <w:rsid w:val="005D3A51"/>
    <w:rsid w:val="005E4086"/>
    <w:rsid w:val="0064486A"/>
    <w:rsid w:val="00674F98"/>
    <w:rsid w:val="006F5FCE"/>
    <w:rsid w:val="0071409F"/>
    <w:rsid w:val="00721DFF"/>
    <w:rsid w:val="007637A5"/>
    <w:rsid w:val="0082300F"/>
    <w:rsid w:val="00875A90"/>
    <w:rsid w:val="008B498D"/>
    <w:rsid w:val="008C31C7"/>
    <w:rsid w:val="008D6F52"/>
    <w:rsid w:val="00923425"/>
    <w:rsid w:val="009303AE"/>
    <w:rsid w:val="0093692E"/>
    <w:rsid w:val="00951D88"/>
    <w:rsid w:val="009752E6"/>
    <w:rsid w:val="00975EB1"/>
    <w:rsid w:val="00985775"/>
    <w:rsid w:val="009A1C44"/>
    <w:rsid w:val="009A63C7"/>
    <w:rsid w:val="009C6467"/>
    <w:rsid w:val="009D356A"/>
    <w:rsid w:val="009F672B"/>
    <w:rsid w:val="00A0421A"/>
    <w:rsid w:val="00A11683"/>
    <w:rsid w:val="00A26F96"/>
    <w:rsid w:val="00A42AE9"/>
    <w:rsid w:val="00A86BFD"/>
    <w:rsid w:val="00AA1FD9"/>
    <w:rsid w:val="00AE4EA0"/>
    <w:rsid w:val="00B01966"/>
    <w:rsid w:val="00B04202"/>
    <w:rsid w:val="00B04B83"/>
    <w:rsid w:val="00B20F98"/>
    <w:rsid w:val="00B9277C"/>
    <w:rsid w:val="00BF1EB6"/>
    <w:rsid w:val="00CC3A0E"/>
    <w:rsid w:val="00CD274A"/>
    <w:rsid w:val="00D23ED1"/>
    <w:rsid w:val="00D300DB"/>
    <w:rsid w:val="00D61110"/>
    <w:rsid w:val="00DC530D"/>
    <w:rsid w:val="00DD44B0"/>
    <w:rsid w:val="00E05A1C"/>
    <w:rsid w:val="00E140A4"/>
    <w:rsid w:val="00E81A58"/>
    <w:rsid w:val="00E92B69"/>
    <w:rsid w:val="00F7070F"/>
    <w:rsid w:val="00F92B7A"/>
    <w:rsid w:val="00FE6C9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AFEB78A-B43B-4976-BE6A-7CAE2CD7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90"/>
    <w:pPr>
      <w:spacing w:after="200" w:line="276" w:lineRule="auto"/>
    </w:pPr>
    <w:rPr>
      <w:rFonts w:eastAsiaTheme="minorEastAsia"/>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875A90"/>
    <w:pPr>
      <w:widowControl w:val="0"/>
      <w:suppressAutoHyphens/>
      <w:spacing w:after="0" w:line="240" w:lineRule="auto"/>
      <w:jc w:val="both"/>
    </w:pPr>
    <w:rPr>
      <w:rFonts w:ascii="Arial" w:eastAsia="MS Mincho" w:hAnsi="Arial" w:cs="Times New Roman"/>
      <w:sz w:val="24"/>
      <w:szCs w:val="20"/>
      <w:lang w:val="es-ES_tradnl"/>
    </w:rPr>
  </w:style>
  <w:style w:type="paragraph" w:customStyle="1" w:styleId="Normaltimes">
    <w:name w:val="Normal+times"/>
    <w:basedOn w:val="Normal"/>
    <w:link w:val="NormaltimesCar"/>
    <w:rsid w:val="00875A90"/>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875A90"/>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
    <w:basedOn w:val="Normal"/>
    <w:link w:val="PrrafodelistaCar"/>
    <w:uiPriority w:val="34"/>
    <w:qFormat/>
    <w:rsid w:val="00875A90"/>
    <w:pPr>
      <w:spacing w:after="0" w:line="240" w:lineRule="auto"/>
      <w:ind w:left="708"/>
    </w:pPr>
    <w:rPr>
      <w:rFonts w:ascii="Times New Roman" w:eastAsia="MS Mincho" w:hAnsi="Times New Roman" w:cs="Times New Roman"/>
      <w:sz w:val="20"/>
      <w:szCs w:val="20"/>
    </w:rPr>
  </w:style>
  <w:style w:type="paragraph" w:customStyle="1" w:styleId="WW-Sangra3detindependiente">
    <w:name w:val="WW-Sangría 3 de t. independiente"/>
    <w:basedOn w:val="Normal"/>
    <w:rsid w:val="00875A90"/>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character" w:customStyle="1" w:styleId="PrrafodelistaCar">
    <w:name w:val="Párrafo de lista Car"/>
    <w:aliases w:val="Titulo de Fígura Car,TITULO A Car,TITULO Car,Imagen 01. Car,Titulo parrafo Car,Punto Car"/>
    <w:link w:val="Prrafodelista"/>
    <w:uiPriority w:val="34"/>
    <w:rsid w:val="00875A90"/>
    <w:rPr>
      <w:rFonts w:ascii="Times New Roman" w:eastAsia="MS Mincho" w:hAnsi="Times New Roman" w:cs="Times New Roman"/>
      <w:sz w:val="20"/>
      <w:szCs w:val="20"/>
      <w:lang w:eastAsia="es-PE"/>
    </w:rPr>
  </w:style>
  <w:style w:type="paragraph" w:styleId="Textoindependiente">
    <w:name w:val="Body Text"/>
    <w:basedOn w:val="Normal"/>
    <w:link w:val="TextoindependienteCar"/>
    <w:uiPriority w:val="99"/>
    <w:rsid w:val="00875A90"/>
    <w:pPr>
      <w:spacing w:after="120" w:line="240" w:lineRule="auto"/>
    </w:pPr>
    <w:rPr>
      <w:rFonts w:ascii="Times New Roman" w:eastAsia="Times New Roman" w:hAnsi="Times New Roman" w:cs="Times New Roman"/>
      <w:sz w:val="24"/>
      <w:szCs w:val="24"/>
      <w:lang w:val="es-MX" w:eastAsia="es-ES"/>
    </w:rPr>
  </w:style>
  <w:style w:type="character" w:customStyle="1" w:styleId="TextoindependienteCar">
    <w:name w:val="Texto independiente Car"/>
    <w:basedOn w:val="Fuentedeprrafopredeter"/>
    <w:link w:val="Textoindependiente"/>
    <w:uiPriority w:val="99"/>
    <w:rsid w:val="00875A90"/>
    <w:rPr>
      <w:rFonts w:ascii="Times New Roman" w:eastAsia="Times New Roman" w:hAnsi="Times New Roman" w:cs="Times New Roman"/>
      <w:sz w:val="24"/>
      <w:szCs w:val="24"/>
      <w:lang w:val="es-MX" w:eastAsia="es-ES"/>
    </w:rPr>
  </w:style>
  <w:style w:type="paragraph" w:styleId="Textoindependiente2">
    <w:name w:val="Body Text 2"/>
    <w:basedOn w:val="Normal"/>
    <w:link w:val="Textoindependiente2Car"/>
    <w:unhideWhenUsed/>
    <w:rsid w:val="00875A90"/>
    <w:pPr>
      <w:spacing w:after="120" w:line="480" w:lineRule="auto"/>
    </w:pPr>
    <w:rPr>
      <w:rFonts w:ascii="Times New Roman" w:eastAsia="MS Mincho" w:hAnsi="Times New Roman" w:cs="Times New Roman"/>
      <w:sz w:val="20"/>
      <w:szCs w:val="20"/>
      <w:lang w:val="es-ES"/>
    </w:rPr>
  </w:style>
  <w:style w:type="character" w:customStyle="1" w:styleId="Textoindependiente2Car">
    <w:name w:val="Texto independiente 2 Car"/>
    <w:basedOn w:val="Fuentedeprrafopredeter"/>
    <w:link w:val="Textoindependiente2"/>
    <w:rsid w:val="00875A90"/>
    <w:rPr>
      <w:rFonts w:ascii="Times New Roman" w:eastAsia="MS Mincho" w:hAnsi="Times New Roman" w:cs="Times New Roman"/>
      <w:sz w:val="20"/>
      <w:szCs w:val="20"/>
      <w:lang w:val="es-ES" w:eastAsia="es-PE"/>
    </w:rPr>
  </w:style>
  <w:style w:type="paragraph" w:styleId="Lista">
    <w:name w:val="List"/>
    <w:basedOn w:val="Normal"/>
    <w:uiPriority w:val="99"/>
    <w:unhideWhenUsed/>
    <w:rsid w:val="00875A90"/>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Sinespaciado">
    <w:name w:val="No Spacing"/>
    <w:uiPriority w:val="1"/>
    <w:qFormat/>
    <w:rsid w:val="00875A90"/>
    <w:pPr>
      <w:spacing w:after="0" w:line="240" w:lineRule="auto"/>
    </w:pPr>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875A90"/>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875A90"/>
    <w:rPr>
      <w:rFonts w:ascii="Calibri" w:eastAsia="Calibri" w:hAnsi="Calibri" w:cs="Times New Roman"/>
      <w:sz w:val="20"/>
      <w:szCs w:val="20"/>
      <w:lang w:eastAsia="es-PE"/>
    </w:rPr>
  </w:style>
  <w:style w:type="character" w:styleId="Refdenotaalpie">
    <w:name w:val="footnote reference"/>
    <w:aliases w:val="16 Point,Superscript 6 Point,FC,referencia nota al pie,CVR Ref. de nota al pie"/>
    <w:rsid w:val="00875A90"/>
    <w:rPr>
      <w:vertAlign w:val="superscript"/>
    </w:rPr>
  </w:style>
  <w:style w:type="character" w:styleId="Hipervnculo">
    <w:name w:val="Hyperlink"/>
    <w:basedOn w:val="Fuentedeprrafopredeter"/>
    <w:uiPriority w:val="99"/>
    <w:unhideWhenUsed/>
    <w:rsid w:val="00573F14"/>
    <w:rPr>
      <w:color w:val="0563C1" w:themeColor="hyperlink"/>
      <w:u w:val="single"/>
    </w:rPr>
  </w:style>
  <w:style w:type="paragraph" w:styleId="NormalWeb">
    <w:name w:val="Normal (Web)"/>
    <w:basedOn w:val="Normal"/>
    <w:uiPriority w:val="99"/>
    <w:unhideWhenUsed/>
    <w:rsid w:val="00573F14"/>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34260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2601"/>
    <w:rPr>
      <w:rFonts w:ascii="Segoe UI" w:eastAsiaTheme="minorEastAsia" w:hAnsi="Segoe UI" w:cs="Segoe UI"/>
      <w:sz w:val="18"/>
      <w:szCs w:val="18"/>
      <w:lang w:eastAsia="es-PE"/>
    </w:rPr>
  </w:style>
  <w:style w:type="paragraph" w:styleId="Encabezado">
    <w:name w:val="header"/>
    <w:basedOn w:val="Normal"/>
    <w:link w:val="EncabezadoCar"/>
    <w:uiPriority w:val="99"/>
    <w:unhideWhenUsed/>
    <w:rsid w:val="006448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486A"/>
    <w:rPr>
      <w:rFonts w:eastAsiaTheme="minorEastAsia"/>
      <w:lang w:eastAsia="es-PE"/>
    </w:rPr>
  </w:style>
  <w:style w:type="paragraph" w:styleId="Piedepgina">
    <w:name w:val="footer"/>
    <w:basedOn w:val="Normal"/>
    <w:link w:val="PiedepginaCar"/>
    <w:uiPriority w:val="99"/>
    <w:unhideWhenUsed/>
    <w:rsid w:val="006448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4486A"/>
    <w:rPr>
      <w:rFonts w:eastAsiaTheme="minorEastAsia"/>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7384">
      <w:bodyDiv w:val="1"/>
      <w:marLeft w:val="0"/>
      <w:marRight w:val="0"/>
      <w:marTop w:val="0"/>
      <w:marBottom w:val="0"/>
      <w:divBdr>
        <w:top w:val="none" w:sz="0" w:space="0" w:color="auto"/>
        <w:left w:val="none" w:sz="0" w:space="0" w:color="auto"/>
        <w:bottom w:val="none" w:sz="0" w:space="0" w:color="auto"/>
        <w:right w:val="none" w:sz="0" w:space="0" w:color="auto"/>
      </w:divBdr>
      <w:divsChild>
        <w:div w:id="951862887">
          <w:marLeft w:val="120"/>
          <w:marRight w:val="120"/>
          <w:marTop w:val="120"/>
          <w:marBottom w:val="120"/>
          <w:divBdr>
            <w:top w:val="none" w:sz="0" w:space="0" w:color="auto"/>
            <w:left w:val="none" w:sz="0" w:space="0" w:color="auto"/>
            <w:bottom w:val="none" w:sz="0" w:space="0" w:color="auto"/>
            <w:right w:val="none" w:sz="0" w:space="0" w:color="auto"/>
          </w:divBdr>
          <w:divsChild>
            <w:div w:id="3782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1363">
      <w:bodyDiv w:val="1"/>
      <w:marLeft w:val="0"/>
      <w:marRight w:val="0"/>
      <w:marTop w:val="0"/>
      <w:marBottom w:val="0"/>
      <w:divBdr>
        <w:top w:val="none" w:sz="0" w:space="0" w:color="auto"/>
        <w:left w:val="none" w:sz="0" w:space="0" w:color="auto"/>
        <w:bottom w:val="none" w:sz="0" w:space="0" w:color="auto"/>
        <w:right w:val="none" w:sz="0" w:space="0" w:color="auto"/>
      </w:divBdr>
      <w:divsChild>
        <w:div w:id="1659381109">
          <w:marLeft w:val="120"/>
          <w:marRight w:val="120"/>
          <w:marTop w:val="120"/>
          <w:marBottom w:val="120"/>
          <w:divBdr>
            <w:top w:val="none" w:sz="0" w:space="0" w:color="auto"/>
            <w:left w:val="none" w:sz="0" w:space="0" w:color="auto"/>
            <w:bottom w:val="none" w:sz="0" w:space="0" w:color="auto"/>
            <w:right w:val="none" w:sz="0" w:space="0" w:color="auto"/>
          </w:divBdr>
          <w:divsChild>
            <w:div w:id="173585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203882">
      <w:bodyDiv w:val="1"/>
      <w:marLeft w:val="0"/>
      <w:marRight w:val="0"/>
      <w:marTop w:val="0"/>
      <w:marBottom w:val="0"/>
      <w:divBdr>
        <w:top w:val="none" w:sz="0" w:space="0" w:color="auto"/>
        <w:left w:val="none" w:sz="0" w:space="0" w:color="auto"/>
        <w:bottom w:val="none" w:sz="0" w:space="0" w:color="auto"/>
        <w:right w:val="none" w:sz="0" w:space="0" w:color="auto"/>
      </w:divBdr>
      <w:divsChild>
        <w:div w:id="1225676654">
          <w:marLeft w:val="120"/>
          <w:marRight w:val="120"/>
          <w:marTop w:val="120"/>
          <w:marBottom w:val="120"/>
          <w:divBdr>
            <w:top w:val="none" w:sz="0" w:space="0" w:color="auto"/>
            <w:left w:val="none" w:sz="0" w:space="0" w:color="auto"/>
            <w:bottom w:val="none" w:sz="0" w:space="0" w:color="auto"/>
            <w:right w:val="none" w:sz="0" w:space="0" w:color="auto"/>
          </w:divBdr>
          <w:divsChild>
            <w:div w:id="4949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32899">
      <w:bodyDiv w:val="1"/>
      <w:marLeft w:val="0"/>
      <w:marRight w:val="0"/>
      <w:marTop w:val="0"/>
      <w:marBottom w:val="0"/>
      <w:divBdr>
        <w:top w:val="none" w:sz="0" w:space="0" w:color="auto"/>
        <w:left w:val="none" w:sz="0" w:space="0" w:color="auto"/>
        <w:bottom w:val="none" w:sz="0" w:space="0" w:color="auto"/>
        <w:right w:val="none" w:sz="0" w:space="0" w:color="auto"/>
      </w:divBdr>
      <w:divsChild>
        <w:div w:id="1801148647">
          <w:marLeft w:val="120"/>
          <w:marRight w:val="120"/>
          <w:marTop w:val="120"/>
          <w:marBottom w:val="120"/>
          <w:divBdr>
            <w:top w:val="none" w:sz="0" w:space="0" w:color="auto"/>
            <w:left w:val="none" w:sz="0" w:space="0" w:color="auto"/>
            <w:bottom w:val="none" w:sz="0" w:space="0" w:color="auto"/>
            <w:right w:val="none" w:sz="0" w:space="0" w:color="auto"/>
          </w:divBdr>
          <w:divsChild>
            <w:div w:id="77202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984918">
      <w:bodyDiv w:val="1"/>
      <w:marLeft w:val="0"/>
      <w:marRight w:val="0"/>
      <w:marTop w:val="0"/>
      <w:marBottom w:val="0"/>
      <w:divBdr>
        <w:top w:val="none" w:sz="0" w:space="0" w:color="auto"/>
        <w:left w:val="none" w:sz="0" w:space="0" w:color="auto"/>
        <w:bottom w:val="none" w:sz="0" w:space="0" w:color="auto"/>
        <w:right w:val="none" w:sz="0" w:space="0" w:color="auto"/>
      </w:divBdr>
      <w:divsChild>
        <w:div w:id="1187713752">
          <w:marLeft w:val="120"/>
          <w:marRight w:val="120"/>
          <w:marTop w:val="120"/>
          <w:marBottom w:val="120"/>
          <w:divBdr>
            <w:top w:val="none" w:sz="0" w:space="0" w:color="auto"/>
            <w:left w:val="none" w:sz="0" w:space="0" w:color="auto"/>
            <w:bottom w:val="none" w:sz="0" w:space="0" w:color="auto"/>
            <w:right w:val="none" w:sz="0" w:space="0" w:color="auto"/>
          </w:divBdr>
          <w:divsChild>
            <w:div w:id="1951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9248F-456A-4F21-853B-D09D767F5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8</Pages>
  <Words>2667</Words>
  <Characters>14670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Garrido Recalde</dc:creator>
  <cp:keywords/>
  <dc:description/>
  <cp:lastModifiedBy>Maria Alejandra Garrido Recalde</cp:lastModifiedBy>
  <cp:revision>100</cp:revision>
  <cp:lastPrinted>2015-12-29T20:43:00Z</cp:lastPrinted>
  <dcterms:created xsi:type="dcterms:W3CDTF">2015-12-28T15:43:00Z</dcterms:created>
  <dcterms:modified xsi:type="dcterms:W3CDTF">2015-12-29T22:48:00Z</dcterms:modified>
</cp:coreProperties>
</file>