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714" w:rsidRPr="00D37ABD" w:rsidRDefault="00132714" w:rsidP="00E73C19">
      <w:pPr>
        <w:widowControl w:val="0"/>
        <w:jc w:val="center"/>
        <w:rPr>
          <w:b/>
          <w:u w:val="single"/>
        </w:rPr>
      </w:pPr>
      <w:bookmarkStart w:id="0" w:name="_GoBack"/>
      <w:bookmarkEnd w:id="0"/>
    </w:p>
    <w:p w:rsidR="00E73C19" w:rsidRPr="00D37ABD" w:rsidRDefault="00E73C19" w:rsidP="00E73C19">
      <w:pPr>
        <w:widowControl w:val="0"/>
        <w:jc w:val="center"/>
        <w:rPr>
          <w:b/>
          <w:u w:val="single"/>
        </w:rPr>
      </w:pPr>
      <w:r w:rsidRPr="00D37ABD">
        <w:rPr>
          <w:b/>
          <w:u w:val="single"/>
        </w:rPr>
        <w:t>PRONUNCIAMIENTO N°</w:t>
      </w:r>
      <w:r w:rsidR="00713686" w:rsidRPr="00D37ABD">
        <w:rPr>
          <w:b/>
          <w:u w:val="single"/>
        </w:rPr>
        <w:t xml:space="preserve"> </w:t>
      </w:r>
      <w:r w:rsidR="00326580">
        <w:rPr>
          <w:b/>
          <w:u w:val="single"/>
        </w:rPr>
        <w:t>058</w:t>
      </w:r>
      <w:r w:rsidR="00641287" w:rsidRPr="00D37ABD">
        <w:rPr>
          <w:b/>
          <w:u w:val="single"/>
        </w:rPr>
        <w:t xml:space="preserve"> </w:t>
      </w:r>
      <w:r w:rsidR="000227E0" w:rsidRPr="00D37ABD">
        <w:rPr>
          <w:b/>
          <w:u w:val="single"/>
        </w:rPr>
        <w:t>-2016/</w:t>
      </w:r>
      <w:r w:rsidR="00734E21" w:rsidRPr="00D37ABD">
        <w:rPr>
          <w:b/>
          <w:u w:val="single"/>
        </w:rPr>
        <w:t>OSCE-</w:t>
      </w:r>
      <w:r w:rsidR="000227E0" w:rsidRPr="00D37ABD">
        <w:rPr>
          <w:b/>
          <w:u w:val="single"/>
        </w:rPr>
        <w:t>DGR</w:t>
      </w:r>
    </w:p>
    <w:p w:rsidR="00E73C19" w:rsidRPr="00D37ABD" w:rsidRDefault="00E73C19" w:rsidP="00E73C19">
      <w:pPr>
        <w:widowControl w:val="0"/>
        <w:tabs>
          <w:tab w:val="left" w:pos="1980"/>
        </w:tabs>
        <w:jc w:val="both"/>
      </w:pPr>
    </w:p>
    <w:p w:rsidR="00E73C19" w:rsidRPr="00D37ABD" w:rsidRDefault="00E73C19" w:rsidP="00E73C19">
      <w:pPr>
        <w:widowControl w:val="0"/>
        <w:ind w:left="2977" w:hanging="2977"/>
        <w:jc w:val="both"/>
      </w:pPr>
      <w:r w:rsidRPr="00D37ABD">
        <w:t>Entidad:</w:t>
      </w:r>
      <w:r w:rsidRPr="00D37ABD">
        <w:tab/>
      </w:r>
      <w:r w:rsidR="008E6593" w:rsidRPr="00D37ABD">
        <w:t xml:space="preserve">Proyecto Especial de Infraestructura de Transporte Descentralizado - </w:t>
      </w:r>
      <w:r w:rsidR="0082766E" w:rsidRPr="00D37ABD">
        <w:t>Provias</w:t>
      </w:r>
      <w:r w:rsidR="002C5F06" w:rsidRPr="00D37ABD">
        <w:t xml:space="preserve"> Descentralizado</w:t>
      </w:r>
      <w:r w:rsidR="008E6593" w:rsidRPr="00D37ABD">
        <w:t xml:space="preserve"> </w:t>
      </w:r>
    </w:p>
    <w:p w:rsidR="00E73C19" w:rsidRPr="00D37ABD" w:rsidRDefault="00E73C19" w:rsidP="00E73C19">
      <w:pPr>
        <w:widowControl w:val="0"/>
        <w:ind w:left="2977" w:hanging="2977"/>
        <w:jc w:val="both"/>
      </w:pPr>
    </w:p>
    <w:p w:rsidR="00E73C19" w:rsidRPr="00D37ABD" w:rsidRDefault="00E73C19" w:rsidP="00E73C19">
      <w:pPr>
        <w:widowControl w:val="0"/>
        <w:ind w:left="2977" w:hanging="2977"/>
        <w:jc w:val="both"/>
      </w:pPr>
      <w:r w:rsidRPr="00D37ABD">
        <w:t>Referencia:</w:t>
      </w:r>
      <w:r w:rsidRPr="00D37ABD">
        <w:tab/>
      </w:r>
      <w:r w:rsidR="001F1500" w:rsidRPr="00D37ABD">
        <w:rPr>
          <w:iCs/>
        </w:rPr>
        <w:t>Concurso</w:t>
      </w:r>
      <w:r w:rsidR="001F1500" w:rsidRPr="00D37ABD">
        <w:rPr>
          <w:iCs/>
          <w:lang w:val="es-PE"/>
        </w:rPr>
        <w:t xml:space="preserve"> Público N° </w:t>
      </w:r>
      <w:r w:rsidR="00245069" w:rsidRPr="00D37ABD">
        <w:rPr>
          <w:iCs/>
          <w:lang w:val="es-PE"/>
        </w:rPr>
        <w:t>3-2016-MTC/21</w:t>
      </w:r>
      <w:r w:rsidRPr="00D37ABD">
        <w:t>, co</w:t>
      </w:r>
      <w:r w:rsidR="00903262" w:rsidRPr="00D37ABD">
        <w:t>nvocado</w:t>
      </w:r>
      <w:r w:rsidR="004B752D" w:rsidRPr="00D37ABD">
        <w:t xml:space="preserve"> para la contratación de</w:t>
      </w:r>
      <w:r w:rsidR="00245069" w:rsidRPr="00D37ABD">
        <w:t>l</w:t>
      </w:r>
      <w:r w:rsidRPr="00D37ABD">
        <w:t xml:space="preserve"> “</w:t>
      </w:r>
      <w:r w:rsidR="007145D4" w:rsidRPr="00D37ABD">
        <w:t xml:space="preserve">Servicio </w:t>
      </w:r>
      <w:r w:rsidR="00245069" w:rsidRPr="00D37ABD">
        <w:t>general de instalación de puentes – paquete 12, Departamento de Pasco</w:t>
      </w:r>
      <w:r w:rsidRPr="00D37ABD">
        <w:t>”.</w:t>
      </w:r>
    </w:p>
    <w:p w:rsidR="00E73C19" w:rsidRPr="00D37ABD" w:rsidRDefault="00E73C19" w:rsidP="00E73C19">
      <w:pPr>
        <w:widowControl w:val="0"/>
        <w:pBdr>
          <w:bottom w:val="single" w:sz="6" w:space="0" w:color="auto"/>
        </w:pBdr>
        <w:jc w:val="both"/>
      </w:pPr>
    </w:p>
    <w:p w:rsidR="00E73C19" w:rsidRPr="00D37ABD" w:rsidRDefault="00E73C19" w:rsidP="00E73C19">
      <w:pPr>
        <w:widowControl w:val="0"/>
        <w:jc w:val="both"/>
      </w:pPr>
    </w:p>
    <w:p w:rsidR="00E73C19" w:rsidRPr="00D37ABD" w:rsidRDefault="00E73C19" w:rsidP="007610E4">
      <w:pPr>
        <w:widowControl w:val="0"/>
        <w:numPr>
          <w:ilvl w:val="0"/>
          <w:numId w:val="1"/>
        </w:numPr>
        <w:tabs>
          <w:tab w:val="clear" w:pos="360"/>
        </w:tabs>
        <w:ind w:left="567" w:hanging="567"/>
        <w:jc w:val="both"/>
        <w:rPr>
          <w:b/>
        </w:rPr>
      </w:pPr>
      <w:r w:rsidRPr="00D37ABD">
        <w:rPr>
          <w:b/>
        </w:rPr>
        <w:t xml:space="preserve">ANTECEDENTES </w:t>
      </w:r>
    </w:p>
    <w:p w:rsidR="00E73C19" w:rsidRPr="00D37ABD" w:rsidRDefault="00E73C19" w:rsidP="00E73C19">
      <w:pPr>
        <w:pStyle w:val="WW-Textoindependiente2"/>
        <w:tabs>
          <w:tab w:val="left" w:pos="0"/>
        </w:tabs>
        <w:rPr>
          <w:rFonts w:ascii="Times New Roman" w:hAnsi="Times New Roman"/>
          <w:lang w:eastAsia="es-ES"/>
        </w:rPr>
      </w:pPr>
    </w:p>
    <w:p w:rsidR="004B752D" w:rsidRPr="00D37ABD" w:rsidRDefault="00A043C0" w:rsidP="004B752D">
      <w:pPr>
        <w:widowControl w:val="0"/>
        <w:ind w:left="1" w:firstLine="1"/>
        <w:jc w:val="both"/>
        <w:rPr>
          <w:lang w:val="es-PE"/>
        </w:rPr>
      </w:pPr>
      <w:r w:rsidRPr="00D37ABD">
        <w:rPr>
          <w:lang w:eastAsia="es-ES"/>
        </w:rPr>
        <w:t>Mediante Oficio</w:t>
      </w:r>
      <w:r w:rsidR="00447769" w:rsidRPr="00D37ABD">
        <w:rPr>
          <w:lang w:eastAsia="es-ES"/>
        </w:rPr>
        <w:t xml:space="preserve"> N° </w:t>
      </w:r>
      <w:r w:rsidR="003C7EB8" w:rsidRPr="00D37ABD">
        <w:rPr>
          <w:lang w:eastAsia="es-ES"/>
        </w:rPr>
        <w:t>03</w:t>
      </w:r>
      <w:r w:rsidR="004B752D" w:rsidRPr="00D37ABD">
        <w:rPr>
          <w:lang w:eastAsia="es-ES"/>
        </w:rPr>
        <w:t>-2016</w:t>
      </w:r>
      <w:r w:rsidR="007B2E1D" w:rsidRPr="00D37ABD">
        <w:rPr>
          <w:lang w:eastAsia="es-ES"/>
        </w:rPr>
        <w:t>-</w:t>
      </w:r>
      <w:r w:rsidR="003C7EB8" w:rsidRPr="00D37ABD">
        <w:rPr>
          <w:lang w:eastAsia="es-ES"/>
        </w:rPr>
        <w:t>MTC/21. CS RVM N° 099-2016-MTC/02</w:t>
      </w:r>
      <w:r w:rsidR="00B07998" w:rsidRPr="00D37ABD">
        <w:rPr>
          <w:lang w:val="es-ES" w:eastAsia="es-ES"/>
        </w:rPr>
        <w:t>, recibido</w:t>
      </w:r>
      <w:r w:rsidR="00E73C19" w:rsidRPr="00D37ABD">
        <w:rPr>
          <w:lang w:val="es-ES" w:eastAsia="es-ES"/>
        </w:rPr>
        <w:t xml:space="preserve"> el </w:t>
      </w:r>
      <w:r w:rsidR="003C7EB8" w:rsidRPr="00D37ABD">
        <w:rPr>
          <w:lang w:val="es-ES" w:eastAsia="es-ES"/>
        </w:rPr>
        <w:t>19</w:t>
      </w:r>
      <w:r w:rsidR="00E73C19" w:rsidRPr="00D37ABD">
        <w:rPr>
          <w:lang w:val="es-ES" w:eastAsia="es-ES"/>
        </w:rPr>
        <w:t>.</w:t>
      </w:r>
      <w:r w:rsidR="00447769" w:rsidRPr="00D37ABD">
        <w:rPr>
          <w:lang w:val="es-ES" w:eastAsia="es-ES"/>
        </w:rPr>
        <w:t>0</w:t>
      </w:r>
      <w:r w:rsidR="007145D4" w:rsidRPr="00D37ABD">
        <w:rPr>
          <w:lang w:val="es-ES" w:eastAsia="es-ES"/>
        </w:rPr>
        <w:t>4</w:t>
      </w:r>
      <w:r w:rsidR="00E73C19" w:rsidRPr="00D37ABD">
        <w:rPr>
          <w:lang w:val="es-ES" w:eastAsia="es-ES"/>
        </w:rPr>
        <w:t>.201</w:t>
      </w:r>
      <w:r w:rsidR="00447769" w:rsidRPr="00D37ABD">
        <w:rPr>
          <w:lang w:val="es-ES" w:eastAsia="es-ES"/>
        </w:rPr>
        <w:t>6</w:t>
      </w:r>
      <w:r w:rsidR="00E73C19" w:rsidRPr="00D37ABD">
        <w:rPr>
          <w:lang w:val="es-ES" w:eastAsia="es-ES"/>
        </w:rPr>
        <w:t>, el Presidente del Comité Especial del proceso de selección de la referencia remitió al Organismo Supervisor de las Contratac</w:t>
      </w:r>
      <w:r w:rsidR="00983054" w:rsidRPr="00D37ABD">
        <w:rPr>
          <w:lang w:val="es-ES" w:eastAsia="es-ES"/>
        </w:rPr>
        <w:t>i</w:t>
      </w:r>
      <w:r w:rsidRPr="00D37ABD">
        <w:rPr>
          <w:lang w:val="es-ES" w:eastAsia="es-ES"/>
        </w:rPr>
        <w:t xml:space="preserve">ones del Estado (OSCE) </w:t>
      </w:r>
      <w:r w:rsidR="00443B18" w:rsidRPr="00D37ABD">
        <w:rPr>
          <w:lang w:val="es-ES" w:eastAsia="es-ES"/>
        </w:rPr>
        <w:t>la solicitud de elevación de</w:t>
      </w:r>
      <w:r w:rsidR="00202DB2" w:rsidRPr="00D37ABD">
        <w:rPr>
          <w:lang w:val="es-ES" w:eastAsia="es-ES"/>
        </w:rPr>
        <w:t xml:space="preserve"> consultas y observaciones de</w:t>
      </w:r>
      <w:r w:rsidR="00E73C19" w:rsidRPr="00D37ABD">
        <w:rPr>
          <w:lang w:val="es-ES" w:eastAsia="es-ES"/>
        </w:rPr>
        <w:t xml:space="preserve">l participante </w:t>
      </w:r>
      <w:r w:rsidR="003C7EB8" w:rsidRPr="00D37ABD">
        <w:rPr>
          <w:b/>
          <w:lang w:val="es-ES" w:eastAsia="es-ES"/>
        </w:rPr>
        <w:t>ARAMSA CONTRATISTAS GENERALES</w:t>
      </w:r>
      <w:r w:rsidR="00E73C19" w:rsidRPr="00D37ABD">
        <w:rPr>
          <w:b/>
          <w:lang w:val="es-ES" w:eastAsia="es-ES"/>
        </w:rPr>
        <w:t xml:space="preserve"> S.A.C., </w:t>
      </w:r>
      <w:r w:rsidR="00E73C19" w:rsidRPr="00D37ABD">
        <w:rPr>
          <w:lang w:val="es-ES" w:eastAsia="es-ES"/>
        </w:rPr>
        <w:t>así como</w:t>
      </w:r>
      <w:r w:rsidR="00E73C19" w:rsidRPr="00D37ABD">
        <w:rPr>
          <w:lang w:eastAsia="es-ES"/>
        </w:rPr>
        <w:t xml:space="preserve"> el respectivo informe técnico, </w:t>
      </w:r>
      <w:r w:rsidR="004B752D" w:rsidRPr="00D37ABD">
        <w:rPr>
          <w:lang w:val="es-PE"/>
        </w:rPr>
        <w:t xml:space="preserve">en cumplimiento de lo dispuesto por el artículo 21° de la Ley N° 30225, Ley que aprueba la Ley de Contrataciones del Estado, en adelante la Ley, y el artículo 51° de su Reglamento, aprobado por el Decreto Supremo Nº 350-2015-EF, en adelante el Reglamento. </w:t>
      </w:r>
    </w:p>
    <w:p w:rsidR="004C6822" w:rsidRPr="00D37ABD" w:rsidRDefault="004C6822" w:rsidP="004B752D">
      <w:pPr>
        <w:widowControl w:val="0"/>
        <w:jc w:val="both"/>
        <w:rPr>
          <w:lang w:val="es-PE"/>
        </w:rPr>
      </w:pPr>
    </w:p>
    <w:p w:rsidR="008F274F" w:rsidRPr="00D37ABD" w:rsidRDefault="008F274F" w:rsidP="008F274F">
      <w:pPr>
        <w:pStyle w:val="WW-Sangra3detindependiente"/>
        <w:widowControl/>
        <w:suppressAutoHyphens w:val="0"/>
        <w:ind w:left="2"/>
      </w:pPr>
      <w:r w:rsidRPr="00D37ABD">
        <w:rPr>
          <w:lang w:val="es-PE"/>
        </w:rPr>
        <w:t>Ahora bien, de la revisión de la solicitud de elevación del participante</w:t>
      </w:r>
      <w:r w:rsidRPr="00D37ABD">
        <w:rPr>
          <w:b/>
          <w:lang w:val="es-PE"/>
        </w:rPr>
        <w:t xml:space="preserve"> </w:t>
      </w:r>
      <w:r w:rsidR="003C7EB8" w:rsidRPr="00D37ABD">
        <w:rPr>
          <w:b/>
          <w:lang w:val="es-ES" w:eastAsia="es-ES"/>
        </w:rPr>
        <w:t>ARAMSA CONTRATISTAS GENERALES</w:t>
      </w:r>
      <w:r w:rsidRPr="00D37ABD">
        <w:rPr>
          <w:lang w:val="es-PE"/>
        </w:rPr>
        <w:t xml:space="preserve">, </w:t>
      </w:r>
      <w:r w:rsidRPr="00D37ABD">
        <w:t>se advierte que é</w:t>
      </w:r>
      <w:r w:rsidR="00763824" w:rsidRPr="00D37ABD">
        <w:t>ste solicita la elevación de su</w:t>
      </w:r>
      <w:r w:rsidRPr="00D37ABD">
        <w:t xml:space="preserve"> </w:t>
      </w:r>
      <w:r w:rsidR="009C2372" w:rsidRPr="00D37ABD">
        <w:t>Consulta</w:t>
      </w:r>
      <w:r w:rsidR="00543032" w:rsidRPr="00D37ABD">
        <w:t xml:space="preserve"> N° 1</w:t>
      </w:r>
      <w:r w:rsidRPr="00D37ABD">
        <w:t xml:space="preserve"> </w:t>
      </w:r>
      <w:r w:rsidR="009C2372" w:rsidRPr="00D37ABD">
        <w:t xml:space="preserve">y Consulta N° 7 </w:t>
      </w:r>
      <w:r w:rsidRPr="00D37ABD">
        <w:t>señalando que la</w:t>
      </w:r>
      <w:r w:rsidR="00763824" w:rsidRPr="00D37ABD">
        <w:t xml:space="preserve"> respuesta</w:t>
      </w:r>
      <w:r w:rsidR="000227E0" w:rsidRPr="00D37ABD">
        <w:t xml:space="preserve"> del Comité de Selección</w:t>
      </w:r>
      <w:r w:rsidR="00763824" w:rsidRPr="00D37ABD">
        <w:t xml:space="preserve"> no se encuentra</w:t>
      </w:r>
      <w:r w:rsidRPr="00D37ABD">
        <w:t xml:space="preserve"> acorde a lo dispuesto en la normativa de contratación pública vigente, por lo que este Organismo Supervisor emit</w:t>
      </w:r>
      <w:r w:rsidR="009C2372" w:rsidRPr="00D37ABD">
        <w:t>irá pronunciamiento sobre los</w:t>
      </w:r>
      <w:r w:rsidR="0076074D" w:rsidRPr="00D37ABD">
        <w:t xml:space="preserve"> denominado</w:t>
      </w:r>
      <w:r w:rsidR="009C2372" w:rsidRPr="00D37ABD">
        <w:t>s</w:t>
      </w:r>
      <w:r w:rsidR="0076074D" w:rsidRPr="00D37ABD">
        <w:t xml:space="preserve"> Cuestionamiento</w:t>
      </w:r>
      <w:r w:rsidR="009C2372" w:rsidRPr="00D37ABD">
        <w:t>s</w:t>
      </w:r>
      <w:r w:rsidR="0076074D" w:rsidRPr="00D37ABD">
        <w:t xml:space="preserve"> N° 1</w:t>
      </w:r>
      <w:r w:rsidR="008E6593" w:rsidRPr="00D37ABD">
        <w:t xml:space="preserve"> y N° 2, respectivamente</w:t>
      </w:r>
      <w:r w:rsidR="0076074D" w:rsidRPr="00D37ABD">
        <w:t>.</w:t>
      </w:r>
    </w:p>
    <w:p w:rsidR="00E97F4B" w:rsidRPr="00D37ABD" w:rsidRDefault="00E97F4B" w:rsidP="00E97F4B">
      <w:pPr>
        <w:pStyle w:val="WW-Sangra3detindependiente"/>
        <w:suppressAutoHyphens w:val="0"/>
        <w:ind w:left="0" w:firstLine="0"/>
        <w:rPr>
          <w:lang w:val="es-PE"/>
        </w:rPr>
      </w:pPr>
    </w:p>
    <w:p w:rsidR="00E97F4B" w:rsidRPr="00D37ABD" w:rsidRDefault="00D6676F" w:rsidP="007610E4">
      <w:pPr>
        <w:pStyle w:val="WW-Sangra3detindependiente"/>
        <w:numPr>
          <w:ilvl w:val="0"/>
          <w:numId w:val="1"/>
        </w:numPr>
        <w:suppressAutoHyphens w:val="0"/>
        <w:rPr>
          <w:b/>
          <w:lang w:val="es-PE"/>
        </w:rPr>
      </w:pPr>
      <w:r>
        <w:rPr>
          <w:b/>
          <w:lang w:val="es-PE"/>
        </w:rPr>
        <w:t>CUESTIONAMIENTOS</w:t>
      </w:r>
    </w:p>
    <w:p w:rsidR="00CB6B2D" w:rsidRPr="00D37ABD" w:rsidRDefault="00CB6B2D" w:rsidP="00E97F4B">
      <w:pPr>
        <w:pStyle w:val="WW-Sangra3detindependiente"/>
        <w:suppressAutoHyphens w:val="0"/>
        <w:ind w:left="0" w:firstLine="0"/>
        <w:rPr>
          <w:b/>
          <w:lang w:val="es-PE"/>
        </w:rPr>
      </w:pPr>
    </w:p>
    <w:p w:rsidR="00E97F4B" w:rsidRPr="00D37ABD" w:rsidRDefault="008E6593" w:rsidP="00E97F4B">
      <w:pPr>
        <w:pStyle w:val="WW-Sangra3detindependiente"/>
        <w:suppressAutoHyphens w:val="0"/>
        <w:ind w:left="4245" w:hanging="4245"/>
        <w:rPr>
          <w:b/>
          <w:lang w:val="es-PE"/>
        </w:rPr>
      </w:pPr>
      <w:r w:rsidRPr="00D37ABD">
        <w:rPr>
          <w:b/>
          <w:lang w:val="es-PE"/>
        </w:rPr>
        <w:t>Participante</w:t>
      </w:r>
      <w:r w:rsidR="00E97F4B" w:rsidRPr="00D37ABD">
        <w:rPr>
          <w:b/>
          <w:lang w:val="es-PE"/>
        </w:rPr>
        <w:t>:</w:t>
      </w:r>
      <w:r w:rsidR="00E97F4B" w:rsidRPr="00D37ABD">
        <w:rPr>
          <w:b/>
          <w:lang w:val="es-PE"/>
        </w:rPr>
        <w:tab/>
      </w:r>
      <w:r w:rsidR="00E97F4B" w:rsidRPr="00D37ABD">
        <w:rPr>
          <w:b/>
          <w:lang w:val="es-PE"/>
        </w:rPr>
        <w:tab/>
      </w:r>
      <w:r w:rsidR="00D8099F" w:rsidRPr="00D37ABD">
        <w:rPr>
          <w:b/>
          <w:lang w:val="es-ES" w:eastAsia="es-ES"/>
        </w:rPr>
        <w:t xml:space="preserve">ARAMSA CONTRATISTAS GENERALES </w:t>
      </w:r>
      <w:r w:rsidR="00E97F4B" w:rsidRPr="00D37ABD">
        <w:rPr>
          <w:b/>
          <w:lang w:val="es-PE"/>
        </w:rPr>
        <w:t>S.A.C.</w:t>
      </w:r>
    </w:p>
    <w:p w:rsidR="00E97F4B" w:rsidRPr="00D37ABD" w:rsidRDefault="00E97F4B" w:rsidP="00E97F4B">
      <w:pPr>
        <w:pStyle w:val="WW-Sangra3detindependiente"/>
        <w:suppressAutoHyphens w:val="0"/>
        <w:ind w:left="4245" w:hanging="4245"/>
        <w:rPr>
          <w:b/>
          <w:lang w:val="es-PE"/>
        </w:rPr>
      </w:pPr>
    </w:p>
    <w:p w:rsidR="00E97F4B" w:rsidRPr="00D37ABD" w:rsidRDefault="0076074D" w:rsidP="00E97F4B">
      <w:pPr>
        <w:pStyle w:val="WW-Sangra3detindependiente"/>
        <w:suppressAutoHyphens w:val="0"/>
        <w:ind w:left="4245" w:hanging="4245"/>
        <w:rPr>
          <w:b/>
          <w:lang w:val="es-PE"/>
        </w:rPr>
      </w:pPr>
      <w:r w:rsidRPr="00D37ABD">
        <w:rPr>
          <w:b/>
          <w:lang w:val="es-PE"/>
        </w:rPr>
        <w:t>Cuestionamiento</w:t>
      </w:r>
      <w:r w:rsidR="003C389E" w:rsidRPr="00D37ABD">
        <w:rPr>
          <w:b/>
          <w:lang w:val="es-PE"/>
        </w:rPr>
        <w:t xml:space="preserve"> N° </w:t>
      </w:r>
      <w:r w:rsidR="00AB1CBC" w:rsidRPr="00D37ABD">
        <w:rPr>
          <w:b/>
          <w:lang w:val="es-PE"/>
        </w:rPr>
        <w:t>1</w:t>
      </w:r>
      <w:r w:rsidR="00E97F4B" w:rsidRPr="00D37ABD">
        <w:rPr>
          <w:b/>
          <w:lang w:val="es-PE"/>
        </w:rPr>
        <w:t xml:space="preserve"> </w:t>
      </w:r>
      <w:r w:rsidR="00E97F4B" w:rsidRPr="00D37ABD">
        <w:rPr>
          <w:b/>
          <w:lang w:val="es-PE"/>
        </w:rPr>
        <w:tab/>
      </w:r>
      <w:r w:rsidR="00533967" w:rsidRPr="00D37ABD">
        <w:rPr>
          <w:b/>
          <w:lang w:val="es-PE"/>
        </w:rPr>
        <w:t xml:space="preserve">Contra </w:t>
      </w:r>
      <w:r w:rsidR="00580672" w:rsidRPr="00D37ABD">
        <w:rPr>
          <w:b/>
          <w:lang w:val="es-PE"/>
        </w:rPr>
        <w:t>la documentación de presentación obligatoria</w:t>
      </w:r>
    </w:p>
    <w:p w:rsidR="00E73C19" w:rsidRPr="00D37ABD" w:rsidRDefault="00E73C19" w:rsidP="00E97F4B">
      <w:pPr>
        <w:widowControl w:val="0"/>
        <w:tabs>
          <w:tab w:val="left" w:pos="4536"/>
        </w:tabs>
        <w:jc w:val="both"/>
        <w:rPr>
          <w:b/>
          <w:lang w:val="es-PE"/>
        </w:rPr>
      </w:pPr>
    </w:p>
    <w:p w:rsidR="0076074D" w:rsidRPr="00D37ABD" w:rsidRDefault="001F76C8" w:rsidP="00DD6C2E">
      <w:pPr>
        <w:widowControl w:val="0"/>
        <w:jc w:val="both"/>
      </w:pPr>
      <w:r w:rsidRPr="00D37ABD">
        <w:t xml:space="preserve">El participante </w:t>
      </w:r>
      <w:r w:rsidR="0076074D" w:rsidRPr="00D37ABD">
        <w:t xml:space="preserve">a través de su </w:t>
      </w:r>
      <w:r w:rsidR="00AB1CBC" w:rsidRPr="00D37ABD">
        <w:t>Consulta</w:t>
      </w:r>
      <w:r w:rsidR="0076074D" w:rsidRPr="00D37ABD">
        <w:t xml:space="preserve"> N° 1 cuestiona que </w:t>
      </w:r>
      <w:r w:rsidR="00447E13" w:rsidRPr="00D37ABD">
        <w:t>se requiera la presentación de una Carta de compromiso del personal</w:t>
      </w:r>
      <w:r w:rsidR="00D8099F" w:rsidRPr="00D37ABD">
        <w:t xml:space="preserve"> clave con firma legalizada, </w:t>
      </w:r>
      <w:r w:rsidR="00E83A30" w:rsidRPr="00D37ABD">
        <w:rPr>
          <w:lang w:val="es-PE"/>
        </w:rPr>
        <w:t xml:space="preserve"> ya que, según indica, </w:t>
      </w:r>
      <w:r w:rsidR="00447E13" w:rsidRPr="00D37ABD">
        <w:rPr>
          <w:lang w:val="es-PE"/>
        </w:rPr>
        <w:t xml:space="preserve">la obligatoriedad </w:t>
      </w:r>
      <w:r w:rsidR="00D8099F" w:rsidRPr="00D37ABD">
        <w:rPr>
          <w:lang w:val="es-PE"/>
        </w:rPr>
        <w:t xml:space="preserve">de que la Carta tenga la firma legalizada del personal clave </w:t>
      </w:r>
      <w:r w:rsidR="00447E13" w:rsidRPr="00D37ABD">
        <w:rPr>
          <w:lang w:val="es-PE"/>
        </w:rPr>
        <w:t>es sólo para el caso de obras y consultoría de obras de acuerdo al artículo 31° del Reglamento.</w:t>
      </w:r>
    </w:p>
    <w:p w:rsidR="0076074D" w:rsidRPr="00D37ABD" w:rsidRDefault="0076074D" w:rsidP="00DD6C2E">
      <w:pPr>
        <w:widowControl w:val="0"/>
        <w:jc w:val="both"/>
      </w:pPr>
    </w:p>
    <w:p w:rsidR="00627846" w:rsidRPr="00D37ABD" w:rsidRDefault="0076074D" w:rsidP="00DD6C2E">
      <w:pPr>
        <w:widowControl w:val="0"/>
        <w:jc w:val="both"/>
      </w:pPr>
      <w:r w:rsidRPr="00D37ABD">
        <w:t xml:space="preserve">Asimismo, se advierte que dicho participante en su solicitud de elevación precisa que </w:t>
      </w:r>
      <w:r w:rsidR="00D8099F" w:rsidRPr="00D37ABD">
        <w:t xml:space="preserve">el presente proceso de selección esta convocado bajo la modalidad de Concurso Público por tratarse de un servicio de instalación de puentes modulares </w:t>
      </w:r>
      <w:r w:rsidR="00D8099F" w:rsidRPr="00D37ABD">
        <w:lastRenderedPageBreak/>
        <w:t xml:space="preserve">provisionales, por lo </w:t>
      </w:r>
      <w:r w:rsidR="0015205B" w:rsidRPr="00D37ABD">
        <w:t>que no sería el caso de obras y/o consultorías en el que si const</w:t>
      </w:r>
      <w:r w:rsidR="00540609" w:rsidRPr="00D37ABD">
        <w:t xml:space="preserve">ituye un requisito obligatorio. Además, considerando el objeto de la prestación, señala </w:t>
      </w:r>
      <w:r w:rsidR="0015205B" w:rsidRPr="00D37ABD">
        <w:t>que toda documentación que se presenta, debe ser considerada como veraz, sin perjuicio de que se realicen las fiscalizaciones posteriores, no debiéndose priorizar la realización de formalidades no esenciales, garantizando la efectiva y op</w:t>
      </w:r>
      <w:r w:rsidR="00540609" w:rsidRPr="00D37ABD">
        <w:t>o</w:t>
      </w:r>
      <w:r w:rsidR="0015205B" w:rsidRPr="00D37ABD">
        <w:t>rtuna satisfacción del interés público</w:t>
      </w:r>
      <w:r w:rsidR="008034AD" w:rsidRPr="00D37ABD">
        <w:t>.</w:t>
      </w:r>
      <w:r w:rsidR="00851381" w:rsidRPr="00D37ABD">
        <w:t xml:space="preserve"> </w:t>
      </w:r>
      <w:r w:rsidR="00627846" w:rsidRPr="00D37ABD">
        <w:t xml:space="preserve">Asimismo, </w:t>
      </w:r>
      <w:r w:rsidR="00851381" w:rsidRPr="00D37ABD">
        <w:t xml:space="preserve">refiere </w:t>
      </w:r>
      <w:r w:rsidR="00627846" w:rsidRPr="00D37ABD">
        <w:t xml:space="preserve">que </w:t>
      </w:r>
      <w:r w:rsidR="00851381" w:rsidRPr="00D37ABD">
        <w:t xml:space="preserve">en el </w:t>
      </w:r>
      <w:r w:rsidR="0015205B" w:rsidRPr="00D37ABD">
        <w:t>Pronunciamiento N° 780-2013/DSU se suprimió la obligación de presentar el citado compromiso con firma legalizada ante notario público</w:t>
      </w:r>
      <w:r w:rsidR="00627846" w:rsidRPr="00D37ABD">
        <w:t>.</w:t>
      </w:r>
    </w:p>
    <w:p w:rsidR="00E97F4B" w:rsidRPr="00D37ABD" w:rsidRDefault="00E97F4B" w:rsidP="00E73C19">
      <w:pPr>
        <w:widowControl w:val="0"/>
        <w:jc w:val="both"/>
      </w:pPr>
    </w:p>
    <w:p w:rsidR="00E73C19" w:rsidRPr="00D37ABD" w:rsidRDefault="00E73C19" w:rsidP="00E73C19">
      <w:pPr>
        <w:widowControl w:val="0"/>
        <w:ind w:left="4678" w:hanging="4678"/>
        <w:jc w:val="both"/>
        <w:rPr>
          <w:rFonts w:eastAsia="MS Mincho"/>
          <w:b/>
          <w:lang w:val="es-PE" w:eastAsia="es-ES"/>
        </w:rPr>
      </w:pPr>
      <w:r w:rsidRPr="00D37ABD">
        <w:rPr>
          <w:rFonts w:eastAsia="MS Mincho"/>
          <w:b/>
          <w:lang w:val="es-PE" w:eastAsia="es-ES"/>
        </w:rPr>
        <w:t>Pronunciamiento:</w:t>
      </w:r>
    </w:p>
    <w:p w:rsidR="00E73C19" w:rsidRPr="00D37ABD" w:rsidRDefault="00E73C19" w:rsidP="00E73C19">
      <w:pPr>
        <w:widowControl w:val="0"/>
        <w:ind w:left="4678" w:hanging="4678"/>
        <w:jc w:val="both"/>
        <w:rPr>
          <w:rFonts w:eastAsia="MS Mincho"/>
          <w:b/>
          <w:lang w:val="es-PE" w:eastAsia="es-ES"/>
        </w:rPr>
      </w:pPr>
    </w:p>
    <w:p w:rsidR="009E4694" w:rsidRPr="00D37ABD" w:rsidRDefault="009E4694" w:rsidP="009E4694">
      <w:pPr>
        <w:widowControl w:val="0"/>
        <w:jc w:val="both"/>
        <w:rPr>
          <w:rFonts w:eastAsia="MS Mincho"/>
          <w:lang w:val="es-PE" w:eastAsia="es-ES"/>
        </w:rPr>
      </w:pPr>
      <w:r w:rsidRPr="00D37ABD">
        <w:rPr>
          <w:rFonts w:eastAsia="MS Mincho"/>
          <w:lang w:val="es-PE" w:eastAsia="es-ES"/>
        </w:rPr>
        <w:t>De la revisión de las Bases se desprende que el</w:t>
      </w:r>
      <w:r w:rsidR="00D75F0C" w:rsidRPr="00D37ABD">
        <w:rPr>
          <w:rFonts w:eastAsia="MS Mincho"/>
          <w:lang w:val="es-PE" w:eastAsia="es-ES"/>
        </w:rPr>
        <w:t xml:space="preserve"> objeto de la convocatoria es el </w:t>
      </w:r>
      <w:r w:rsidR="00447E13" w:rsidRPr="00D37ABD">
        <w:t>Servicio general de instalación de puentes – paquete 12, Departamento de Pasco</w:t>
      </w:r>
    </w:p>
    <w:p w:rsidR="009E4694" w:rsidRPr="00D37ABD" w:rsidRDefault="009E4694" w:rsidP="009E4694">
      <w:pPr>
        <w:widowControl w:val="0"/>
        <w:jc w:val="both"/>
        <w:rPr>
          <w:rFonts w:eastAsia="MS Mincho"/>
          <w:lang w:val="es-PE" w:eastAsia="es-ES"/>
        </w:rPr>
      </w:pPr>
    </w:p>
    <w:p w:rsidR="009272DD" w:rsidRPr="00D37ABD" w:rsidRDefault="0015205B" w:rsidP="00E73C19">
      <w:pPr>
        <w:widowControl w:val="0"/>
        <w:jc w:val="both"/>
        <w:rPr>
          <w:rFonts w:eastAsia="MS Mincho"/>
          <w:lang w:val="es-PE" w:eastAsia="es-ES"/>
        </w:rPr>
      </w:pPr>
      <w:r w:rsidRPr="00D37ABD">
        <w:rPr>
          <w:rFonts w:eastAsia="MS Mincho"/>
          <w:lang w:val="es-PE" w:eastAsia="es-ES"/>
        </w:rPr>
        <w:t>De la revisión del Capítulo I</w:t>
      </w:r>
      <w:r w:rsidR="00666C53" w:rsidRPr="00D37ABD">
        <w:rPr>
          <w:rFonts w:eastAsia="MS Mincho"/>
          <w:lang w:val="es-PE" w:eastAsia="es-ES"/>
        </w:rPr>
        <w:t>I</w:t>
      </w:r>
      <w:r w:rsidR="00EE6415" w:rsidRPr="00D37ABD">
        <w:rPr>
          <w:rFonts w:eastAsia="MS Mincho"/>
          <w:lang w:val="es-PE" w:eastAsia="es-ES"/>
        </w:rPr>
        <w:t xml:space="preserve"> </w:t>
      </w:r>
      <w:r w:rsidRPr="00D37ABD">
        <w:rPr>
          <w:rFonts w:eastAsia="MS Mincho"/>
          <w:lang w:val="es-PE" w:eastAsia="es-ES"/>
        </w:rPr>
        <w:t>Del procedimiento de selección</w:t>
      </w:r>
      <w:r w:rsidR="00EE6415" w:rsidRPr="00D37ABD">
        <w:rPr>
          <w:rFonts w:eastAsia="MS Mincho"/>
          <w:lang w:val="es-PE" w:eastAsia="es-ES"/>
        </w:rPr>
        <w:t>, se advierte que</w:t>
      </w:r>
      <w:r w:rsidR="00666C53" w:rsidRPr="00D37ABD">
        <w:rPr>
          <w:rFonts w:eastAsia="MS Mincho"/>
          <w:lang w:val="es-PE" w:eastAsia="es-ES"/>
        </w:rPr>
        <w:t xml:space="preserve"> en el acápite relacionado a</w:t>
      </w:r>
      <w:r w:rsidR="00EE6415" w:rsidRPr="00D37ABD">
        <w:rPr>
          <w:rFonts w:eastAsia="MS Mincho"/>
          <w:lang w:val="es-PE" w:eastAsia="es-ES"/>
        </w:rPr>
        <w:t xml:space="preserve"> </w:t>
      </w:r>
      <w:r w:rsidRPr="00D37ABD">
        <w:rPr>
          <w:rFonts w:eastAsia="MS Mincho"/>
          <w:i/>
          <w:lang w:val="es-PE" w:eastAsia="es-ES"/>
        </w:rPr>
        <w:t>Contenido de las ofertas</w:t>
      </w:r>
      <w:r w:rsidR="00EE6415" w:rsidRPr="00D37ABD">
        <w:rPr>
          <w:rFonts w:eastAsia="MS Mincho"/>
          <w:lang w:val="es-PE" w:eastAsia="es-ES"/>
        </w:rPr>
        <w:t>, se indica lo siguiente:</w:t>
      </w:r>
    </w:p>
    <w:p w:rsidR="000C5F0A" w:rsidRPr="00D37ABD" w:rsidRDefault="00005063" w:rsidP="00DD6C2E">
      <w:pPr>
        <w:pStyle w:val="WW-Textosinformato"/>
        <w:widowControl w:val="0"/>
        <w:tabs>
          <w:tab w:val="center" w:pos="851"/>
          <w:tab w:val="left" w:pos="993"/>
          <w:tab w:val="right" w:pos="11163"/>
        </w:tabs>
        <w:jc w:val="both"/>
        <w:rPr>
          <w:rFonts w:ascii="Times New Roman" w:hAnsi="Times New Roman"/>
          <w:sz w:val="24"/>
          <w:szCs w:val="24"/>
        </w:rPr>
      </w:pPr>
      <w:r w:rsidRPr="00D37ABD">
        <w:rPr>
          <w:rFonts w:ascii="Times New Roman" w:hAnsi="Times New Roman"/>
          <w:sz w:val="24"/>
          <w:szCs w:val="24"/>
        </w:rPr>
        <w:tab/>
      </w:r>
    </w:p>
    <w:p w:rsidR="00737E1B" w:rsidRPr="00D37ABD" w:rsidRDefault="00737E1B" w:rsidP="00737E1B">
      <w:pPr>
        <w:widowControl w:val="0"/>
        <w:ind w:left="964"/>
        <w:jc w:val="both"/>
        <w:rPr>
          <w:i/>
        </w:rPr>
      </w:pPr>
    </w:p>
    <w:p w:rsidR="00737E1B" w:rsidRPr="00D37ABD" w:rsidRDefault="0015205B" w:rsidP="00737E1B">
      <w:pPr>
        <w:pStyle w:val="Prrafodelista"/>
        <w:widowControl w:val="0"/>
        <w:numPr>
          <w:ilvl w:val="2"/>
          <w:numId w:val="19"/>
        </w:numPr>
        <w:ind w:hanging="294"/>
        <w:jc w:val="both"/>
        <w:rPr>
          <w:b/>
          <w:i/>
        </w:rPr>
      </w:pPr>
      <w:r w:rsidRPr="00D37ABD">
        <w:rPr>
          <w:b/>
          <w:i/>
          <w:u w:val="single"/>
          <w:lang w:val="es-ES_tradnl"/>
        </w:rPr>
        <w:t>“</w:t>
      </w:r>
      <w:r w:rsidR="00737E1B" w:rsidRPr="00D37ABD">
        <w:rPr>
          <w:b/>
          <w:i/>
          <w:u w:val="single"/>
          <w:lang w:val="es-ES_tradnl"/>
        </w:rPr>
        <w:t>Documentación de presentación obligatoria</w:t>
      </w:r>
    </w:p>
    <w:p w:rsidR="00737E1B" w:rsidRPr="00D37ABD" w:rsidRDefault="00737E1B" w:rsidP="00737E1B">
      <w:pPr>
        <w:pStyle w:val="Prrafodelista"/>
        <w:widowControl w:val="0"/>
        <w:jc w:val="both"/>
        <w:rPr>
          <w:b/>
          <w:i/>
          <w:u w:val="single"/>
          <w:lang w:val="es-ES_tradnl"/>
        </w:rPr>
      </w:pPr>
    </w:p>
    <w:p w:rsidR="00737E1B" w:rsidRPr="00D37ABD" w:rsidRDefault="00737E1B" w:rsidP="00737E1B">
      <w:pPr>
        <w:pStyle w:val="Prrafodelista"/>
        <w:widowControl w:val="0"/>
        <w:numPr>
          <w:ilvl w:val="3"/>
          <w:numId w:val="19"/>
        </w:numPr>
        <w:ind w:hanging="294"/>
        <w:jc w:val="both"/>
        <w:rPr>
          <w:b/>
          <w:i/>
        </w:rPr>
      </w:pPr>
      <w:r w:rsidRPr="00D37ABD">
        <w:rPr>
          <w:b/>
          <w:i/>
          <w:lang w:val="es-ES_tradnl"/>
        </w:rPr>
        <w:t>Documentos para la admisión de la oferta</w:t>
      </w:r>
    </w:p>
    <w:p w:rsidR="0015205B" w:rsidRPr="00D37ABD" w:rsidRDefault="0015205B" w:rsidP="0015205B">
      <w:pPr>
        <w:pStyle w:val="Prrafodelista"/>
        <w:widowControl w:val="0"/>
        <w:jc w:val="both"/>
        <w:rPr>
          <w:b/>
          <w:i/>
        </w:rPr>
      </w:pPr>
      <w:r w:rsidRPr="00D37ABD">
        <w:rPr>
          <w:b/>
          <w:i/>
          <w:lang w:val="es-ES_tradnl"/>
        </w:rPr>
        <w:t>(…)</w:t>
      </w:r>
    </w:p>
    <w:p w:rsidR="0086161E" w:rsidRPr="00D37ABD" w:rsidRDefault="0086161E" w:rsidP="001B5188">
      <w:pPr>
        <w:pStyle w:val="WW-Textosinformato"/>
        <w:widowControl w:val="0"/>
        <w:tabs>
          <w:tab w:val="center" w:pos="851"/>
          <w:tab w:val="left" w:pos="993"/>
          <w:tab w:val="right" w:pos="11163"/>
        </w:tabs>
        <w:jc w:val="center"/>
        <w:rPr>
          <w:rFonts w:ascii="Times New Roman" w:eastAsia="Times New Roman" w:hAnsi="Times New Roman"/>
          <w:b/>
          <w:i/>
          <w:sz w:val="24"/>
          <w:szCs w:val="24"/>
          <w:lang w:val="es-MX" w:eastAsia="es-MX"/>
        </w:rPr>
      </w:pPr>
    </w:p>
    <w:p w:rsidR="00666C53" w:rsidRPr="00D37ABD" w:rsidRDefault="00737E1B" w:rsidP="0015205B">
      <w:pPr>
        <w:pStyle w:val="WW-Textosinformato"/>
        <w:widowControl w:val="0"/>
        <w:numPr>
          <w:ilvl w:val="0"/>
          <w:numId w:val="22"/>
        </w:numPr>
        <w:tabs>
          <w:tab w:val="left" w:pos="993"/>
          <w:tab w:val="center" w:pos="1843"/>
          <w:tab w:val="right" w:pos="11163"/>
        </w:tabs>
        <w:jc w:val="both"/>
        <w:rPr>
          <w:rFonts w:ascii="Times New Roman" w:hAnsi="Times New Roman"/>
          <w:i/>
          <w:sz w:val="24"/>
          <w:szCs w:val="24"/>
        </w:rPr>
      </w:pPr>
      <w:r w:rsidRPr="00D37ABD">
        <w:rPr>
          <w:rFonts w:ascii="Times New Roman" w:hAnsi="Times New Roman"/>
          <w:i/>
          <w:sz w:val="24"/>
          <w:szCs w:val="24"/>
        </w:rPr>
        <w:t xml:space="preserve">Carta de compromiso del personal clave con firma legalizada, de ser el caso, según lo previsto en el numeral 3.1 del Capítulo III de la presente sección </w:t>
      </w:r>
      <w:r w:rsidRPr="00D37ABD">
        <w:rPr>
          <w:rFonts w:ascii="Times New Roman" w:hAnsi="Times New Roman"/>
          <w:b/>
          <w:i/>
          <w:sz w:val="24"/>
          <w:szCs w:val="24"/>
        </w:rPr>
        <w:t>(Anexo Nº 6)</w:t>
      </w:r>
      <w:r w:rsidR="0015205B" w:rsidRPr="00D37ABD">
        <w:rPr>
          <w:rFonts w:ascii="Times New Roman" w:hAnsi="Times New Roman"/>
          <w:b/>
          <w:i/>
          <w:sz w:val="24"/>
          <w:szCs w:val="24"/>
        </w:rPr>
        <w:t>”</w:t>
      </w:r>
    </w:p>
    <w:p w:rsidR="00E825A7" w:rsidRPr="00D37ABD" w:rsidRDefault="00E825A7" w:rsidP="00E73C19">
      <w:pPr>
        <w:widowControl w:val="0"/>
        <w:jc w:val="both"/>
        <w:rPr>
          <w:rFonts w:eastAsia="MS Mincho"/>
          <w:lang w:val="es-PE" w:eastAsia="es-ES"/>
        </w:rPr>
      </w:pPr>
    </w:p>
    <w:p w:rsidR="00E73C19" w:rsidRPr="00D37ABD" w:rsidRDefault="00E73C19" w:rsidP="00E73C19">
      <w:pPr>
        <w:widowControl w:val="0"/>
        <w:jc w:val="both"/>
        <w:rPr>
          <w:rFonts w:eastAsia="MS Mincho"/>
          <w:lang w:val="es-PE" w:eastAsia="es-ES"/>
        </w:rPr>
      </w:pPr>
      <w:r w:rsidRPr="00D37ABD">
        <w:rPr>
          <w:rFonts w:eastAsia="MS Mincho"/>
          <w:lang w:val="es-PE" w:eastAsia="es-ES"/>
        </w:rPr>
        <w:t xml:space="preserve">Sobre el particular, el Comité Especial en el pliego absolutorio de </w:t>
      </w:r>
      <w:r w:rsidR="000530A0" w:rsidRPr="00D37ABD">
        <w:rPr>
          <w:rFonts w:eastAsia="MS Mincho"/>
          <w:lang w:val="es-PE" w:eastAsia="es-ES"/>
        </w:rPr>
        <w:t xml:space="preserve">consultas </w:t>
      </w:r>
      <w:r w:rsidR="00CB6B2D" w:rsidRPr="00D37ABD">
        <w:rPr>
          <w:rFonts w:eastAsia="MS Mincho"/>
          <w:lang w:val="es-PE" w:eastAsia="es-ES"/>
        </w:rPr>
        <w:t xml:space="preserve">y </w:t>
      </w:r>
      <w:r w:rsidRPr="00D37ABD">
        <w:rPr>
          <w:rFonts w:eastAsia="MS Mincho"/>
          <w:lang w:val="es-PE" w:eastAsia="es-ES"/>
        </w:rPr>
        <w:t>observaciones</w:t>
      </w:r>
      <w:r w:rsidR="0079792E" w:rsidRPr="00D37ABD">
        <w:rPr>
          <w:rFonts w:eastAsia="MS Mincho"/>
          <w:lang w:val="es-PE" w:eastAsia="es-ES"/>
        </w:rPr>
        <w:t>, señaló</w:t>
      </w:r>
      <w:r w:rsidR="00144CF2" w:rsidRPr="00D37ABD">
        <w:rPr>
          <w:rFonts w:eastAsia="MS Mincho"/>
          <w:lang w:val="es-PE" w:eastAsia="es-ES"/>
        </w:rPr>
        <w:t xml:space="preserve"> lo siguiente</w:t>
      </w:r>
      <w:r w:rsidRPr="00D37ABD">
        <w:rPr>
          <w:rFonts w:eastAsia="MS Mincho"/>
          <w:lang w:val="es-PE" w:eastAsia="es-ES"/>
        </w:rPr>
        <w:t>:</w:t>
      </w:r>
    </w:p>
    <w:p w:rsidR="00540609" w:rsidRPr="00D37ABD" w:rsidRDefault="00540609" w:rsidP="00E73C19">
      <w:pPr>
        <w:widowControl w:val="0"/>
        <w:jc w:val="both"/>
        <w:rPr>
          <w:rFonts w:eastAsia="MS Mincho"/>
          <w:lang w:val="es-PE" w:eastAsia="es-ES"/>
        </w:rPr>
      </w:pPr>
    </w:p>
    <w:p w:rsidR="00096F19" w:rsidRPr="00D37ABD" w:rsidRDefault="00C70BB5" w:rsidP="00E44F1D">
      <w:pPr>
        <w:widowControl w:val="0"/>
        <w:jc w:val="both"/>
        <w:rPr>
          <w:rFonts w:eastAsia="MS Mincho"/>
          <w:lang w:val="es-PE" w:eastAsia="es-ES"/>
        </w:rPr>
      </w:pPr>
      <w:r w:rsidRPr="00D37ABD">
        <w:rPr>
          <w:rFonts w:eastAsia="MS Mincho"/>
          <w:noProof/>
          <w:lang w:val="es-PE" w:eastAsia="es-PE"/>
        </w:rPr>
        <w:drawing>
          <wp:inline distT="0" distB="0" distL="0" distR="0">
            <wp:extent cx="5038725" cy="1076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38725" cy="1076325"/>
                    </a:xfrm>
                    <a:prstGeom prst="rect">
                      <a:avLst/>
                    </a:prstGeom>
                    <a:noFill/>
                    <a:ln>
                      <a:noFill/>
                    </a:ln>
                  </pic:spPr>
                </pic:pic>
              </a:graphicData>
            </a:graphic>
          </wp:inline>
        </w:drawing>
      </w:r>
    </w:p>
    <w:p w:rsidR="00055BCD" w:rsidRPr="00D37ABD" w:rsidRDefault="00055BCD" w:rsidP="00E44F1D">
      <w:pPr>
        <w:widowControl w:val="0"/>
        <w:jc w:val="both"/>
        <w:rPr>
          <w:rFonts w:eastAsia="MS Mincho"/>
          <w:lang w:val="es-PE" w:eastAsia="es-ES"/>
        </w:rPr>
      </w:pPr>
    </w:p>
    <w:p w:rsidR="00B73075" w:rsidRPr="00D37ABD" w:rsidRDefault="00B73075" w:rsidP="00E44F1D">
      <w:pPr>
        <w:widowControl w:val="0"/>
        <w:jc w:val="both"/>
        <w:rPr>
          <w:rFonts w:eastAsia="MS Mincho"/>
          <w:lang w:val="es-PE" w:eastAsia="es-ES"/>
        </w:rPr>
      </w:pPr>
      <w:r w:rsidRPr="00D37ABD">
        <w:rPr>
          <w:rFonts w:eastAsia="MS Mincho"/>
          <w:lang w:val="es-PE" w:eastAsia="es-ES"/>
        </w:rPr>
        <w:t>Adicionalmente, en el Informe T</w:t>
      </w:r>
      <w:r w:rsidR="00E825A7" w:rsidRPr="00D37ABD">
        <w:rPr>
          <w:rFonts w:eastAsia="MS Mincho"/>
          <w:lang w:val="es-PE" w:eastAsia="es-ES"/>
        </w:rPr>
        <w:t>écnico, dicho Colegiado</w:t>
      </w:r>
      <w:r w:rsidR="007839D5" w:rsidRPr="00D37ABD">
        <w:rPr>
          <w:rFonts w:eastAsia="MS Mincho"/>
          <w:lang w:val="es-PE" w:eastAsia="es-ES"/>
        </w:rPr>
        <w:t xml:space="preserve"> señaló</w:t>
      </w:r>
      <w:r w:rsidRPr="00D37ABD">
        <w:rPr>
          <w:rFonts w:eastAsia="MS Mincho"/>
          <w:lang w:val="es-PE" w:eastAsia="es-ES"/>
        </w:rPr>
        <w:t xml:space="preserve"> lo siguiente:</w:t>
      </w:r>
    </w:p>
    <w:p w:rsidR="00B73075" w:rsidRPr="00D37ABD" w:rsidRDefault="00B73075" w:rsidP="00E44F1D">
      <w:pPr>
        <w:widowControl w:val="0"/>
        <w:jc w:val="both"/>
        <w:rPr>
          <w:rFonts w:eastAsia="MS Mincho"/>
          <w:lang w:val="es-PE" w:eastAsia="es-ES"/>
        </w:rPr>
      </w:pPr>
    </w:p>
    <w:p w:rsidR="00540609" w:rsidRPr="00D37ABD" w:rsidRDefault="00C70BB5" w:rsidP="00E44F1D">
      <w:pPr>
        <w:widowControl w:val="0"/>
        <w:jc w:val="both"/>
        <w:rPr>
          <w:rFonts w:eastAsia="MS Mincho"/>
          <w:lang w:val="es-PE" w:eastAsia="es-ES"/>
        </w:rPr>
      </w:pPr>
      <w:r w:rsidRPr="00D37ABD">
        <w:rPr>
          <w:rFonts w:eastAsia="MS Mincho"/>
          <w:noProof/>
          <w:lang w:val="es-PE" w:eastAsia="es-PE"/>
        </w:rPr>
        <w:drawing>
          <wp:inline distT="0" distB="0" distL="0" distR="0">
            <wp:extent cx="5029200" cy="1333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1333500"/>
                    </a:xfrm>
                    <a:prstGeom prst="rect">
                      <a:avLst/>
                    </a:prstGeom>
                    <a:noFill/>
                    <a:ln>
                      <a:noFill/>
                    </a:ln>
                  </pic:spPr>
                </pic:pic>
              </a:graphicData>
            </a:graphic>
          </wp:inline>
        </w:drawing>
      </w:r>
    </w:p>
    <w:p w:rsidR="003D1AF5" w:rsidRPr="00D37ABD" w:rsidRDefault="003D1AF5" w:rsidP="00E44F1D">
      <w:pPr>
        <w:widowControl w:val="0"/>
        <w:jc w:val="both"/>
        <w:rPr>
          <w:rFonts w:eastAsia="MS Mincho"/>
          <w:lang w:val="es-PE" w:eastAsia="es-ES"/>
        </w:rPr>
      </w:pPr>
    </w:p>
    <w:p w:rsidR="00AB5AE3" w:rsidRPr="00D37ABD" w:rsidRDefault="00AB5AE3" w:rsidP="00AB5AE3">
      <w:pPr>
        <w:jc w:val="both"/>
        <w:rPr>
          <w:bCs/>
        </w:rPr>
      </w:pPr>
      <w:r w:rsidRPr="00D37ABD">
        <w:rPr>
          <w:bCs/>
        </w:rPr>
        <w:lastRenderedPageBreak/>
        <w:t xml:space="preserve">Es necesario precisar, que los Pronunciamientos emitidos por este Organismo Supervisor como el </w:t>
      </w:r>
      <w:r w:rsidR="00E2074D" w:rsidRPr="00D37ABD">
        <w:rPr>
          <w:bCs/>
        </w:rPr>
        <w:t>Pronunciamiento</w:t>
      </w:r>
      <w:r w:rsidRPr="00D37ABD">
        <w:rPr>
          <w:bCs/>
        </w:rPr>
        <w:t xml:space="preserve"> 780-2013/DSU referidos por el </w:t>
      </w:r>
      <w:r w:rsidR="00E2074D" w:rsidRPr="00D37ABD">
        <w:rPr>
          <w:bCs/>
        </w:rPr>
        <w:t>participante</w:t>
      </w:r>
      <w:r w:rsidRPr="00D37ABD">
        <w:rPr>
          <w:bCs/>
        </w:rPr>
        <w:t xml:space="preserve"> no son precedentes vinculantes por lo que sus disposiciones responden a condiciones particulares de los procesos de selección sobre los cuales recayeron, por tanto, la </w:t>
      </w:r>
      <w:r w:rsidR="00E2074D" w:rsidRPr="00D37ABD">
        <w:rPr>
          <w:bCs/>
        </w:rPr>
        <w:t>referencia</w:t>
      </w:r>
      <w:r w:rsidRPr="00D37ABD">
        <w:rPr>
          <w:bCs/>
        </w:rPr>
        <w:t xml:space="preserve"> consignada en </w:t>
      </w:r>
      <w:r w:rsidR="00E2074D" w:rsidRPr="00D37ABD">
        <w:rPr>
          <w:bCs/>
        </w:rPr>
        <w:t xml:space="preserve">la solicitud de elevación de </w:t>
      </w:r>
      <w:r w:rsidR="00BD646B" w:rsidRPr="00D37ABD">
        <w:rPr>
          <w:bCs/>
        </w:rPr>
        <w:t xml:space="preserve">consultas y </w:t>
      </w:r>
      <w:r w:rsidR="00E2074D" w:rsidRPr="00D37ABD">
        <w:rPr>
          <w:bCs/>
        </w:rPr>
        <w:t xml:space="preserve">observaciones </w:t>
      </w:r>
      <w:r w:rsidR="00BD646B" w:rsidRPr="00D37ABD">
        <w:rPr>
          <w:bCs/>
        </w:rPr>
        <w:t xml:space="preserve">del participante </w:t>
      </w:r>
      <w:r w:rsidRPr="00D37ABD">
        <w:rPr>
          <w:bCs/>
        </w:rPr>
        <w:t>no resultaría valida, dado que esta no respondería estrictamente a las condiciones especificas de las Bases del presente proceso.</w:t>
      </w:r>
    </w:p>
    <w:p w:rsidR="003777C0" w:rsidRPr="00D37ABD" w:rsidRDefault="003777C0" w:rsidP="00C0450C">
      <w:pPr>
        <w:tabs>
          <w:tab w:val="left" w:pos="567"/>
          <w:tab w:val="left" w:pos="3828"/>
          <w:tab w:val="left" w:pos="4111"/>
          <w:tab w:val="left" w:pos="4820"/>
          <w:tab w:val="left" w:pos="5103"/>
        </w:tabs>
        <w:jc w:val="both"/>
        <w:rPr>
          <w:lang w:val="es-PE"/>
        </w:rPr>
      </w:pPr>
    </w:p>
    <w:p w:rsidR="00764E9D" w:rsidRPr="00D37ABD" w:rsidRDefault="00553FF9" w:rsidP="00553FF9">
      <w:pPr>
        <w:jc w:val="both"/>
      </w:pPr>
      <w:r w:rsidRPr="00D37ABD">
        <w:t>Sobre el particular, el artículo 31° del Reglamento, señala que dentro del contenido mínimo de la oferta, las Entidades deben exigir, la Carta de compromiso del personal clave con firma legalizada, de ser el caso</w:t>
      </w:r>
      <w:r w:rsidR="00764E9D" w:rsidRPr="00D37ABD">
        <w:t xml:space="preserve">. De la misma manera, en las </w:t>
      </w:r>
      <w:r w:rsidR="00571A32" w:rsidRPr="00D37ABD">
        <w:t>Bases Estándar de Concurso Público para la contratación de servicios en general, aprobada mediante Directiva N° 001-2016-OSCE/CD, se establece la mencionada Carta de compromiso del personal clave con firma legalizada como documentación para la admisión de la oferta.</w:t>
      </w:r>
    </w:p>
    <w:p w:rsidR="00E2074D" w:rsidRPr="00D37ABD" w:rsidRDefault="00E2074D" w:rsidP="00C0450C">
      <w:pPr>
        <w:tabs>
          <w:tab w:val="left" w:pos="567"/>
          <w:tab w:val="left" w:pos="3828"/>
          <w:tab w:val="left" w:pos="4111"/>
          <w:tab w:val="left" w:pos="4820"/>
          <w:tab w:val="left" w:pos="5103"/>
        </w:tabs>
        <w:jc w:val="both"/>
      </w:pPr>
    </w:p>
    <w:p w:rsidR="00F94528" w:rsidRPr="00D37ABD" w:rsidRDefault="00F94528" w:rsidP="00C0450C">
      <w:pPr>
        <w:tabs>
          <w:tab w:val="left" w:pos="567"/>
          <w:tab w:val="left" w:pos="3828"/>
          <w:tab w:val="left" w:pos="4111"/>
          <w:tab w:val="left" w:pos="4820"/>
          <w:tab w:val="left" w:pos="5103"/>
        </w:tabs>
        <w:jc w:val="both"/>
      </w:pPr>
      <w:r w:rsidRPr="00D37ABD">
        <w:rPr>
          <w:lang w:val="es-PE"/>
        </w:rPr>
        <w:t>De lo expuesto, se advierte que la Entidad requier</w:t>
      </w:r>
      <w:r w:rsidR="0079792E" w:rsidRPr="00D37ABD">
        <w:rPr>
          <w:lang w:val="es-PE"/>
        </w:rPr>
        <w:t>e que los postores, como parte de los documentos para la admisión de la oferta,</w:t>
      </w:r>
      <w:r w:rsidR="00C7636F" w:rsidRPr="00D37ABD">
        <w:rPr>
          <w:lang w:val="es-PE"/>
        </w:rPr>
        <w:t xml:space="preserve"> presente la</w:t>
      </w:r>
      <w:r w:rsidRPr="00D37ABD">
        <w:rPr>
          <w:lang w:val="es-PE"/>
        </w:rPr>
        <w:t xml:space="preserve"> </w:t>
      </w:r>
      <w:r w:rsidR="00C7636F" w:rsidRPr="00D37ABD">
        <w:t>Carta de compromiso del personal clave con firma legalizada</w:t>
      </w:r>
      <w:r w:rsidR="00571A32" w:rsidRPr="00D37ABD">
        <w:t xml:space="preserve"> a efectos de</w:t>
      </w:r>
      <w:r w:rsidRPr="00D37ABD">
        <w:t xml:space="preserve"> </w:t>
      </w:r>
      <w:r w:rsidR="00DB4D3E" w:rsidRPr="00D37ABD">
        <w:t xml:space="preserve">tener la certeza que dicho profesional tiene el compromiso de participar en el servicio de instalación, </w:t>
      </w:r>
      <w:r w:rsidR="00764E9D" w:rsidRPr="00D37ABD">
        <w:t>lo cual no contraviene la normativa de contrataciones del Estado.</w:t>
      </w:r>
    </w:p>
    <w:p w:rsidR="00442067" w:rsidRPr="00D37ABD" w:rsidRDefault="00442067" w:rsidP="003D69E8">
      <w:pPr>
        <w:tabs>
          <w:tab w:val="left" w:pos="567"/>
        </w:tabs>
        <w:autoSpaceDE w:val="0"/>
        <w:autoSpaceDN w:val="0"/>
        <w:adjustRightInd w:val="0"/>
        <w:jc w:val="both"/>
        <w:rPr>
          <w:rFonts w:eastAsia="Calibri"/>
          <w:color w:val="000000"/>
          <w:lang w:eastAsia="es-PE"/>
        </w:rPr>
      </w:pPr>
    </w:p>
    <w:p w:rsidR="00E85626" w:rsidRPr="00D37ABD" w:rsidRDefault="003D69E8" w:rsidP="00F170D9">
      <w:pPr>
        <w:autoSpaceDE w:val="0"/>
        <w:autoSpaceDN w:val="0"/>
        <w:adjustRightInd w:val="0"/>
        <w:ind w:right="49"/>
        <w:jc w:val="both"/>
        <w:rPr>
          <w:rFonts w:eastAsia="Calibri"/>
          <w:color w:val="000000"/>
          <w:lang w:val="es-PE" w:eastAsia="es-PE"/>
        </w:rPr>
      </w:pPr>
      <w:r w:rsidRPr="00D37ABD">
        <w:rPr>
          <w:rFonts w:eastAsia="Calibri"/>
          <w:color w:val="000000"/>
          <w:lang w:val="es-PE" w:eastAsia="es-PE"/>
        </w:rPr>
        <w:t xml:space="preserve">En ese sentido, en la medida que es responsabilidad de la Entidad la </w:t>
      </w:r>
      <w:r w:rsidR="00764E9D" w:rsidRPr="00D37ABD">
        <w:rPr>
          <w:rFonts w:eastAsia="Calibri"/>
          <w:color w:val="000000"/>
          <w:lang w:val="es-PE" w:eastAsia="es-PE"/>
        </w:rPr>
        <w:t>determinación de los documentos que formaran parte de los requisitos de admisión y que lo dispuesto por la Entidad no contravendría la normativa</w:t>
      </w:r>
      <w:r w:rsidRPr="00D37ABD">
        <w:rPr>
          <w:rFonts w:eastAsia="Calibri"/>
          <w:color w:val="000000"/>
          <w:lang w:val="es-PE" w:eastAsia="es-PE"/>
        </w:rPr>
        <w:t xml:space="preserve">, </w:t>
      </w:r>
      <w:r w:rsidR="00764E9D" w:rsidRPr="00D37ABD">
        <w:rPr>
          <w:rFonts w:eastAsia="Calibri"/>
          <w:color w:val="000000"/>
          <w:lang w:val="es-PE" w:eastAsia="es-PE"/>
        </w:rPr>
        <w:t xml:space="preserve">y </w:t>
      </w:r>
      <w:r w:rsidRPr="00D37ABD">
        <w:rPr>
          <w:rFonts w:eastAsia="Calibri"/>
          <w:color w:val="000000"/>
          <w:lang w:val="es-PE" w:eastAsia="es-PE"/>
        </w:rPr>
        <w:t xml:space="preserve">dado que el participante solicita que se </w:t>
      </w:r>
      <w:r w:rsidR="003777C0" w:rsidRPr="00D37ABD">
        <w:rPr>
          <w:rFonts w:eastAsia="Calibri"/>
          <w:color w:val="000000"/>
          <w:lang w:val="es-PE" w:eastAsia="es-PE"/>
        </w:rPr>
        <w:t xml:space="preserve">suprima </w:t>
      </w:r>
      <w:r w:rsidR="00DB4D3E" w:rsidRPr="00D37ABD">
        <w:rPr>
          <w:rFonts w:eastAsia="Calibri"/>
          <w:color w:val="000000"/>
          <w:lang w:val="es-PE" w:eastAsia="es-PE"/>
        </w:rPr>
        <w:t xml:space="preserve">la </w:t>
      </w:r>
      <w:r w:rsidR="00DB4D3E" w:rsidRPr="00D37ABD">
        <w:t xml:space="preserve">Carta de compromiso del personal clave con firma legalizada </w:t>
      </w:r>
      <w:r w:rsidRPr="00D37ABD">
        <w:rPr>
          <w:rFonts w:eastAsia="Calibri"/>
          <w:color w:val="000000"/>
          <w:lang w:val="es-PE" w:eastAsia="es-PE"/>
        </w:rPr>
        <w:t>en función a su interés particular, este Organismo Supervisor ha decidido</w:t>
      </w:r>
      <w:r w:rsidRPr="00D37ABD">
        <w:rPr>
          <w:rFonts w:eastAsia="Calibri"/>
          <w:b/>
          <w:bCs/>
          <w:color w:val="000000"/>
          <w:lang w:val="es-PE" w:eastAsia="es-PE"/>
        </w:rPr>
        <w:t xml:space="preserve"> NO ACOGER</w:t>
      </w:r>
      <w:r w:rsidR="0069317E" w:rsidRPr="00D37ABD">
        <w:rPr>
          <w:rFonts w:eastAsia="Calibri"/>
          <w:color w:val="000000"/>
          <w:lang w:val="es-PE" w:eastAsia="es-PE"/>
        </w:rPr>
        <w:t xml:space="preserve"> el cuestionamiento</w:t>
      </w:r>
      <w:r w:rsidR="003777C0" w:rsidRPr="00D37ABD">
        <w:rPr>
          <w:rFonts w:eastAsia="Calibri"/>
          <w:color w:val="000000"/>
          <w:lang w:val="es-PE" w:eastAsia="es-PE"/>
        </w:rPr>
        <w:t xml:space="preserve"> N° 1</w:t>
      </w:r>
      <w:r w:rsidRPr="00D37ABD">
        <w:rPr>
          <w:rFonts w:eastAsia="Calibri"/>
          <w:color w:val="000000"/>
          <w:lang w:val="es-PE" w:eastAsia="es-PE"/>
        </w:rPr>
        <w:t>.</w:t>
      </w:r>
      <w:r w:rsidR="00F170D9" w:rsidRPr="00D37ABD">
        <w:rPr>
          <w:rFonts w:eastAsia="Calibri"/>
          <w:color w:val="000000"/>
          <w:lang w:val="es-PE" w:eastAsia="es-PE"/>
        </w:rPr>
        <w:t xml:space="preserve"> </w:t>
      </w:r>
    </w:p>
    <w:p w:rsidR="00AB5AE3" w:rsidRPr="00D37ABD" w:rsidRDefault="00AB5AE3" w:rsidP="009D51BC">
      <w:pPr>
        <w:widowControl w:val="0"/>
        <w:tabs>
          <w:tab w:val="left" w:pos="540"/>
        </w:tabs>
        <w:jc w:val="both"/>
      </w:pPr>
    </w:p>
    <w:p w:rsidR="003C389E" w:rsidRPr="00D37ABD" w:rsidRDefault="003C389E" w:rsidP="003C389E">
      <w:pPr>
        <w:pStyle w:val="WW-Sangra3detindependiente"/>
        <w:suppressAutoHyphens w:val="0"/>
        <w:ind w:left="4245" w:hanging="4245"/>
        <w:rPr>
          <w:b/>
          <w:lang w:val="es-PE"/>
        </w:rPr>
      </w:pPr>
      <w:r w:rsidRPr="00D37ABD">
        <w:rPr>
          <w:b/>
          <w:lang w:val="es-PE"/>
        </w:rPr>
        <w:t>Cuestionamiento</w:t>
      </w:r>
      <w:r w:rsidR="00571A32" w:rsidRPr="00D37ABD">
        <w:rPr>
          <w:b/>
          <w:lang w:val="es-PE"/>
        </w:rPr>
        <w:t xml:space="preserve"> N° 2</w:t>
      </w:r>
      <w:r w:rsidRPr="00D37ABD">
        <w:rPr>
          <w:b/>
          <w:lang w:val="es-PE"/>
        </w:rPr>
        <w:tab/>
        <w:t xml:space="preserve">Contra </w:t>
      </w:r>
      <w:r w:rsidR="00653A16" w:rsidRPr="00D37ABD">
        <w:rPr>
          <w:b/>
          <w:lang w:val="es-PE"/>
        </w:rPr>
        <w:t>la acreditación de experiencia en consorcio</w:t>
      </w:r>
    </w:p>
    <w:p w:rsidR="003C389E" w:rsidRPr="00D37ABD" w:rsidRDefault="003C389E" w:rsidP="003C389E">
      <w:pPr>
        <w:widowControl w:val="0"/>
        <w:tabs>
          <w:tab w:val="left" w:pos="4536"/>
        </w:tabs>
        <w:jc w:val="both"/>
        <w:rPr>
          <w:b/>
          <w:lang w:val="es-PE"/>
        </w:rPr>
      </w:pPr>
    </w:p>
    <w:p w:rsidR="003C389E" w:rsidRPr="00D37ABD" w:rsidRDefault="003C389E" w:rsidP="00654DCF">
      <w:pPr>
        <w:widowControl w:val="0"/>
        <w:jc w:val="both"/>
      </w:pPr>
      <w:r w:rsidRPr="00D37ABD">
        <w:t xml:space="preserve">El participante a través de su </w:t>
      </w:r>
      <w:r w:rsidR="00AB1CBC" w:rsidRPr="00D37ABD">
        <w:t>Consulta N° 7</w:t>
      </w:r>
      <w:r w:rsidRPr="00D37ABD">
        <w:t xml:space="preserve"> cuestiona que </w:t>
      </w:r>
      <w:r w:rsidR="00654DCF" w:rsidRPr="00D37ABD">
        <w:t>para la acreditación de las experiencias obtenidas en consorcio</w:t>
      </w:r>
      <w:r w:rsidR="00571A32" w:rsidRPr="00D37ABD">
        <w:t>,</w:t>
      </w:r>
      <w:r w:rsidR="00654DCF" w:rsidRPr="00D37ABD">
        <w:t xml:space="preserve"> adicionalmente a los contratos de consorcio con firma legalizada y promesa form</w:t>
      </w:r>
      <w:r w:rsidR="00571A32" w:rsidRPr="00D37ABD">
        <w:t>al de consorcio, también se acepte</w:t>
      </w:r>
      <w:r w:rsidR="00654DCF" w:rsidRPr="00D37ABD">
        <w:t xml:space="preserve"> los testimonios de contrato de consorcio que tienen certificación ante Notario Público.</w:t>
      </w:r>
    </w:p>
    <w:p w:rsidR="00654DCF" w:rsidRPr="00D37ABD" w:rsidRDefault="00654DCF" w:rsidP="00654DCF">
      <w:pPr>
        <w:widowControl w:val="0"/>
        <w:jc w:val="both"/>
      </w:pPr>
    </w:p>
    <w:p w:rsidR="003C389E" w:rsidRPr="00D37ABD" w:rsidRDefault="003C389E" w:rsidP="003C389E">
      <w:pPr>
        <w:widowControl w:val="0"/>
        <w:tabs>
          <w:tab w:val="left" w:pos="540"/>
        </w:tabs>
        <w:jc w:val="both"/>
      </w:pPr>
      <w:r w:rsidRPr="00D37ABD">
        <w:t>Asimismo, se advierte que dicho participante en su solicitud de elevación precisa</w:t>
      </w:r>
      <w:r w:rsidR="00654DCF" w:rsidRPr="00D37ABD">
        <w:t xml:space="preserve"> </w:t>
      </w:r>
      <w:r w:rsidR="001A7F21" w:rsidRPr="00D37ABD">
        <w:t xml:space="preserve">que la Directiva N° 16-2012-OSCE, ha sido modificada por la Directiva N° 02-2016-OSCE y que en la Directiva vigente no existe restricción alguna de poder presentar testimonio de Consorcio para acreditar la experiencia del postor (Facturación). Asimismo, considerar que un Testimonio de Consorcio es un contrato de consorcio refrendado por Notario Público, que </w:t>
      </w:r>
      <w:r w:rsidR="003A6B14" w:rsidRPr="00D37ABD">
        <w:t>cuenta con las legalizaciones d</w:t>
      </w:r>
      <w:r w:rsidR="001A7F21" w:rsidRPr="00D37ABD">
        <w:t>e</w:t>
      </w:r>
      <w:r w:rsidR="003A6B14" w:rsidRPr="00D37ABD">
        <w:t xml:space="preserve"> </w:t>
      </w:r>
      <w:r w:rsidR="001A7F21" w:rsidRPr="00D37ABD">
        <w:t xml:space="preserve">las firmas de </w:t>
      </w:r>
      <w:r w:rsidR="003A6B14" w:rsidRPr="00D37ABD">
        <w:t>los</w:t>
      </w:r>
      <w:r w:rsidR="001A7F21" w:rsidRPr="00D37ABD">
        <w:t xml:space="preserve"> consorciados y que tiene incluso una mayor validez jurídica. </w:t>
      </w:r>
      <w:r w:rsidR="00B93114" w:rsidRPr="00D37ABD">
        <w:t>Finalmente hacen mención al</w:t>
      </w:r>
      <w:r w:rsidR="001A7F21" w:rsidRPr="00D37ABD">
        <w:t xml:space="preserve"> Pronunciam</w:t>
      </w:r>
      <w:r w:rsidR="00B93114" w:rsidRPr="00D37ABD">
        <w:t>iento N° 687-2015/DSU,</w:t>
      </w:r>
      <w:r w:rsidR="001A7F21" w:rsidRPr="00D37ABD">
        <w:t xml:space="preserve"> </w:t>
      </w:r>
      <w:r w:rsidR="00B93114" w:rsidRPr="00D37ABD">
        <w:t xml:space="preserve">a través del cual se sostiene </w:t>
      </w:r>
      <w:r w:rsidR="001A7F21" w:rsidRPr="00D37ABD">
        <w:t xml:space="preserve">que el testimonio de consorcio es el mismo contrato de consorcio, con la particularidad que esta elevado a escritura </w:t>
      </w:r>
      <w:r w:rsidR="001A7F21" w:rsidRPr="00D37ABD">
        <w:lastRenderedPageBreak/>
        <w:t>pública, por lo que, dic</w:t>
      </w:r>
      <w:r w:rsidR="00B93114" w:rsidRPr="00D37ABD">
        <w:t xml:space="preserve">ho documento </w:t>
      </w:r>
      <w:r w:rsidR="001A7F21" w:rsidRPr="00D37ABD">
        <w:t xml:space="preserve">generaría certeza respecto de la experiencia obtenida </w:t>
      </w:r>
      <w:r w:rsidR="003A6B14" w:rsidRPr="00D37ABD">
        <w:t>por los</w:t>
      </w:r>
      <w:r w:rsidR="00B93114" w:rsidRPr="00D37ABD">
        <w:t xml:space="preserve"> postores, aunque</w:t>
      </w:r>
      <w:r w:rsidR="003A6B14" w:rsidRPr="00D37ABD">
        <w:t xml:space="preserve"> si bien no es una condición exigida, se le </w:t>
      </w:r>
      <w:r w:rsidR="00B93114" w:rsidRPr="00D37ABD">
        <w:t>aceptaría</w:t>
      </w:r>
      <w:r w:rsidR="003A6B14" w:rsidRPr="00D37ABD">
        <w:t xml:space="preserve"> como documento válido.</w:t>
      </w:r>
    </w:p>
    <w:p w:rsidR="003C389E" w:rsidRPr="00D37ABD" w:rsidRDefault="003C389E" w:rsidP="003C389E">
      <w:pPr>
        <w:widowControl w:val="0"/>
        <w:tabs>
          <w:tab w:val="left" w:pos="540"/>
        </w:tabs>
        <w:jc w:val="both"/>
      </w:pPr>
    </w:p>
    <w:p w:rsidR="003C389E" w:rsidRPr="00D37ABD" w:rsidRDefault="003C389E" w:rsidP="003C389E">
      <w:pPr>
        <w:widowControl w:val="0"/>
        <w:ind w:left="4678" w:hanging="4678"/>
        <w:jc w:val="both"/>
        <w:rPr>
          <w:rFonts w:eastAsia="MS Mincho"/>
          <w:b/>
          <w:lang w:val="es-PE" w:eastAsia="es-ES"/>
        </w:rPr>
      </w:pPr>
      <w:r w:rsidRPr="00D37ABD">
        <w:rPr>
          <w:rFonts w:eastAsia="MS Mincho"/>
          <w:b/>
          <w:lang w:val="es-PE" w:eastAsia="es-ES"/>
        </w:rPr>
        <w:t>Pronunciamiento:</w:t>
      </w:r>
    </w:p>
    <w:p w:rsidR="003C389E" w:rsidRPr="00D37ABD" w:rsidRDefault="003C389E" w:rsidP="003C389E">
      <w:pPr>
        <w:widowControl w:val="0"/>
        <w:jc w:val="both"/>
        <w:rPr>
          <w:rFonts w:eastAsia="MS Mincho"/>
          <w:lang w:val="es-PE" w:eastAsia="es-ES"/>
        </w:rPr>
      </w:pPr>
    </w:p>
    <w:p w:rsidR="003C389E" w:rsidRPr="00D37ABD" w:rsidRDefault="003C389E" w:rsidP="003C389E">
      <w:pPr>
        <w:widowControl w:val="0"/>
        <w:jc w:val="both"/>
        <w:rPr>
          <w:rFonts w:eastAsia="MS Mincho"/>
          <w:lang w:val="es-PE" w:eastAsia="es-ES"/>
        </w:rPr>
      </w:pPr>
      <w:r w:rsidRPr="00D37ABD">
        <w:rPr>
          <w:rFonts w:eastAsia="MS Mincho"/>
          <w:lang w:val="es-PE" w:eastAsia="es-ES"/>
        </w:rPr>
        <w:t xml:space="preserve">De la revisión del Capítulo III Requerimiento, se advierte que en el acápite relacionado a </w:t>
      </w:r>
      <w:r w:rsidR="00A15268" w:rsidRPr="00D37ABD">
        <w:rPr>
          <w:rFonts w:eastAsia="MS Mincho"/>
          <w:i/>
          <w:lang w:val="es-PE" w:eastAsia="es-ES"/>
        </w:rPr>
        <w:t>Requisitos de calificación</w:t>
      </w:r>
      <w:r w:rsidRPr="00D37ABD">
        <w:rPr>
          <w:rFonts w:eastAsia="MS Mincho"/>
          <w:lang w:val="es-PE" w:eastAsia="es-ES"/>
        </w:rPr>
        <w:t>, se indica lo siguiente:</w:t>
      </w:r>
    </w:p>
    <w:p w:rsidR="003C389E" w:rsidRPr="00D37ABD" w:rsidRDefault="003C389E" w:rsidP="003C389E">
      <w:pPr>
        <w:widowControl w:val="0"/>
        <w:tabs>
          <w:tab w:val="left" w:pos="540"/>
        </w:tabs>
        <w:jc w:val="both"/>
        <w:rPr>
          <w:lang w:val="es-PE"/>
        </w:rPr>
      </w:pPr>
    </w:p>
    <w:p w:rsidR="00A15268" w:rsidRPr="00D37ABD" w:rsidRDefault="00A15268" w:rsidP="003C389E">
      <w:pPr>
        <w:widowControl w:val="0"/>
        <w:tabs>
          <w:tab w:val="left" w:pos="540"/>
        </w:tabs>
        <w:jc w:val="both"/>
        <w:rPr>
          <w:i/>
          <w:lang w:val="es-PE"/>
        </w:rPr>
      </w:pPr>
      <w:r w:rsidRPr="00D37ABD">
        <w:rPr>
          <w:i/>
          <w:lang w:val="es-PE"/>
        </w:rPr>
        <w:t>C. EXPERIENCIA DEL POSTOR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985"/>
        <w:gridCol w:w="5276"/>
      </w:tblGrid>
      <w:tr w:rsidR="00A15268" w:rsidRPr="00D37ABD" w:rsidTr="00581785">
        <w:tc>
          <w:tcPr>
            <w:tcW w:w="817" w:type="dxa"/>
          </w:tcPr>
          <w:p w:rsidR="00A15268" w:rsidRPr="00D37ABD" w:rsidRDefault="00A15268" w:rsidP="00581785">
            <w:pPr>
              <w:widowControl w:val="0"/>
              <w:tabs>
                <w:tab w:val="left" w:pos="540"/>
              </w:tabs>
              <w:jc w:val="both"/>
              <w:rPr>
                <w:i/>
                <w:lang w:val="es-PE"/>
              </w:rPr>
            </w:pPr>
            <w:r w:rsidRPr="00D37ABD">
              <w:rPr>
                <w:i/>
                <w:lang w:val="es-PE"/>
              </w:rPr>
              <w:t>C.1</w:t>
            </w:r>
          </w:p>
        </w:tc>
        <w:tc>
          <w:tcPr>
            <w:tcW w:w="1985" w:type="dxa"/>
          </w:tcPr>
          <w:p w:rsidR="00A15268" w:rsidRPr="00D37ABD" w:rsidRDefault="00A15268" w:rsidP="00581785">
            <w:pPr>
              <w:widowControl w:val="0"/>
              <w:tabs>
                <w:tab w:val="left" w:pos="540"/>
              </w:tabs>
              <w:jc w:val="both"/>
              <w:rPr>
                <w:i/>
                <w:lang w:val="es-PE"/>
              </w:rPr>
            </w:pPr>
            <w:r w:rsidRPr="00D37ABD">
              <w:rPr>
                <w:i/>
                <w:lang w:val="es-PE"/>
              </w:rPr>
              <w:t>FACTURACIÓN</w:t>
            </w:r>
          </w:p>
        </w:tc>
        <w:tc>
          <w:tcPr>
            <w:tcW w:w="5276" w:type="dxa"/>
          </w:tcPr>
          <w:p w:rsidR="00A15268" w:rsidRPr="00D37ABD" w:rsidRDefault="00A15268" w:rsidP="00581785">
            <w:pPr>
              <w:widowControl w:val="0"/>
              <w:jc w:val="both"/>
              <w:rPr>
                <w:i/>
                <w:iCs/>
                <w:u w:val="single"/>
              </w:rPr>
            </w:pPr>
            <w:r w:rsidRPr="00D37ABD">
              <w:rPr>
                <w:i/>
                <w:iCs/>
                <w:u w:val="single"/>
              </w:rPr>
              <w:t>Requisito:</w:t>
            </w:r>
          </w:p>
          <w:p w:rsidR="00A15268" w:rsidRPr="00D37ABD" w:rsidRDefault="00A15268" w:rsidP="00581785">
            <w:pPr>
              <w:widowControl w:val="0"/>
              <w:jc w:val="both"/>
              <w:rPr>
                <w:i/>
                <w:iCs/>
              </w:rPr>
            </w:pPr>
            <w:r w:rsidRPr="00D37ABD">
              <w:rPr>
                <w:i/>
                <w:iCs/>
              </w:rPr>
              <w:t xml:space="preserve">El postor debe acreditar un monto facturado acumulado equivalente a </w:t>
            </w:r>
            <w:r w:rsidRPr="00D37ABD">
              <w:rPr>
                <w:b/>
                <w:i/>
                <w:iCs/>
              </w:rPr>
              <w:t>S/ 3´950,000.00 soles,</w:t>
            </w:r>
            <w:r w:rsidRPr="00D37ABD">
              <w:rPr>
                <w:i/>
                <w:iCs/>
              </w:rPr>
              <w:t xml:space="preserve"> por la contratación de </w:t>
            </w:r>
            <w:r w:rsidRPr="00D37ABD">
              <w:rPr>
                <w:b/>
                <w:i/>
                <w:iCs/>
              </w:rPr>
              <w:t>servicios similares al objeto de la convocatoria y/o  en la actividad</w:t>
            </w:r>
            <w:r w:rsidRPr="00D37ABD">
              <w:rPr>
                <w:i/>
                <w:iCs/>
              </w:rPr>
              <w:t xml:space="preserve">, durante un periodo NO MAYOR A OCHO (8) AÑOS a la fecha de la presentación de ofertas. </w:t>
            </w:r>
          </w:p>
          <w:p w:rsidR="00A15268" w:rsidRPr="00D37ABD" w:rsidRDefault="00A15268" w:rsidP="00581785">
            <w:pPr>
              <w:widowControl w:val="0"/>
              <w:jc w:val="both"/>
              <w:rPr>
                <w:i/>
                <w:iCs/>
              </w:rPr>
            </w:pPr>
          </w:p>
          <w:p w:rsidR="00A15268" w:rsidRPr="00D37ABD" w:rsidRDefault="00A15268" w:rsidP="00581785">
            <w:pPr>
              <w:pStyle w:val="Prrafodelista"/>
              <w:ind w:left="0"/>
              <w:jc w:val="both"/>
              <w:rPr>
                <w:b/>
                <w:i/>
              </w:rPr>
            </w:pPr>
            <w:r w:rsidRPr="00D37ABD">
              <w:rPr>
                <w:i/>
                <w:iCs/>
              </w:rPr>
              <w:t xml:space="preserve">Se consideran servicios similares a los siguientes: </w:t>
            </w:r>
            <w:r w:rsidRPr="00D37ABD">
              <w:rPr>
                <w:b/>
                <w:i/>
                <w:iCs/>
              </w:rPr>
              <w:t>I</w:t>
            </w:r>
            <w:r w:rsidRPr="00D37ABD">
              <w:rPr>
                <w:b/>
                <w:i/>
              </w:rPr>
              <w:t>nstalación o lanzamiento de puentes modulares y/o montaje o desmontaje de puentes modulares.  Construcción, rehabilitación y/o reconstrucción de puentes vehiculares.</w:t>
            </w:r>
          </w:p>
          <w:p w:rsidR="00A15268" w:rsidRPr="00D37ABD" w:rsidRDefault="00A15268" w:rsidP="00581785">
            <w:pPr>
              <w:pStyle w:val="Prrafodelista"/>
              <w:ind w:left="0"/>
              <w:jc w:val="both"/>
              <w:rPr>
                <w:b/>
                <w:i/>
              </w:rPr>
            </w:pPr>
          </w:p>
          <w:p w:rsidR="00A15268" w:rsidRPr="00D37ABD" w:rsidRDefault="00A15268" w:rsidP="00581785">
            <w:pPr>
              <w:pStyle w:val="Prrafodelista"/>
              <w:ind w:left="0"/>
              <w:jc w:val="both"/>
              <w:rPr>
                <w:b/>
                <w:i/>
              </w:rPr>
            </w:pPr>
            <w:r w:rsidRPr="00D37ABD">
              <w:rPr>
                <w:b/>
                <w:i/>
                <w:iCs/>
              </w:rPr>
              <w:t xml:space="preserve">Se considera servicio en la actividad los </w:t>
            </w:r>
            <w:r w:rsidRPr="00D37ABD">
              <w:rPr>
                <w:b/>
                <w:i/>
              </w:rPr>
              <w:t>siguientes: construcción, y/o reconstrucción, y/o mejoramiento y/o rehabilitación de carreteras</w:t>
            </w:r>
          </w:p>
          <w:p w:rsidR="00A15268" w:rsidRPr="00D37ABD" w:rsidRDefault="00A15268" w:rsidP="00581785">
            <w:pPr>
              <w:widowControl w:val="0"/>
              <w:tabs>
                <w:tab w:val="left" w:pos="540"/>
              </w:tabs>
              <w:jc w:val="both"/>
              <w:rPr>
                <w:i/>
              </w:rPr>
            </w:pPr>
          </w:p>
        </w:tc>
      </w:tr>
    </w:tbl>
    <w:p w:rsidR="00A15268" w:rsidRPr="00D37ABD" w:rsidRDefault="00A15268" w:rsidP="003C389E">
      <w:pPr>
        <w:widowControl w:val="0"/>
        <w:tabs>
          <w:tab w:val="left" w:pos="540"/>
        </w:tabs>
        <w:jc w:val="both"/>
        <w:rPr>
          <w:lang w:val="es-PE"/>
        </w:rPr>
      </w:pPr>
    </w:p>
    <w:p w:rsidR="00571A32" w:rsidRPr="00D37ABD" w:rsidRDefault="00571A32" w:rsidP="003C389E">
      <w:pPr>
        <w:widowControl w:val="0"/>
        <w:tabs>
          <w:tab w:val="left" w:pos="540"/>
        </w:tabs>
        <w:jc w:val="both"/>
        <w:rPr>
          <w:lang w:val="es-PE"/>
        </w:rPr>
      </w:pPr>
    </w:p>
    <w:p w:rsidR="003C389E" w:rsidRPr="00D37ABD" w:rsidRDefault="003C389E" w:rsidP="003C389E">
      <w:pPr>
        <w:widowControl w:val="0"/>
        <w:jc w:val="both"/>
        <w:rPr>
          <w:rFonts w:eastAsia="MS Mincho"/>
          <w:lang w:val="es-PE" w:eastAsia="es-ES"/>
        </w:rPr>
      </w:pPr>
      <w:r w:rsidRPr="00D37ABD">
        <w:rPr>
          <w:rFonts w:eastAsia="MS Mincho"/>
          <w:lang w:val="es-PE" w:eastAsia="es-ES"/>
        </w:rPr>
        <w:t>Sobre el particular, el Comité Especial</w:t>
      </w:r>
      <w:r w:rsidR="0079792E" w:rsidRPr="00D37ABD">
        <w:rPr>
          <w:rFonts w:eastAsia="MS Mincho"/>
          <w:lang w:val="es-PE" w:eastAsia="es-ES"/>
        </w:rPr>
        <w:t>,</w:t>
      </w:r>
      <w:r w:rsidRPr="00D37ABD">
        <w:rPr>
          <w:rFonts w:eastAsia="MS Mincho"/>
          <w:lang w:val="es-PE" w:eastAsia="es-ES"/>
        </w:rPr>
        <w:t xml:space="preserve"> en el pliego absolutorio de consultas y observaciones</w:t>
      </w:r>
      <w:r w:rsidR="0079792E" w:rsidRPr="00D37ABD">
        <w:rPr>
          <w:rFonts w:eastAsia="MS Mincho"/>
          <w:lang w:val="es-PE" w:eastAsia="es-ES"/>
        </w:rPr>
        <w:t>,</w:t>
      </w:r>
      <w:r w:rsidRPr="00D37ABD">
        <w:rPr>
          <w:rFonts w:eastAsia="MS Mincho"/>
          <w:lang w:val="es-PE" w:eastAsia="es-ES"/>
        </w:rPr>
        <w:t xml:space="preserve"> </w:t>
      </w:r>
      <w:r w:rsidR="0079792E" w:rsidRPr="00D37ABD">
        <w:rPr>
          <w:rFonts w:eastAsia="MS Mincho"/>
          <w:lang w:val="es-PE" w:eastAsia="es-ES"/>
        </w:rPr>
        <w:t>señaló</w:t>
      </w:r>
      <w:r w:rsidRPr="00D37ABD">
        <w:rPr>
          <w:rFonts w:eastAsia="MS Mincho"/>
          <w:lang w:val="es-PE" w:eastAsia="es-ES"/>
        </w:rPr>
        <w:t xml:space="preserve"> lo siguiente:</w:t>
      </w:r>
    </w:p>
    <w:p w:rsidR="003C389E" w:rsidRPr="00D37ABD" w:rsidRDefault="003C389E" w:rsidP="003C389E">
      <w:pPr>
        <w:widowControl w:val="0"/>
        <w:tabs>
          <w:tab w:val="left" w:pos="540"/>
        </w:tabs>
        <w:jc w:val="both"/>
        <w:rPr>
          <w:lang w:val="es-PE"/>
        </w:rPr>
      </w:pPr>
    </w:p>
    <w:p w:rsidR="00A15268" w:rsidRPr="00D37ABD" w:rsidRDefault="00C70BB5" w:rsidP="003C389E">
      <w:pPr>
        <w:widowControl w:val="0"/>
        <w:tabs>
          <w:tab w:val="left" w:pos="540"/>
        </w:tabs>
        <w:jc w:val="both"/>
        <w:rPr>
          <w:lang w:val="es-PE"/>
        </w:rPr>
      </w:pPr>
      <w:r w:rsidRPr="00D37ABD">
        <w:rPr>
          <w:noProof/>
          <w:lang w:val="es-PE" w:eastAsia="es-PE"/>
        </w:rPr>
        <w:drawing>
          <wp:inline distT="0" distB="0" distL="0" distR="0">
            <wp:extent cx="5038725" cy="20478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8725" cy="2047875"/>
                    </a:xfrm>
                    <a:prstGeom prst="rect">
                      <a:avLst/>
                    </a:prstGeom>
                    <a:noFill/>
                    <a:ln>
                      <a:noFill/>
                    </a:ln>
                  </pic:spPr>
                </pic:pic>
              </a:graphicData>
            </a:graphic>
          </wp:inline>
        </w:drawing>
      </w:r>
    </w:p>
    <w:p w:rsidR="00A15268" w:rsidRPr="00D37ABD" w:rsidRDefault="00A15268" w:rsidP="003C389E">
      <w:pPr>
        <w:widowControl w:val="0"/>
        <w:tabs>
          <w:tab w:val="left" w:pos="540"/>
        </w:tabs>
        <w:jc w:val="both"/>
        <w:rPr>
          <w:lang w:val="es-PE"/>
        </w:rPr>
      </w:pPr>
    </w:p>
    <w:p w:rsidR="003C389E" w:rsidRPr="00D37ABD" w:rsidRDefault="003C389E" w:rsidP="003C389E">
      <w:pPr>
        <w:widowControl w:val="0"/>
        <w:jc w:val="both"/>
        <w:rPr>
          <w:rFonts w:eastAsia="MS Mincho"/>
          <w:lang w:val="es-PE" w:eastAsia="es-ES"/>
        </w:rPr>
      </w:pPr>
      <w:r w:rsidRPr="00D37ABD">
        <w:rPr>
          <w:rFonts w:eastAsia="MS Mincho"/>
          <w:lang w:val="es-PE" w:eastAsia="es-ES"/>
        </w:rPr>
        <w:t>Adicionalmente, en el Informe Técnico, dicho Colegiado señaló lo siguiente:</w:t>
      </w:r>
    </w:p>
    <w:p w:rsidR="003C389E" w:rsidRPr="00D37ABD" w:rsidRDefault="003C389E" w:rsidP="003C389E">
      <w:pPr>
        <w:widowControl w:val="0"/>
        <w:tabs>
          <w:tab w:val="left" w:pos="540"/>
        </w:tabs>
        <w:jc w:val="both"/>
        <w:rPr>
          <w:lang w:val="es-PE"/>
        </w:rPr>
      </w:pPr>
    </w:p>
    <w:p w:rsidR="00A15268" w:rsidRPr="00D37ABD" w:rsidRDefault="00A15268" w:rsidP="00A15268">
      <w:pPr>
        <w:widowControl w:val="0"/>
        <w:tabs>
          <w:tab w:val="left" w:pos="540"/>
        </w:tabs>
        <w:ind w:left="360"/>
        <w:jc w:val="both"/>
        <w:rPr>
          <w:i/>
        </w:rPr>
      </w:pPr>
      <w:r w:rsidRPr="00D37ABD">
        <w:rPr>
          <w:i/>
          <w:lang w:val="es-PE"/>
        </w:rPr>
        <w:lastRenderedPageBreak/>
        <w:t xml:space="preserve">“Debido a </w:t>
      </w:r>
      <w:r w:rsidRPr="00D37ABD">
        <w:rPr>
          <w:i/>
        </w:rPr>
        <w:t>que la Ley de Contrataciones del Estado y su reglamento, así como la Directiva de consorcio solamente hacen mención al Contrato de Consorcio, durante la absolución de Consultas y Observaciones el Comité ha indicado que no se aceptarán Testimonios de Consorcio.”</w:t>
      </w:r>
    </w:p>
    <w:p w:rsidR="00BE61FF" w:rsidRPr="00D37ABD" w:rsidRDefault="00BE61FF" w:rsidP="00F00E9A">
      <w:pPr>
        <w:widowControl w:val="0"/>
        <w:tabs>
          <w:tab w:val="left" w:pos="540"/>
        </w:tabs>
        <w:jc w:val="both"/>
        <w:rPr>
          <w:lang w:val="es-PE"/>
        </w:rPr>
      </w:pPr>
    </w:p>
    <w:p w:rsidR="00571A32" w:rsidRPr="00D37ABD" w:rsidRDefault="00571A32" w:rsidP="00571A32">
      <w:pPr>
        <w:jc w:val="both"/>
        <w:rPr>
          <w:bCs/>
        </w:rPr>
      </w:pPr>
      <w:r w:rsidRPr="00D37ABD">
        <w:rPr>
          <w:bCs/>
        </w:rPr>
        <w:t xml:space="preserve">Es necesario precisar, que los Pronunciamientos emitidos por este Organismo Supervisor como el Pronunciamiento 687-2015/DSU referido por el participante no son precedentes vinculantes por lo que sus disposiciones responden a condiciones particulares de los procesos de selección sobre los cuales recayeron, por tanto, la referencia consignada en la solicitud de elevación de </w:t>
      </w:r>
      <w:r w:rsidR="00BD646B" w:rsidRPr="00D37ABD">
        <w:rPr>
          <w:bCs/>
        </w:rPr>
        <w:t xml:space="preserve">consultas y </w:t>
      </w:r>
      <w:r w:rsidRPr="00D37ABD">
        <w:rPr>
          <w:bCs/>
        </w:rPr>
        <w:t xml:space="preserve">observaciones </w:t>
      </w:r>
      <w:r w:rsidR="00BD646B" w:rsidRPr="00D37ABD">
        <w:rPr>
          <w:bCs/>
        </w:rPr>
        <w:t xml:space="preserve">del participante </w:t>
      </w:r>
      <w:r w:rsidRPr="00D37ABD">
        <w:rPr>
          <w:bCs/>
        </w:rPr>
        <w:t>no resultaría valida, dado que esta no respondería estrictamente a las condiciones especificas de las Bases del presente proceso.</w:t>
      </w:r>
    </w:p>
    <w:p w:rsidR="00571A32" w:rsidRPr="00D37ABD" w:rsidRDefault="00571A32" w:rsidP="006B4F18">
      <w:pPr>
        <w:widowControl w:val="0"/>
        <w:jc w:val="both"/>
      </w:pPr>
    </w:p>
    <w:p w:rsidR="00972075" w:rsidRPr="00D37ABD" w:rsidRDefault="00972075" w:rsidP="00972075">
      <w:pPr>
        <w:widowControl w:val="0"/>
        <w:jc w:val="both"/>
        <w:rPr>
          <w:lang w:val="es-ES" w:eastAsia="ja-JP"/>
        </w:rPr>
      </w:pPr>
      <w:r w:rsidRPr="00D37ABD">
        <w:rPr>
          <w:lang w:val="es-ES" w:eastAsia="ja-JP"/>
        </w:rPr>
        <w:t xml:space="preserve">Cabe resaltar que, la respuesta del Comité Especial </w:t>
      </w:r>
      <w:r w:rsidRPr="00D37ABD">
        <w:rPr>
          <w:rFonts w:eastAsia="MS Mincho"/>
          <w:lang w:val="es-PE" w:eastAsia="es-ES"/>
        </w:rPr>
        <w:t>en el pliego absolutorio de consultas y observaciones hace referencia a la Directiva N° 016-2012-OSCE/CD, la cual se encuentra derogada, siendo la norma vigente la Directiva N° 002-2016-OSCE/CD “Participación de proveedores en consorcio en las contrataciones del Estado”. Cabe precisar que ésta no establece requerimiento relacionado con la acreditación de experiencia en consorcio.</w:t>
      </w:r>
    </w:p>
    <w:p w:rsidR="0079792E" w:rsidRPr="00D37ABD" w:rsidRDefault="0079792E" w:rsidP="006B4F18">
      <w:pPr>
        <w:widowControl w:val="0"/>
        <w:jc w:val="both"/>
        <w:rPr>
          <w:lang w:val="es-ES"/>
        </w:rPr>
      </w:pPr>
    </w:p>
    <w:p w:rsidR="0079792E" w:rsidRPr="00D37ABD" w:rsidRDefault="0079792E" w:rsidP="006B4F18">
      <w:pPr>
        <w:widowControl w:val="0"/>
        <w:jc w:val="both"/>
        <w:rPr>
          <w:lang w:val="es-ES"/>
        </w:rPr>
      </w:pPr>
      <w:r w:rsidRPr="00D37ABD">
        <w:rPr>
          <w:lang w:val="es-ES"/>
        </w:rPr>
        <w:t xml:space="preserve">Asimismo, cabe señalar de acuerdo a la normativa vigente, la promesa de consorcio debe contener: </w:t>
      </w:r>
      <w:r w:rsidR="00EA7037" w:rsidRPr="00D37ABD">
        <w:rPr>
          <w:lang w:val="es-ES"/>
        </w:rPr>
        <w:t>a) La identificación de los integrantes del consorcio, b) La designación del representante común del consorcio, c) El domicilio común del consorcio, d) Las obligaciones que corresponden a cada uno de los integrantes del consorcio</w:t>
      </w:r>
      <w:r w:rsidR="00AF4BDC" w:rsidRPr="00D37ABD">
        <w:rPr>
          <w:lang w:val="es-ES"/>
        </w:rPr>
        <w:t>, y e) El porcentaje de las obligaciones de cada uno de los integrantes.</w:t>
      </w:r>
    </w:p>
    <w:p w:rsidR="0079792E" w:rsidRPr="00D37ABD" w:rsidRDefault="0079792E" w:rsidP="006B4F18">
      <w:pPr>
        <w:widowControl w:val="0"/>
        <w:jc w:val="both"/>
        <w:rPr>
          <w:lang w:val="es-ES"/>
        </w:rPr>
      </w:pPr>
    </w:p>
    <w:p w:rsidR="00F00E9A" w:rsidRPr="00D37ABD" w:rsidRDefault="0079792E" w:rsidP="0011117F">
      <w:pPr>
        <w:autoSpaceDE w:val="0"/>
        <w:autoSpaceDN w:val="0"/>
        <w:adjustRightInd w:val="0"/>
        <w:ind w:right="49"/>
        <w:jc w:val="both"/>
        <w:rPr>
          <w:rFonts w:eastAsia="Calibri"/>
          <w:color w:val="000000"/>
          <w:lang w:val="es-PE" w:eastAsia="es-PE"/>
        </w:rPr>
      </w:pPr>
      <w:r w:rsidRPr="00D37ABD">
        <w:rPr>
          <w:lang w:val="es-ES"/>
        </w:rPr>
        <w:t xml:space="preserve">Siendo ello así, no se advierte la razonabilidad que, en caso el testimonio de consorcio </w:t>
      </w:r>
      <w:r w:rsidR="00EA7037" w:rsidRPr="00D37ABD">
        <w:rPr>
          <w:lang w:val="es-ES"/>
        </w:rPr>
        <w:t>contenga toda la información solicitada en la normativa para verificar la experiencia obtenida en caso de consorcio, dicho documento no sea considerado por la Entidad</w:t>
      </w:r>
      <w:r w:rsidR="00D6676F">
        <w:rPr>
          <w:lang w:val="es-ES"/>
        </w:rPr>
        <w:t>, mas aun si tenemos en cuenta que dicho documento es elevado a Escritura Pública</w:t>
      </w:r>
      <w:r w:rsidR="00EA7037" w:rsidRPr="00D37ABD">
        <w:rPr>
          <w:lang w:val="es-ES"/>
        </w:rPr>
        <w:t xml:space="preserve">. Por lo tanto, </w:t>
      </w:r>
      <w:r w:rsidR="00EA7037" w:rsidRPr="00D37ABD">
        <w:rPr>
          <w:rFonts w:eastAsia="Calibri"/>
          <w:color w:val="000000"/>
          <w:lang w:val="es-PE" w:eastAsia="es-PE"/>
        </w:rPr>
        <w:t>Organismo Supervisor ha decidido</w:t>
      </w:r>
      <w:r w:rsidR="00EA7037" w:rsidRPr="00D37ABD">
        <w:rPr>
          <w:rFonts w:eastAsia="Calibri"/>
          <w:b/>
          <w:bCs/>
          <w:color w:val="000000"/>
          <w:lang w:val="es-PE" w:eastAsia="es-PE"/>
        </w:rPr>
        <w:t xml:space="preserve"> ACOGER</w:t>
      </w:r>
      <w:r w:rsidR="00EF3B1E" w:rsidRPr="00D37ABD">
        <w:rPr>
          <w:rFonts w:eastAsia="Calibri"/>
          <w:color w:val="000000"/>
          <w:lang w:val="es-PE" w:eastAsia="es-PE"/>
        </w:rPr>
        <w:t xml:space="preserve"> el Cuestionamiento N° 2. En </w:t>
      </w:r>
      <w:r w:rsidR="00E01505" w:rsidRPr="00D37ABD">
        <w:rPr>
          <w:rFonts w:eastAsia="Calibri"/>
          <w:color w:val="000000"/>
          <w:lang w:val="es-PE" w:eastAsia="es-PE"/>
        </w:rPr>
        <w:t>consecuencia, con ocasión de la integración de las Bases, deberá prec</w:t>
      </w:r>
      <w:r w:rsidR="0011117F" w:rsidRPr="00D37ABD">
        <w:rPr>
          <w:rFonts w:eastAsia="Calibri"/>
          <w:color w:val="000000"/>
          <w:lang w:val="es-PE" w:eastAsia="es-PE"/>
        </w:rPr>
        <w:t>isarse que,</w:t>
      </w:r>
      <w:r w:rsidR="00E01505" w:rsidRPr="00D37ABD">
        <w:rPr>
          <w:rFonts w:eastAsia="Calibri"/>
          <w:color w:val="000000"/>
          <w:lang w:val="es-PE" w:eastAsia="es-PE"/>
        </w:rPr>
        <w:t xml:space="preserve"> también  se aceptará el testimonio de consorcio </w:t>
      </w:r>
      <w:r w:rsidR="0011117F" w:rsidRPr="00D37ABD">
        <w:t>para la acreditación de las experiencias obtenidas en consorcio.</w:t>
      </w:r>
    </w:p>
    <w:p w:rsidR="00AF4BDC" w:rsidRPr="00D37ABD" w:rsidRDefault="00AF4BDC" w:rsidP="006B4F18">
      <w:pPr>
        <w:widowControl w:val="0"/>
        <w:tabs>
          <w:tab w:val="left" w:pos="540"/>
        </w:tabs>
        <w:jc w:val="both"/>
        <w:rPr>
          <w:lang w:val="es-PE"/>
        </w:rPr>
      </w:pPr>
    </w:p>
    <w:p w:rsidR="0011117F" w:rsidRPr="00D37ABD" w:rsidRDefault="0011117F" w:rsidP="0011117F">
      <w:pPr>
        <w:pStyle w:val="Textoindependiente2"/>
        <w:numPr>
          <w:ilvl w:val="0"/>
          <w:numId w:val="19"/>
        </w:numPr>
        <w:rPr>
          <w:rFonts w:ascii="Times New Roman" w:hAnsi="Times New Roman"/>
          <w:szCs w:val="24"/>
        </w:rPr>
      </w:pPr>
      <w:r w:rsidRPr="00D37ABD">
        <w:rPr>
          <w:rFonts w:ascii="Times New Roman" w:hAnsi="Times New Roman"/>
          <w:b/>
          <w:bCs/>
          <w:szCs w:val="24"/>
        </w:rPr>
        <w:t>ASPECTOS SUPERVISADOS DE OFICIO</w:t>
      </w:r>
    </w:p>
    <w:p w:rsidR="0011117F" w:rsidRPr="00D37ABD" w:rsidRDefault="0011117F" w:rsidP="0011117F">
      <w:pPr>
        <w:widowControl w:val="0"/>
        <w:tabs>
          <w:tab w:val="left" w:pos="540"/>
        </w:tabs>
        <w:ind w:left="360"/>
        <w:jc w:val="both"/>
        <w:rPr>
          <w:b/>
        </w:rPr>
      </w:pPr>
    </w:p>
    <w:p w:rsidR="0011117F" w:rsidRPr="00D37ABD" w:rsidRDefault="0011117F" w:rsidP="0011117F">
      <w:pPr>
        <w:widowControl w:val="0"/>
        <w:tabs>
          <w:tab w:val="left" w:pos="540"/>
        </w:tabs>
        <w:ind w:left="360"/>
        <w:jc w:val="both"/>
      </w:pPr>
      <w:r w:rsidRPr="00D37ABD">
        <w:t xml:space="preserve">Si bien el Pronunciamiento, por norma, versa sobre la elevación de observaciones a pedido de parte y no representa la convalidación de ningún extremo de las Bases, este Organismo Supervisor ha visto por conveniente hacer indicaciones puntuales a partir de la revisión de oficio, según el siguiente detalle: </w:t>
      </w:r>
    </w:p>
    <w:p w:rsidR="00EB2CE6" w:rsidRPr="00D37ABD" w:rsidRDefault="00EB2CE6" w:rsidP="0011117F">
      <w:pPr>
        <w:widowControl w:val="0"/>
        <w:tabs>
          <w:tab w:val="left" w:pos="540"/>
        </w:tabs>
        <w:ind w:left="360"/>
        <w:jc w:val="both"/>
      </w:pPr>
    </w:p>
    <w:p w:rsidR="00EB2CE6" w:rsidRPr="00D37ABD" w:rsidRDefault="00EB2CE6" w:rsidP="00EB2CE6">
      <w:pPr>
        <w:widowControl w:val="0"/>
        <w:tabs>
          <w:tab w:val="left" w:pos="540"/>
        </w:tabs>
        <w:jc w:val="both"/>
        <w:rPr>
          <w:b/>
        </w:rPr>
      </w:pPr>
      <w:r w:rsidRPr="00D37ABD">
        <w:rPr>
          <w:b/>
        </w:rPr>
        <w:t xml:space="preserve">3.1 </w:t>
      </w:r>
      <w:r w:rsidR="00557AED" w:rsidRPr="00D37ABD">
        <w:rPr>
          <w:b/>
        </w:rPr>
        <w:t xml:space="preserve">Documentación de presentación obligatoria </w:t>
      </w:r>
    </w:p>
    <w:p w:rsidR="00EB2CE6" w:rsidRPr="00D37ABD" w:rsidRDefault="00EB2CE6" w:rsidP="00EB2CE6">
      <w:pPr>
        <w:pStyle w:val="Prrafodelista"/>
        <w:autoSpaceDE w:val="0"/>
        <w:autoSpaceDN w:val="0"/>
        <w:adjustRightInd w:val="0"/>
        <w:ind w:left="0"/>
        <w:jc w:val="both"/>
        <w:rPr>
          <w:b/>
        </w:rPr>
      </w:pPr>
    </w:p>
    <w:p w:rsidR="00EB2CE6" w:rsidRPr="00D37ABD" w:rsidRDefault="00EB2CE6" w:rsidP="001C5807">
      <w:pPr>
        <w:pStyle w:val="Prrafodelista"/>
        <w:numPr>
          <w:ilvl w:val="0"/>
          <w:numId w:val="27"/>
        </w:numPr>
        <w:autoSpaceDE w:val="0"/>
        <w:autoSpaceDN w:val="0"/>
        <w:adjustRightInd w:val="0"/>
        <w:jc w:val="both"/>
      </w:pPr>
      <w:r w:rsidRPr="00D37ABD">
        <w:t>De la revisión del numeral 2.2.1</w:t>
      </w:r>
      <w:r w:rsidR="00647F8F" w:rsidRPr="00D37ABD">
        <w:t>.2</w:t>
      </w:r>
      <w:r w:rsidRPr="00D37ABD">
        <w:t xml:space="preserve"> del Capítulo II “Del procedimiento de selección” de la Sección Específica se advierte que se ha precisado lo siguiente: </w:t>
      </w:r>
    </w:p>
    <w:p w:rsidR="00EB2CE6" w:rsidRPr="00D37ABD" w:rsidRDefault="00EB2CE6" w:rsidP="00EB2CE6">
      <w:pPr>
        <w:pStyle w:val="Prrafodelista"/>
        <w:autoSpaceDE w:val="0"/>
        <w:autoSpaceDN w:val="0"/>
        <w:adjustRightInd w:val="0"/>
        <w:jc w:val="both"/>
      </w:pPr>
    </w:p>
    <w:p w:rsidR="00647F8F" w:rsidRPr="00D37ABD" w:rsidRDefault="00647F8F" w:rsidP="00647F8F">
      <w:pPr>
        <w:pStyle w:val="Prrafodelista"/>
        <w:widowControl w:val="0"/>
        <w:numPr>
          <w:ilvl w:val="3"/>
          <w:numId w:val="24"/>
        </w:numPr>
        <w:ind w:hanging="294"/>
        <w:jc w:val="both"/>
        <w:rPr>
          <w:b/>
          <w:i/>
          <w:color w:val="0000FF"/>
          <w:lang w:val="es-ES_tradnl"/>
        </w:rPr>
      </w:pPr>
      <w:r w:rsidRPr="00D37ABD">
        <w:rPr>
          <w:b/>
          <w:i/>
          <w:lang w:val="es-ES_tradnl"/>
        </w:rPr>
        <w:t>Documentos para acreditar los requisitos de calificación</w:t>
      </w:r>
    </w:p>
    <w:p w:rsidR="00647F8F" w:rsidRPr="00D37ABD" w:rsidRDefault="00647F8F" w:rsidP="00647F8F">
      <w:pPr>
        <w:widowControl w:val="0"/>
        <w:jc w:val="both"/>
        <w:rPr>
          <w:b/>
          <w:i/>
          <w:lang w:val="es-ES_tradnl"/>
        </w:rPr>
      </w:pPr>
    </w:p>
    <w:p w:rsidR="00647F8F" w:rsidRPr="00D37ABD" w:rsidRDefault="00647F8F" w:rsidP="00647F8F">
      <w:pPr>
        <w:pStyle w:val="WW-Textosinformato"/>
        <w:widowControl w:val="0"/>
        <w:numPr>
          <w:ilvl w:val="0"/>
          <w:numId w:val="23"/>
        </w:numPr>
        <w:tabs>
          <w:tab w:val="left" w:pos="993"/>
          <w:tab w:val="center" w:pos="1843"/>
          <w:tab w:val="right" w:pos="11163"/>
        </w:tabs>
        <w:ind w:left="1843" w:hanging="425"/>
        <w:jc w:val="both"/>
        <w:rPr>
          <w:rFonts w:ascii="Times New Roman" w:hAnsi="Times New Roman"/>
          <w:i/>
          <w:sz w:val="24"/>
          <w:szCs w:val="24"/>
          <w:lang w:val="es-ES"/>
        </w:rPr>
      </w:pPr>
      <w:r w:rsidRPr="00D37ABD">
        <w:rPr>
          <w:rFonts w:ascii="Times New Roman" w:hAnsi="Times New Roman"/>
          <w:b/>
          <w:i/>
          <w:sz w:val="24"/>
          <w:szCs w:val="24"/>
          <w:lang w:val="es-ES_tradnl"/>
        </w:rPr>
        <w:t>Capacidad legal:</w:t>
      </w:r>
    </w:p>
    <w:p w:rsidR="00647F8F" w:rsidRPr="00D37ABD" w:rsidRDefault="00647F8F" w:rsidP="00647F8F">
      <w:pPr>
        <w:pStyle w:val="WW-Textosinformato"/>
        <w:widowControl w:val="0"/>
        <w:tabs>
          <w:tab w:val="left" w:pos="993"/>
          <w:tab w:val="center" w:pos="1843"/>
          <w:tab w:val="right" w:pos="11163"/>
        </w:tabs>
        <w:ind w:left="1843"/>
        <w:jc w:val="both"/>
        <w:rPr>
          <w:rFonts w:ascii="Times New Roman" w:hAnsi="Times New Roman"/>
          <w:b/>
          <w:i/>
          <w:sz w:val="24"/>
          <w:szCs w:val="24"/>
          <w:lang w:val="es-ES_tradnl"/>
        </w:rPr>
      </w:pPr>
      <w:r w:rsidRPr="00D37ABD">
        <w:rPr>
          <w:rFonts w:ascii="Times New Roman" w:hAnsi="Times New Roman"/>
          <w:b/>
          <w:i/>
          <w:sz w:val="24"/>
          <w:szCs w:val="24"/>
          <w:lang w:val="es-ES_tradnl"/>
        </w:rPr>
        <w:t>(…)</w:t>
      </w:r>
    </w:p>
    <w:p w:rsidR="00647F8F" w:rsidRPr="00D37ABD" w:rsidRDefault="00647F8F" w:rsidP="00647F8F">
      <w:pPr>
        <w:pStyle w:val="WW-Textosinformato"/>
        <w:widowControl w:val="0"/>
        <w:tabs>
          <w:tab w:val="left" w:pos="993"/>
          <w:tab w:val="center" w:pos="1843"/>
          <w:tab w:val="right" w:pos="11163"/>
        </w:tabs>
        <w:ind w:left="1843"/>
        <w:jc w:val="both"/>
        <w:rPr>
          <w:rFonts w:ascii="Times New Roman" w:hAnsi="Times New Roman"/>
          <w:b/>
          <w:i/>
          <w:sz w:val="24"/>
          <w:szCs w:val="24"/>
          <w:lang w:val="es-ES_tradnl"/>
        </w:rPr>
      </w:pPr>
    </w:p>
    <w:p w:rsidR="00647F8F" w:rsidRPr="00D37ABD" w:rsidRDefault="00647F8F" w:rsidP="00647F8F">
      <w:pPr>
        <w:pStyle w:val="Prrafodelista"/>
        <w:widowControl w:val="0"/>
        <w:numPr>
          <w:ilvl w:val="0"/>
          <w:numId w:val="26"/>
        </w:numPr>
        <w:ind w:left="1843" w:hanging="425"/>
        <w:jc w:val="both"/>
        <w:rPr>
          <w:i/>
          <w:strike/>
          <w:lang w:val="es-ES" w:eastAsia="es-ES"/>
        </w:rPr>
      </w:pPr>
      <w:r w:rsidRPr="00D37ABD">
        <w:rPr>
          <w:i/>
          <w:lang w:val="es-ES" w:eastAsia="es-ES"/>
        </w:rPr>
        <w:t>Copia de la constancia de inscripción en el Registro Nacional de Proveedores, vigente.</w:t>
      </w:r>
    </w:p>
    <w:p w:rsidR="00EB2CE6" w:rsidRPr="00D37ABD" w:rsidRDefault="00EB2CE6" w:rsidP="00EB2CE6">
      <w:pPr>
        <w:pStyle w:val="Prrafodelista"/>
        <w:autoSpaceDE w:val="0"/>
        <w:autoSpaceDN w:val="0"/>
        <w:adjustRightInd w:val="0"/>
        <w:ind w:left="0"/>
        <w:jc w:val="both"/>
      </w:pPr>
    </w:p>
    <w:p w:rsidR="00C83F5D" w:rsidRPr="00D37ABD" w:rsidRDefault="00C83F5D" w:rsidP="00C83F5D">
      <w:pPr>
        <w:pStyle w:val="Prrafodelista"/>
        <w:autoSpaceDE w:val="0"/>
        <w:autoSpaceDN w:val="0"/>
        <w:adjustRightInd w:val="0"/>
        <w:jc w:val="both"/>
      </w:pPr>
      <w:r>
        <w:t xml:space="preserve">Asimismo, se advierte que en el numeral 3.2 </w:t>
      </w:r>
      <w:r w:rsidRPr="00D37ABD">
        <w:t>del Capítulo II</w:t>
      </w:r>
      <w:r>
        <w:t>I</w:t>
      </w:r>
      <w:r w:rsidRPr="00D37ABD">
        <w:t xml:space="preserve"> “</w:t>
      </w:r>
      <w:r>
        <w:t>Requerimiento</w:t>
      </w:r>
      <w:r w:rsidRPr="00D37ABD">
        <w:t xml:space="preserve">” de la Sección Específica se </w:t>
      </w:r>
      <w:r>
        <w:t>señala</w:t>
      </w:r>
      <w:r w:rsidRPr="00D37ABD">
        <w:t xml:space="preserve"> lo siguiente: </w:t>
      </w:r>
    </w:p>
    <w:p w:rsidR="00C83F5D" w:rsidRDefault="00C83F5D" w:rsidP="00060527">
      <w:pPr>
        <w:pStyle w:val="Prrafodelista"/>
        <w:widowControl w:val="0"/>
        <w:jc w:val="both"/>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2268"/>
        <w:gridCol w:w="4360"/>
      </w:tblGrid>
      <w:tr w:rsidR="002D36B7" w:rsidTr="00807B85">
        <w:tc>
          <w:tcPr>
            <w:tcW w:w="806" w:type="dxa"/>
          </w:tcPr>
          <w:p w:rsidR="002D36B7" w:rsidRPr="00807B85" w:rsidRDefault="002D36B7" w:rsidP="00807B85">
            <w:pPr>
              <w:pStyle w:val="Prrafodelista"/>
              <w:widowControl w:val="0"/>
              <w:ind w:left="0"/>
              <w:jc w:val="both"/>
              <w:rPr>
                <w:i/>
                <w:sz w:val="18"/>
                <w:szCs w:val="18"/>
              </w:rPr>
            </w:pPr>
            <w:r w:rsidRPr="00807B85">
              <w:rPr>
                <w:i/>
                <w:sz w:val="18"/>
                <w:szCs w:val="18"/>
              </w:rPr>
              <w:t>A</w:t>
            </w:r>
          </w:p>
        </w:tc>
        <w:tc>
          <w:tcPr>
            <w:tcW w:w="2268" w:type="dxa"/>
          </w:tcPr>
          <w:p w:rsidR="002D36B7" w:rsidRPr="00807B85" w:rsidRDefault="002D36B7" w:rsidP="00807B85">
            <w:pPr>
              <w:pStyle w:val="Prrafodelista"/>
              <w:widowControl w:val="0"/>
              <w:ind w:left="0"/>
              <w:jc w:val="both"/>
              <w:rPr>
                <w:i/>
                <w:sz w:val="18"/>
                <w:szCs w:val="18"/>
              </w:rPr>
            </w:pPr>
            <w:r w:rsidRPr="00807B85">
              <w:rPr>
                <w:i/>
                <w:sz w:val="18"/>
                <w:szCs w:val="18"/>
              </w:rPr>
              <w:t>CAPACIDAD LEGAL - OBLIGATORIO</w:t>
            </w:r>
          </w:p>
        </w:tc>
        <w:tc>
          <w:tcPr>
            <w:tcW w:w="4360" w:type="dxa"/>
          </w:tcPr>
          <w:p w:rsidR="002D36B7" w:rsidRPr="00807B85" w:rsidRDefault="002D36B7" w:rsidP="00807B85">
            <w:pPr>
              <w:pStyle w:val="Prrafodelista"/>
              <w:widowControl w:val="0"/>
              <w:ind w:left="0"/>
              <w:jc w:val="both"/>
              <w:rPr>
                <w:i/>
                <w:sz w:val="18"/>
                <w:szCs w:val="18"/>
              </w:rPr>
            </w:pPr>
          </w:p>
        </w:tc>
      </w:tr>
      <w:tr w:rsidR="002D36B7" w:rsidTr="00807B85">
        <w:tc>
          <w:tcPr>
            <w:tcW w:w="806" w:type="dxa"/>
          </w:tcPr>
          <w:p w:rsidR="002D36B7" w:rsidRPr="00807B85" w:rsidRDefault="002D36B7" w:rsidP="00807B85">
            <w:pPr>
              <w:pStyle w:val="Prrafodelista"/>
              <w:widowControl w:val="0"/>
              <w:ind w:left="0"/>
              <w:jc w:val="both"/>
              <w:rPr>
                <w:i/>
                <w:sz w:val="18"/>
                <w:szCs w:val="18"/>
              </w:rPr>
            </w:pPr>
            <w:r w:rsidRPr="00807B85">
              <w:rPr>
                <w:i/>
                <w:sz w:val="18"/>
                <w:szCs w:val="18"/>
              </w:rPr>
              <w:t>(…)</w:t>
            </w:r>
          </w:p>
          <w:p w:rsidR="002D36B7" w:rsidRPr="00807B85" w:rsidRDefault="002D36B7" w:rsidP="00807B85">
            <w:pPr>
              <w:pStyle w:val="Prrafodelista"/>
              <w:widowControl w:val="0"/>
              <w:ind w:left="0"/>
              <w:jc w:val="both"/>
              <w:rPr>
                <w:i/>
                <w:sz w:val="18"/>
                <w:szCs w:val="18"/>
              </w:rPr>
            </w:pPr>
            <w:r w:rsidRPr="00807B85">
              <w:rPr>
                <w:i/>
                <w:sz w:val="18"/>
                <w:szCs w:val="18"/>
              </w:rPr>
              <w:t>A.2</w:t>
            </w:r>
          </w:p>
        </w:tc>
        <w:tc>
          <w:tcPr>
            <w:tcW w:w="2268" w:type="dxa"/>
          </w:tcPr>
          <w:p w:rsidR="002D36B7" w:rsidRPr="00807B85" w:rsidRDefault="002D36B7" w:rsidP="00807B85">
            <w:pPr>
              <w:pStyle w:val="Prrafodelista"/>
              <w:widowControl w:val="0"/>
              <w:ind w:left="0"/>
              <w:jc w:val="both"/>
              <w:rPr>
                <w:i/>
                <w:sz w:val="18"/>
                <w:szCs w:val="18"/>
              </w:rPr>
            </w:pPr>
          </w:p>
          <w:p w:rsidR="002D36B7" w:rsidRPr="00807B85" w:rsidRDefault="002D36B7" w:rsidP="00807B85">
            <w:pPr>
              <w:pStyle w:val="Prrafodelista"/>
              <w:widowControl w:val="0"/>
              <w:ind w:left="0"/>
              <w:jc w:val="both"/>
              <w:rPr>
                <w:i/>
                <w:sz w:val="18"/>
                <w:szCs w:val="18"/>
              </w:rPr>
            </w:pPr>
            <w:r w:rsidRPr="00807B85">
              <w:rPr>
                <w:i/>
                <w:sz w:val="18"/>
                <w:szCs w:val="18"/>
              </w:rPr>
              <w:t>HABILITACIÓN</w:t>
            </w:r>
          </w:p>
        </w:tc>
        <w:tc>
          <w:tcPr>
            <w:tcW w:w="4360" w:type="dxa"/>
          </w:tcPr>
          <w:p w:rsidR="002D36B7" w:rsidRPr="00807B85" w:rsidRDefault="002D36B7" w:rsidP="00807B85">
            <w:pPr>
              <w:pStyle w:val="Prrafodelista"/>
              <w:widowControl w:val="0"/>
              <w:ind w:left="0"/>
              <w:jc w:val="both"/>
              <w:rPr>
                <w:i/>
                <w:sz w:val="18"/>
                <w:szCs w:val="18"/>
              </w:rPr>
            </w:pPr>
          </w:p>
          <w:p w:rsidR="002D36B7" w:rsidRPr="00807B85" w:rsidRDefault="002D36B7" w:rsidP="00807B85">
            <w:pPr>
              <w:pStyle w:val="Prrafodelista"/>
              <w:widowControl w:val="0"/>
              <w:ind w:left="0"/>
              <w:jc w:val="both"/>
              <w:rPr>
                <w:i/>
                <w:sz w:val="18"/>
                <w:szCs w:val="18"/>
              </w:rPr>
            </w:pPr>
            <w:r w:rsidRPr="00807B85">
              <w:rPr>
                <w:i/>
                <w:sz w:val="18"/>
                <w:szCs w:val="18"/>
              </w:rPr>
              <w:t>Requisitos:</w:t>
            </w:r>
          </w:p>
          <w:p w:rsidR="002D36B7" w:rsidRPr="00807B85" w:rsidRDefault="002D36B7" w:rsidP="00807B85">
            <w:pPr>
              <w:pStyle w:val="Prrafodelista"/>
              <w:widowControl w:val="0"/>
              <w:ind w:left="0"/>
              <w:jc w:val="both"/>
              <w:rPr>
                <w:i/>
                <w:sz w:val="18"/>
                <w:szCs w:val="18"/>
              </w:rPr>
            </w:pPr>
            <w:r w:rsidRPr="00807B85">
              <w:rPr>
                <w:i/>
                <w:sz w:val="18"/>
                <w:szCs w:val="18"/>
              </w:rPr>
              <w:t>Estar inscrito en el Registro Nacional de Proveedores</w:t>
            </w:r>
          </w:p>
        </w:tc>
      </w:tr>
    </w:tbl>
    <w:p w:rsidR="00C83F5D" w:rsidRDefault="00C83F5D" w:rsidP="00060527">
      <w:pPr>
        <w:pStyle w:val="Prrafodelista"/>
        <w:widowControl w:val="0"/>
        <w:jc w:val="both"/>
      </w:pPr>
    </w:p>
    <w:p w:rsidR="00D6676F" w:rsidRDefault="00EB2CE6" w:rsidP="00060527">
      <w:pPr>
        <w:pStyle w:val="Prrafodelista"/>
        <w:widowControl w:val="0"/>
        <w:jc w:val="both"/>
        <w:rPr>
          <w:rFonts w:eastAsia="Calibri"/>
          <w:color w:val="000000"/>
          <w:lang w:val="es-PE" w:eastAsia="es-PE"/>
        </w:rPr>
      </w:pPr>
      <w:r w:rsidRPr="00D37ABD">
        <w:t>Al respecto, cabe señalar que</w:t>
      </w:r>
      <w:r w:rsidR="00501E63" w:rsidRPr="00D37ABD">
        <w:rPr>
          <w:iCs/>
        </w:rPr>
        <w:t>, de conformidad co</w:t>
      </w:r>
      <w:r w:rsidR="001A4123" w:rsidRPr="00D37ABD">
        <w:rPr>
          <w:iCs/>
        </w:rPr>
        <w:t>n lo dispuesto en el artículo 34</w:t>
      </w:r>
      <w:r w:rsidR="00501E63" w:rsidRPr="00D37ABD">
        <w:rPr>
          <w:iCs/>
        </w:rPr>
        <w:t xml:space="preserve"> del Reglamento, las personas naturales o jurídicas que</w:t>
      </w:r>
      <w:r w:rsidR="001A4123" w:rsidRPr="00D37ABD">
        <w:rPr>
          <w:iCs/>
        </w:rPr>
        <w:t xml:space="preserve"> deseen participar en un procedimiento</w:t>
      </w:r>
      <w:r w:rsidR="00501E63" w:rsidRPr="00D37ABD">
        <w:rPr>
          <w:iCs/>
        </w:rPr>
        <w:t xml:space="preserve"> de selección convocado dentro de los alcances de la Ley y su Reglamento deberán contar con inscripción vigente en el Registro Nacional de Proveedores (RNP) confo</w:t>
      </w:r>
      <w:r w:rsidR="001A4123" w:rsidRPr="00D37ABD">
        <w:rPr>
          <w:iCs/>
        </w:rPr>
        <w:t>rme al objeto de la contratación</w:t>
      </w:r>
      <w:r w:rsidR="00501E63" w:rsidRPr="00D37ABD">
        <w:rPr>
          <w:iCs/>
        </w:rPr>
        <w:t xml:space="preserve">. </w:t>
      </w:r>
      <w:r w:rsidR="005A3179" w:rsidRPr="00D37ABD">
        <w:rPr>
          <w:iCs/>
        </w:rPr>
        <w:t>Asimismo, de acuerdo a lo dispuesto en el artículo 234 del Reglamento, l</w:t>
      </w:r>
      <w:r w:rsidR="00501E63" w:rsidRPr="00D37ABD">
        <w:rPr>
          <w:iCs/>
        </w:rPr>
        <w:t xml:space="preserve">a Entidad </w:t>
      </w:r>
      <w:r w:rsidR="005A3179" w:rsidRPr="00D37ABD">
        <w:rPr>
          <w:iCs/>
        </w:rPr>
        <w:t>será responsable de verificar</w:t>
      </w:r>
      <w:r w:rsidR="00501E63" w:rsidRPr="00D37ABD">
        <w:rPr>
          <w:iCs/>
        </w:rPr>
        <w:t xml:space="preserve"> la vigencia de la inscripción en el RNP </w:t>
      </w:r>
      <w:r w:rsidR="005A3179" w:rsidRPr="00D37ABD">
        <w:rPr>
          <w:iCs/>
        </w:rPr>
        <w:t>al registrarse como participante, en la presentación de ofertas, en el otorgamiento de la buena pro y en el perfeccionamiento del contrato.</w:t>
      </w:r>
      <w:r w:rsidR="001C5807" w:rsidRPr="00D37ABD">
        <w:rPr>
          <w:iCs/>
        </w:rPr>
        <w:t xml:space="preserve"> </w:t>
      </w:r>
      <w:r w:rsidR="001C5807" w:rsidRPr="00D37ABD">
        <w:rPr>
          <w:rFonts w:eastAsia="Calibri"/>
          <w:color w:val="000000"/>
          <w:lang w:val="es-PE" w:eastAsia="es-PE"/>
        </w:rPr>
        <w:t xml:space="preserve">En consecuencia, </w:t>
      </w:r>
      <w:r w:rsidR="00D6676F">
        <w:rPr>
          <w:rFonts w:eastAsia="Calibri"/>
          <w:color w:val="000000"/>
          <w:lang w:val="es-PE" w:eastAsia="es-PE"/>
        </w:rPr>
        <w:t xml:space="preserve">si con ocasión de la presentación de </w:t>
      </w:r>
      <w:r w:rsidR="00EE1BB1" w:rsidRPr="00D37ABD">
        <w:rPr>
          <w:rFonts w:eastAsia="Calibri"/>
          <w:color w:val="000000"/>
          <w:lang w:val="es-PE"/>
        </w:rPr>
        <w:t xml:space="preserve">los </w:t>
      </w:r>
      <w:r w:rsidR="00EE1BB1" w:rsidRPr="00D37ABD">
        <w:rPr>
          <w:rFonts w:eastAsia="Calibri"/>
          <w:i/>
          <w:color w:val="000000"/>
          <w:lang w:val="es-PE"/>
        </w:rPr>
        <w:t xml:space="preserve">“Documentos para acreditar los requisitos de calificación” </w:t>
      </w:r>
      <w:r w:rsidR="00EE1BB1" w:rsidRPr="00D37ABD">
        <w:rPr>
          <w:rFonts w:eastAsia="Calibri"/>
          <w:color w:val="000000"/>
          <w:lang w:val="es-PE"/>
        </w:rPr>
        <w:t>en la sección de</w:t>
      </w:r>
      <w:r w:rsidR="00EE1BB1" w:rsidRPr="00D37ABD">
        <w:rPr>
          <w:rFonts w:eastAsia="Calibri"/>
          <w:i/>
          <w:color w:val="000000"/>
          <w:lang w:val="es-PE"/>
        </w:rPr>
        <w:t xml:space="preserve"> “Capacidad legal”</w:t>
      </w:r>
      <w:r w:rsidR="00EE1BB1">
        <w:rPr>
          <w:lang w:val="es-ES" w:eastAsia="es-ES"/>
        </w:rPr>
        <w:t xml:space="preserve">, así como de los </w:t>
      </w:r>
      <w:r w:rsidR="00EE1BB1" w:rsidRPr="008A12D8">
        <w:rPr>
          <w:i/>
          <w:lang w:val="es-ES" w:eastAsia="es-ES"/>
        </w:rPr>
        <w:t>“Requisitos de calificación”</w:t>
      </w:r>
      <w:r w:rsidR="00EE1BB1">
        <w:rPr>
          <w:lang w:val="es-ES" w:eastAsia="es-ES"/>
        </w:rPr>
        <w:t xml:space="preserve"> en relación a su </w:t>
      </w:r>
      <w:r w:rsidR="00EE1BB1" w:rsidRPr="008A12D8">
        <w:rPr>
          <w:i/>
          <w:lang w:val="es-ES" w:eastAsia="es-ES"/>
        </w:rPr>
        <w:t>“Habilitación”</w:t>
      </w:r>
      <w:r w:rsidR="00EE1BB1">
        <w:rPr>
          <w:i/>
          <w:lang w:val="es-ES" w:eastAsia="es-ES"/>
        </w:rPr>
        <w:t xml:space="preserve">, </w:t>
      </w:r>
      <w:r w:rsidR="00EE1BB1">
        <w:rPr>
          <w:lang w:val="es-ES" w:eastAsia="es-ES"/>
        </w:rPr>
        <w:t xml:space="preserve">en específico </w:t>
      </w:r>
      <w:r w:rsidR="00D6676F">
        <w:rPr>
          <w:rFonts w:eastAsia="Calibri"/>
          <w:color w:val="000000"/>
          <w:lang w:val="es-PE" w:eastAsia="es-PE"/>
        </w:rPr>
        <w:t xml:space="preserve">la </w:t>
      </w:r>
      <w:r w:rsidR="00D6676F" w:rsidRPr="00D37ABD">
        <w:rPr>
          <w:lang w:val="es-ES" w:eastAsia="es-ES"/>
        </w:rPr>
        <w:t>constancia de inscripción en el R</w:t>
      </w:r>
      <w:r w:rsidR="00D6676F">
        <w:rPr>
          <w:lang w:val="es-ES" w:eastAsia="es-ES"/>
        </w:rPr>
        <w:t>egistro Nacional de Proveedores</w:t>
      </w:r>
      <w:r w:rsidR="00D6676F" w:rsidRPr="00D37ABD">
        <w:rPr>
          <w:lang w:val="es-ES" w:eastAsia="es-ES"/>
        </w:rPr>
        <w:t xml:space="preserve"> vigente</w:t>
      </w:r>
      <w:r w:rsidR="00D6676F">
        <w:rPr>
          <w:rFonts w:eastAsia="Calibri"/>
          <w:color w:val="000000"/>
          <w:lang w:val="es-PE" w:eastAsia="es-PE"/>
        </w:rPr>
        <w:t xml:space="preserve">, algún postor omite dicha copia, la Entidad no podrá descalificar por ser ésta una obligación </w:t>
      </w:r>
      <w:r w:rsidR="00EE1BB1">
        <w:rPr>
          <w:rFonts w:eastAsia="Calibri"/>
          <w:color w:val="000000"/>
          <w:lang w:val="es-PE" w:eastAsia="es-PE"/>
        </w:rPr>
        <w:t>de</w:t>
      </w:r>
      <w:r w:rsidR="00D6676F">
        <w:rPr>
          <w:rFonts w:eastAsia="Calibri"/>
          <w:color w:val="000000"/>
          <w:lang w:val="es-PE" w:eastAsia="es-PE"/>
        </w:rPr>
        <w:t xml:space="preserve"> la </w:t>
      </w:r>
      <w:r w:rsidR="00EE1BB1">
        <w:rPr>
          <w:rFonts w:eastAsia="Calibri"/>
          <w:color w:val="000000"/>
          <w:lang w:val="es-PE" w:eastAsia="es-PE"/>
        </w:rPr>
        <w:t xml:space="preserve">Entidad relacionada a la </w:t>
      </w:r>
      <w:r w:rsidR="00D6676F">
        <w:rPr>
          <w:rFonts w:eastAsia="Calibri"/>
          <w:color w:val="000000"/>
          <w:lang w:val="es-PE" w:eastAsia="es-PE"/>
        </w:rPr>
        <w:t>verificación respec</w:t>
      </w:r>
      <w:r w:rsidR="00EE1BB1">
        <w:rPr>
          <w:rFonts w:eastAsia="Calibri"/>
          <w:color w:val="000000"/>
          <w:lang w:val="es-PE" w:eastAsia="es-PE"/>
        </w:rPr>
        <w:t>t</w:t>
      </w:r>
      <w:r w:rsidR="00D6676F">
        <w:rPr>
          <w:rFonts w:eastAsia="Calibri"/>
          <w:color w:val="000000"/>
          <w:lang w:val="es-PE" w:eastAsia="es-PE"/>
        </w:rPr>
        <w:t>iva.</w:t>
      </w:r>
    </w:p>
    <w:p w:rsidR="00EB2CE6" w:rsidRPr="00D37ABD" w:rsidRDefault="00EB2CE6" w:rsidP="00060527">
      <w:pPr>
        <w:pStyle w:val="Prrafodelista"/>
        <w:autoSpaceDE w:val="0"/>
        <w:autoSpaceDN w:val="0"/>
        <w:adjustRightInd w:val="0"/>
        <w:ind w:left="0"/>
        <w:jc w:val="both"/>
        <w:rPr>
          <w:rFonts w:eastAsia="Calibri"/>
          <w:i/>
          <w:lang w:eastAsia="en-US"/>
        </w:rPr>
      </w:pPr>
    </w:p>
    <w:p w:rsidR="001C5807" w:rsidRPr="00D37ABD" w:rsidRDefault="001C5807" w:rsidP="001C5807">
      <w:pPr>
        <w:pStyle w:val="Prrafodelista"/>
        <w:numPr>
          <w:ilvl w:val="0"/>
          <w:numId w:val="26"/>
        </w:numPr>
        <w:autoSpaceDE w:val="0"/>
        <w:autoSpaceDN w:val="0"/>
        <w:adjustRightInd w:val="0"/>
        <w:ind w:left="719" w:hanging="435"/>
        <w:jc w:val="both"/>
      </w:pPr>
      <w:r w:rsidRPr="00D37ABD">
        <w:t xml:space="preserve">De la revisión del numeral 2.2.1.2 del Capítulo II “Del procedimiento de selección” de la Sección Específica se advierte que se ha precisado lo siguiente: </w:t>
      </w:r>
    </w:p>
    <w:p w:rsidR="001C5807" w:rsidRPr="00D37ABD" w:rsidRDefault="001C5807" w:rsidP="001C5807">
      <w:pPr>
        <w:pStyle w:val="Prrafodelista"/>
        <w:autoSpaceDE w:val="0"/>
        <w:autoSpaceDN w:val="0"/>
        <w:adjustRightInd w:val="0"/>
        <w:jc w:val="both"/>
      </w:pPr>
    </w:p>
    <w:p w:rsidR="001C5807" w:rsidRPr="00D37ABD" w:rsidRDefault="00D37ABD" w:rsidP="001C5807">
      <w:pPr>
        <w:pStyle w:val="Prrafodelista"/>
        <w:widowControl w:val="0"/>
        <w:numPr>
          <w:ilvl w:val="3"/>
          <w:numId w:val="28"/>
        </w:numPr>
        <w:jc w:val="both"/>
        <w:rPr>
          <w:b/>
          <w:i/>
          <w:color w:val="0000FF"/>
          <w:lang w:val="es-ES_tradnl"/>
        </w:rPr>
      </w:pPr>
      <w:r>
        <w:rPr>
          <w:b/>
          <w:i/>
          <w:lang w:val="es-ES_tradnl"/>
        </w:rPr>
        <w:t>“</w:t>
      </w:r>
      <w:r w:rsidR="001C5807" w:rsidRPr="00D37ABD">
        <w:rPr>
          <w:b/>
          <w:i/>
          <w:lang w:val="es-ES_tradnl"/>
        </w:rPr>
        <w:t>Documentos para acreditar los requisitos de calificación</w:t>
      </w:r>
    </w:p>
    <w:p w:rsidR="001C5807" w:rsidRPr="00D37ABD" w:rsidRDefault="001C5807" w:rsidP="001C5807">
      <w:pPr>
        <w:widowControl w:val="0"/>
        <w:jc w:val="both"/>
        <w:rPr>
          <w:b/>
          <w:i/>
          <w:lang w:val="es-ES_tradnl"/>
        </w:rPr>
      </w:pPr>
    </w:p>
    <w:p w:rsidR="001C5807" w:rsidRPr="00D37ABD" w:rsidRDefault="001C5807" w:rsidP="001C5807">
      <w:pPr>
        <w:pStyle w:val="WW-Textosinformato"/>
        <w:widowControl w:val="0"/>
        <w:numPr>
          <w:ilvl w:val="0"/>
          <w:numId w:val="30"/>
        </w:numPr>
        <w:tabs>
          <w:tab w:val="left" w:pos="993"/>
          <w:tab w:val="center" w:pos="1843"/>
          <w:tab w:val="right" w:pos="11163"/>
        </w:tabs>
        <w:jc w:val="both"/>
        <w:rPr>
          <w:rFonts w:ascii="Times New Roman" w:hAnsi="Times New Roman"/>
          <w:i/>
          <w:sz w:val="24"/>
          <w:szCs w:val="24"/>
          <w:lang w:val="es-ES"/>
        </w:rPr>
      </w:pPr>
      <w:r w:rsidRPr="00D37ABD">
        <w:rPr>
          <w:rFonts w:ascii="Times New Roman" w:hAnsi="Times New Roman"/>
          <w:b/>
          <w:i/>
          <w:sz w:val="24"/>
          <w:szCs w:val="24"/>
          <w:lang w:val="es-ES_tradnl"/>
        </w:rPr>
        <w:t>Capacidad técnica y profesional</w:t>
      </w:r>
    </w:p>
    <w:p w:rsidR="001C5807" w:rsidRPr="00D37ABD" w:rsidRDefault="001C5807" w:rsidP="001C5807">
      <w:pPr>
        <w:pStyle w:val="WW-Textosinformato"/>
        <w:widowControl w:val="0"/>
        <w:tabs>
          <w:tab w:val="left" w:pos="993"/>
          <w:tab w:val="center" w:pos="1843"/>
          <w:tab w:val="right" w:pos="11163"/>
        </w:tabs>
        <w:ind w:left="1068"/>
        <w:jc w:val="both"/>
        <w:rPr>
          <w:rFonts w:ascii="Times New Roman" w:hAnsi="Times New Roman"/>
          <w:i/>
          <w:sz w:val="24"/>
          <w:szCs w:val="24"/>
          <w:lang w:val="es-ES"/>
        </w:rPr>
      </w:pPr>
    </w:p>
    <w:p w:rsidR="001C5807" w:rsidRDefault="001C5807" w:rsidP="00EE1BB1">
      <w:pPr>
        <w:pStyle w:val="Prrafodelista"/>
        <w:widowControl w:val="0"/>
        <w:spacing w:after="160" w:line="276" w:lineRule="auto"/>
        <w:ind w:left="1068"/>
        <w:jc w:val="both"/>
        <w:rPr>
          <w:i/>
          <w:lang w:val="es-ES" w:eastAsia="es-ES"/>
        </w:rPr>
      </w:pPr>
      <w:r w:rsidRPr="00D37ABD">
        <w:rPr>
          <w:i/>
          <w:lang w:val="es-ES" w:eastAsia="es-ES"/>
        </w:rPr>
        <w:t>* Declaración jurada de que contará con la oficina equipada, medios de transporte, equipo topográfico, y producción de concreto (Formato libre)</w:t>
      </w:r>
      <w:r w:rsidR="00D37ABD">
        <w:rPr>
          <w:i/>
          <w:lang w:val="es-ES" w:eastAsia="es-ES"/>
        </w:rPr>
        <w:t>”</w:t>
      </w:r>
    </w:p>
    <w:p w:rsidR="00EE1BB1" w:rsidRPr="00D37ABD" w:rsidRDefault="00EE1BB1" w:rsidP="00EE1BB1">
      <w:pPr>
        <w:pStyle w:val="Prrafodelista"/>
        <w:widowControl w:val="0"/>
        <w:spacing w:after="160" w:line="276" w:lineRule="auto"/>
        <w:ind w:left="1068"/>
        <w:jc w:val="both"/>
        <w:rPr>
          <w:i/>
          <w:lang w:val="es-ES" w:eastAsia="es-ES"/>
        </w:rPr>
      </w:pPr>
    </w:p>
    <w:p w:rsidR="00EB2CE6" w:rsidRDefault="00060527" w:rsidP="008A12D8">
      <w:pPr>
        <w:pStyle w:val="Prrafodelista"/>
        <w:widowControl w:val="0"/>
        <w:ind w:left="708"/>
        <w:jc w:val="both"/>
        <w:rPr>
          <w:lang w:val="es-ES" w:eastAsia="es-ES"/>
        </w:rPr>
      </w:pPr>
      <w:r w:rsidRPr="00D37ABD">
        <w:t>Al respecto, cabe señalar que</w:t>
      </w:r>
      <w:r w:rsidRPr="00D37ABD">
        <w:rPr>
          <w:iCs/>
        </w:rPr>
        <w:t xml:space="preserve">, de conformidad con lo dispuesto en las Bases Estándar de Concurso Público para la Contratación de Servicios en </w:t>
      </w:r>
      <w:r w:rsidRPr="00D37ABD">
        <w:rPr>
          <w:iCs/>
        </w:rPr>
        <w:lastRenderedPageBreak/>
        <w:t>General, la acreditación de</w:t>
      </w:r>
      <w:r w:rsidR="00D37ABD">
        <w:rPr>
          <w:iCs/>
        </w:rPr>
        <w:t xml:space="preserve"> la “</w:t>
      </w:r>
      <w:r w:rsidR="00D37ABD" w:rsidRPr="00D37ABD">
        <w:rPr>
          <w:i/>
          <w:iCs/>
        </w:rPr>
        <w:t>Capacidad técnica y profesiona</w:t>
      </w:r>
      <w:r w:rsidRPr="00D37ABD">
        <w:rPr>
          <w:i/>
          <w:iCs/>
        </w:rPr>
        <w:t>l</w:t>
      </w:r>
      <w:r w:rsidR="00D37ABD">
        <w:rPr>
          <w:i/>
          <w:iCs/>
        </w:rPr>
        <w:t>”</w:t>
      </w:r>
      <w:r w:rsidR="00D37ABD">
        <w:rPr>
          <w:iCs/>
        </w:rPr>
        <w:t xml:space="preserve">, ya se encuentra establecida, es así que para el </w:t>
      </w:r>
      <w:r w:rsidR="00D37ABD" w:rsidRPr="00055E1C">
        <w:rPr>
          <w:i/>
          <w:iCs/>
        </w:rPr>
        <w:t>“E</w:t>
      </w:r>
      <w:r w:rsidRPr="00055E1C">
        <w:rPr>
          <w:i/>
          <w:iCs/>
        </w:rPr>
        <w:t>quipamiento</w:t>
      </w:r>
      <w:r w:rsidR="00D37ABD" w:rsidRPr="00055E1C">
        <w:rPr>
          <w:i/>
          <w:iCs/>
        </w:rPr>
        <w:t>”</w:t>
      </w:r>
      <w:r w:rsidRPr="00055E1C">
        <w:rPr>
          <w:i/>
          <w:iCs/>
        </w:rPr>
        <w:t>,</w:t>
      </w:r>
      <w:r w:rsidRPr="00D37ABD">
        <w:rPr>
          <w:iCs/>
        </w:rPr>
        <w:t xml:space="preserve"> </w:t>
      </w:r>
      <w:r w:rsidR="00055E1C">
        <w:rPr>
          <w:iCs/>
        </w:rPr>
        <w:t xml:space="preserve">la acreditación </w:t>
      </w:r>
      <w:r w:rsidRPr="00D37ABD">
        <w:rPr>
          <w:iCs/>
        </w:rPr>
        <w:t xml:space="preserve">será a través de la </w:t>
      </w:r>
      <w:r w:rsidRPr="00D37ABD">
        <w:rPr>
          <w:lang w:val="es-ES" w:eastAsia="es-ES"/>
        </w:rPr>
        <w:t xml:space="preserve">Copia de documentos que sustenten la propiedad, la posesión, el compromiso de compra venta o alquiler u otro documento que acredite la disponibilidad y/o cumplimiento de las especificaciones del equipamiento requerido. Asimismo, la acreditación de la </w:t>
      </w:r>
      <w:r w:rsidR="00055E1C" w:rsidRPr="00055E1C">
        <w:rPr>
          <w:i/>
          <w:lang w:val="es-ES" w:eastAsia="es-ES"/>
        </w:rPr>
        <w:t>“</w:t>
      </w:r>
      <w:r w:rsidR="00D37ABD" w:rsidRPr="00055E1C">
        <w:rPr>
          <w:i/>
          <w:lang w:val="es-ES" w:eastAsia="es-ES"/>
        </w:rPr>
        <w:t>Infraestructura</w:t>
      </w:r>
      <w:r w:rsidR="00055E1C" w:rsidRPr="00055E1C">
        <w:rPr>
          <w:i/>
          <w:lang w:val="es-ES" w:eastAsia="es-ES"/>
        </w:rPr>
        <w:t>”</w:t>
      </w:r>
      <w:r w:rsidR="00D37ABD" w:rsidRPr="00D37ABD">
        <w:rPr>
          <w:lang w:val="es-ES" w:eastAsia="es-ES"/>
        </w:rPr>
        <w:t xml:space="preserve"> será mediante Copia de documentos que sustenten la propiedad, la posesión, el compromiso de compra venta o alquiler u otro documento que acredite la disponibilidad y/o cumplimiento de las especificaciones de la infraestructura requerida. </w:t>
      </w:r>
    </w:p>
    <w:p w:rsidR="00EE1BB1" w:rsidRDefault="00EE1BB1" w:rsidP="008A12D8">
      <w:pPr>
        <w:pStyle w:val="Prrafodelista"/>
        <w:widowControl w:val="0"/>
        <w:ind w:left="708"/>
        <w:jc w:val="both"/>
        <w:rPr>
          <w:lang w:val="es-ES" w:eastAsia="es-ES"/>
        </w:rPr>
      </w:pPr>
    </w:p>
    <w:p w:rsidR="00055E1C" w:rsidRPr="00D37ABD" w:rsidRDefault="00055E1C" w:rsidP="008A12D8">
      <w:pPr>
        <w:pStyle w:val="Prrafodelista"/>
        <w:widowControl w:val="0"/>
        <w:ind w:left="708"/>
        <w:jc w:val="both"/>
        <w:rPr>
          <w:lang w:val="es-ES" w:eastAsia="es-ES"/>
        </w:rPr>
      </w:pPr>
      <w:r w:rsidRPr="00D37ABD">
        <w:rPr>
          <w:rFonts w:eastAsia="Calibri"/>
          <w:color w:val="000000"/>
          <w:lang w:val="es-PE" w:eastAsia="es-PE"/>
        </w:rPr>
        <w:t xml:space="preserve">En consecuencia, con ocasión de la integración de las Bases, deberá </w:t>
      </w:r>
      <w:r w:rsidRPr="00D37ABD">
        <w:rPr>
          <w:rFonts w:eastAsia="Calibri"/>
          <w:color w:val="000000"/>
          <w:lang w:val="es-PE"/>
        </w:rPr>
        <w:t xml:space="preserve">suprimirse de los </w:t>
      </w:r>
      <w:r w:rsidRPr="00D37ABD">
        <w:rPr>
          <w:rFonts w:eastAsia="Calibri"/>
          <w:i/>
          <w:color w:val="000000"/>
          <w:lang w:val="es-PE"/>
        </w:rPr>
        <w:t xml:space="preserve">“Documentos para acreditar los requisitos de calificación” </w:t>
      </w:r>
      <w:r w:rsidRPr="00D37ABD">
        <w:rPr>
          <w:rFonts w:eastAsia="Calibri"/>
          <w:color w:val="000000"/>
          <w:lang w:val="es-PE"/>
        </w:rPr>
        <w:t>en la sección de</w:t>
      </w:r>
      <w:r w:rsidRPr="00D37ABD">
        <w:rPr>
          <w:rFonts w:eastAsia="Calibri"/>
          <w:i/>
          <w:color w:val="000000"/>
          <w:lang w:val="es-PE"/>
        </w:rPr>
        <w:t xml:space="preserve"> “</w:t>
      </w:r>
      <w:r w:rsidRPr="00D37ABD">
        <w:rPr>
          <w:i/>
          <w:iCs/>
        </w:rPr>
        <w:t>Capacidad técnica y profesional</w:t>
      </w:r>
      <w:r w:rsidRPr="00D37ABD">
        <w:rPr>
          <w:rFonts w:eastAsia="Calibri"/>
          <w:i/>
          <w:color w:val="000000"/>
          <w:lang w:val="es-PE"/>
        </w:rPr>
        <w:t>”</w:t>
      </w:r>
      <w:r w:rsidRPr="00D37ABD">
        <w:rPr>
          <w:rFonts w:eastAsia="Calibri"/>
          <w:color w:val="000000"/>
          <w:lang w:val="es-PE"/>
        </w:rPr>
        <w:t xml:space="preserve"> la </w:t>
      </w:r>
      <w:r w:rsidRPr="00055E1C">
        <w:rPr>
          <w:lang w:val="es-ES" w:eastAsia="es-ES"/>
        </w:rPr>
        <w:t>Declaración jurada de que contará con la oficina equipada, medios de transporte, equipo topográfico, y producción de concreto (Formato libre)</w:t>
      </w:r>
      <w:r w:rsidR="008A12D8">
        <w:rPr>
          <w:lang w:val="es-ES" w:eastAsia="es-ES"/>
        </w:rPr>
        <w:t xml:space="preserve">, </w:t>
      </w:r>
      <w:r w:rsidR="008A12D8" w:rsidRPr="00326580">
        <w:rPr>
          <w:b/>
          <w:u w:val="single"/>
          <w:lang w:val="es-ES" w:eastAsia="es-ES"/>
        </w:rPr>
        <w:t xml:space="preserve">debiéndose </w:t>
      </w:r>
      <w:r w:rsidR="00326580" w:rsidRPr="00326580">
        <w:rPr>
          <w:b/>
          <w:u w:val="single"/>
          <w:lang w:val="es-ES" w:eastAsia="es-ES"/>
        </w:rPr>
        <w:t>adecuar</w:t>
      </w:r>
      <w:r w:rsidR="00EE1BB1">
        <w:rPr>
          <w:lang w:val="es-ES" w:eastAsia="es-ES"/>
        </w:rPr>
        <w:t xml:space="preserve"> el acápite </w:t>
      </w:r>
      <w:r w:rsidR="00EE1BB1" w:rsidRPr="00D37ABD">
        <w:rPr>
          <w:rFonts w:eastAsia="Calibri"/>
          <w:i/>
          <w:color w:val="000000"/>
          <w:lang w:val="es-PE"/>
        </w:rPr>
        <w:t>“</w:t>
      </w:r>
      <w:r w:rsidR="00EE1BB1" w:rsidRPr="00D37ABD">
        <w:rPr>
          <w:i/>
          <w:iCs/>
        </w:rPr>
        <w:t>Capacidad técnica y profesional</w:t>
      </w:r>
      <w:r w:rsidR="00EE1BB1" w:rsidRPr="00D37ABD">
        <w:rPr>
          <w:rFonts w:eastAsia="Calibri"/>
          <w:i/>
          <w:color w:val="000000"/>
          <w:lang w:val="es-PE"/>
        </w:rPr>
        <w:t>”</w:t>
      </w:r>
      <w:r w:rsidR="00EE1BB1">
        <w:rPr>
          <w:rFonts w:eastAsia="Calibri"/>
          <w:i/>
          <w:color w:val="000000"/>
          <w:lang w:val="es-PE"/>
        </w:rPr>
        <w:t xml:space="preserve">, </w:t>
      </w:r>
      <w:r w:rsidR="00EE1BB1">
        <w:rPr>
          <w:rFonts w:eastAsia="Calibri"/>
          <w:color w:val="000000"/>
          <w:lang w:val="es-PE"/>
        </w:rPr>
        <w:t>respecto de la acreditación de infraestructura y equipo</w:t>
      </w:r>
      <w:r w:rsidR="00326580">
        <w:rPr>
          <w:rFonts w:eastAsia="Calibri"/>
          <w:color w:val="000000"/>
          <w:lang w:val="es-PE"/>
        </w:rPr>
        <w:t>,</w:t>
      </w:r>
      <w:r w:rsidR="00EE1BB1">
        <w:rPr>
          <w:rFonts w:eastAsia="Calibri"/>
          <w:color w:val="000000"/>
          <w:lang w:val="es-PE"/>
        </w:rPr>
        <w:t xml:space="preserve"> </w:t>
      </w:r>
      <w:r w:rsidR="00EE1BB1" w:rsidRPr="00326580">
        <w:rPr>
          <w:rFonts w:eastAsia="Calibri"/>
          <w:b/>
          <w:color w:val="000000"/>
          <w:u w:val="single"/>
          <w:lang w:val="es-PE"/>
        </w:rPr>
        <w:t>conforme</w:t>
      </w:r>
      <w:r w:rsidR="008A12D8" w:rsidRPr="00326580">
        <w:rPr>
          <w:b/>
          <w:u w:val="single"/>
          <w:lang w:val="es-ES" w:eastAsia="es-ES"/>
        </w:rPr>
        <w:t xml:space="preserve"> a lo es</w:t>
      </w:r>
      <w:r w:rsidR="00EE1BB1" w:rsidRPr="00326580">
        <w:rPr>
          <w:b/>
          <w:u w:val="single"/>
          <w:lang w:val="es-ES" w:eastAsia="es-ES"/>
        </w:rPr>
        <w:t>tablecido en las Bases Estándar.</w:t>
      </w:r>
    </w:p>
    <w:p w:rsidR="0011117F" w:rsidRPr="00D37ABD" w:rsidRDefault="0011117F" w:rsidP="0011117F">
      <w:pPr>
        <w:pStyle w:val="Textoindependiente2"/>
        <w:widowControl/>
        <w:tabs>
          <w:tab w:val="left" w:pos="426"/>
        </w:tabs>
        <w:ind w:left="360"/>
        <w:rPr>
          <w:rFonts w:ascii="Times New Roman" w:hAnsi="Times New Roman"/>
          <w:b/>
          <w:szCs w:val="24"/>
        </w:rPr>
      </w:pPr>
    </w:p>
    <w:p w:rsidR="009D51BC" w:rsidRPr="00D37ABD" w:rsidRDefault="009D51BC" w:rsidP="00130C3E">
      <w:pPr>
        <w:pStyle w:val="Textoindependiente2"/>
        <w:widowControl/>
        <w:numPr>
          <w:ilvl w:val="0"/>
          <w:numId w:val="19"/>
        </w:numPr>
        <w:tabs>
          <w:tab w:val="left" w:pos="426"/>
        </w:tabs>
        <w:rPr>
          <w:rFonts w:ascii="Times New Roman" w:hAnsi="Times New Roman"/>
          <w:b/>
          <w:szCs w:val="24"/>
        </w:rPr>
      </w:pPr>
      <w:r w:rsidRPr="00D37ABD">
        <w:rPr>
          <w:rFonts w:ascii="Times New Roman" w:hAnsi="Times New Roman"/>
          <w:b/>
          <w:szCs w:val="24"/>
          <w:lang w:val="es-PE"/>
        </w:rPr>
        <w:t>CONCLUSIONES</w:t>
      </w:r>
    </w:p>
    <w:p w:rsidR="009D51BC" w:rsidRPr="00D37ABD" w:rsidRDefault="009D51BC" w:rsidP="009D51BC">
      <w:pPr>
        <w:tabs>
          <w:tab w:val="left" w:pos="567"/>
        </w:tabs>
        <w:jc w:val="both"/>
        <w:rPr>
          <w:snapToGrid w:val="0"/>
        </w:rPr>
      </w:pPr>
    </w:p>
    <w:p w:rsidR="009D51BC" w:rsidRPr="00D37ABD" w:rsidRDefault="009D51BC" w:rsidP="009D51BC">
      <w:pPr>
        <w:tabs>
          <w:tab w:val="left" w:pos="567"/>
        </w:tabs>
        <w:jc w:val="both"/>
        <w:rPr>
          <w:b/>
        </w:rPr>
      </w:pPr>
      <w:r w:rsidRPr="00D37ABD">
        <w:rPr>
          <w:snapToGrid w:val="0"/>
        </w:rPr>
        <w:t>En virtud de lo expuesto, este Organismo Supervisor ha dispuesto:</w:t>
      </w:r>
    </w:p>
    <w:p w:rsidR="009D51BC" w:rsidRPr="00D37ABD" w:rsidRDefault="009D51BC" w:rsidP="009D51BC">
      <w:pPr>
        <w:widowControl w:val="0"/>
        <w:tabs>
          <w:tab w:val="left" w:pos="2660"/>
        </w:tabs>
        <w:jc w:val="both"/>
        <w:rPr>
          <w:snapToGrid w:val="0"/>
          <w:lang w:val="es-PE" w:eastAsia="es-ES"/>
        </w:rPr>
      </w:pPr>
    </w:p>
    <w:p w:rsidR="00EE1BB1" w:rsidRDefault="009D51BC" w:rsidP="00EE1BB1">
      <w:pPr>
        <w:widowControl w:val="0"/>
        <w:numPr>
          <w:ilvl w:val="1"/>
          <w:numId w:val="32"/>
        </w:numPr>
        <w:jc w:val="both"/>
      </w:pPr>
      <w:r w:rsidRPr="00D37ABD">
        <w:rPr>
          <w:lang w:eastAsia="es-ES"/>
        </w:rPr>
        <w:t>El Comité de Selección deberá cumplir con lo dispuesto por este Organismo Supervisor al absolver las observaciones indicadas en el numeral 2 del presente Pronunciamiento.</w:t>
      </w:r>
    </w:p>
    <w:p w:rsidR="00EE1BB1" w:rsidRDefault="00EE1BB1" w:rsidP="00EE1BB1">
      <w:pPr>
        <w:widowControl w:val="0"/>
        <w:ind w:left="720"/>
        <w:jc w:val="both"/>
      </w:pPr>
    </w:p>
    <w:p w:rsidR="00EE1BB1" w:rsidRDefault="009D51BC" w:rsidP="00EE1BB1">
      <w:pPr>
        <w:widowControl w:val="0"/>
        <w:numPr>
          <w:ilvl w:val="1"/>
          <w:numId w:val="32"/>
        </w:numPr>
        <w:jc w:val="both"/>
      </w:pPr>
      <w:r w:rsidRPr="00D37ABD">
        <w:rPr>
          <w:lang w:eastAsia="es-ES"/>
        </w:rPr>
        <w:t xml:space="preserve">El Comité de Selección deberá tener en cuenta las observaciones formuladas en el numeral 3 del presente Pronunciamiento a fin de efectuar las modificaciones a las Bases que hubiere a lugar. </w:t>
      </w:r>
    </w:p>
    <w:p w:rsidR="00EE1BB1" w:rsidRDefault="00EE1BB1" w:rsidP="00EE1BB1">
      <w:pPr>
        <w:pStyle w:val="Prrafodelista"/>
      </w:pPr>
    </w:p>
    <w:p w:rsidR="00EE1BB1" w:rsidRDefault="009D51BC" w:rsidP="00EE1BB1">
      <w:pPr>
        <w:widowControl w:val="0"/>
        <w:numPr>
          <w:ilvl w:val="1"/>
          <w:numId w:val="32"/>
        </w:numPr>
        <w:jc w:val="both"/>
      </w:pPr>
      <w:r w:rsidRPr="00D37ABD">
        <w:t>Una vez absueltas todas las consultas y/u observaciones, y con el Pronunciamiento publicado en el SEACE, el Comité de Selección debe integrar las bases como reglas definitivas del procedimiento de selección</w:t>
      </w:r>
      <w:r w:rsidRPr="00EE1BB1">
        <w:rPr>
          <w:iCs/>
        </w:rPr>
        <w:t>, de conformidad con lo dispuesto por el artículo 52 del Reglamento.</w:t>
      </w:r>
    </w:p>
    <w:p w:rsidR="00EE1BB1" w:rsidRDefault="00EE1BB1" w:rsidP="00EE1BB1">
      <w:pPr>
        <w:pStyle w:val="Prrafodelista"/>
        <w:rPr>
          <w:lang w:eastAsia="es-PE"/>
        </w:rPr>
      </w:pPr>
    </w:p>
    <w:p w:rsidR="00EE1BB1" w:rsidRDefault="009D51BC" w:rsidP="00EE1BB1">
      <w:pPr>
        <w:widowControl w:val="0"/>
        <w:numPr>
          <w:ilvl w:val="1"/>
          <w:numId w:val="32"/>
        </w:numPr>
        <w:jc w:val="both"/>
      </w:pPr>
      <w:r w:rsidRPr="00D37ABD">
        <w:rPr>
          <w:lang w:eastAsia="es-PE"/>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 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EE1BB1" w:rsidRDefault="00EE1BB1" w:rsidP="00EE1BB1">
      <w:pPr>
        <w:pStyle w:val="Prrafodelista"/>
        <w:rPr>
          <w:iCs/>
        </w:rPr>
      </w:pPr>
    </w:p>
    <w:p w:rsidR="00EE1BB1" w:rsidRDefault="009D51BC" w:rsidP="00EE1BB1">
      <w:pPr>
        <w:widowControl w:val="0"/>
        <w:numPr>
          <w:ilvl w:val="1"/>
          <w:numId w:val="32"/>
        </w:numPr>
        <w:jc w:val="both"/>
      </w:pPr>
      <w:r w:rsidRPr="00EE1BB1">
        <w:rPr>
          <w:iCs/>
        </w:rPr>
        <w:lastRenderedPageBreak/>
        <w:t>A 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EE1BB1" w:rsidRDefault="00EE1BB1" w:rsidP="00EE1BB1">
      <w:pPr>
        <w:pStyle w:val="Prrafodelista"/>
        <w:rPr>
          <w:iCs/>
        </w:rPr>
      </w:pPr>
    </w:p>
    <w:p w:rsidR="00EE1BB1" w:rsidRDefault="009D51BC" w:rsidP="00EE1BB1">
      <w:pPr>
        <w:widowControl w:val="0"/>
        <w:numPr>
          <w:ilvl w:val="1"/>
          <w:numId w:val="32"/>
        </w:numPr>
        <w:jc w:val="both"/>
      </w:pPr>
      <w:r w:rsidRPr="00EE1BB1">
        <w:rPr>
          <w:iCs/>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EE1BB1" w:rsidRDefault="00EE1BB1" w:rsidP="00EE1BB1">
      <w:pPr>
        <w:pStyle w:val="Prrafodelista"/>
        <w:rPr>
          <w:iCs/>
        </w:rPr>
      </w:pPr>
    </w:p>
    <w:p w:rsidR="009D51BC" w:rsidRPr="00D37ABD" w:rsidRDefault="009D51BC" w:rsidP="00EE1BB1">
      <w:pPr>
        <w:widowControl w:val="0"/>
        <w:numPr>
          <w:ilvl w:val="1"/>
          <w:numId w:val="32"/>
        </w:numPr>
        <w:jc w:val="both"/>
      </w:pPr>
      <w:r w:rsidRPr="00EE1BB1">
        <w:rPr>
          <w:iCs/>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E73C19" w:rsidRPr="00D37ABD" w:rsidRDefault="00E73C19" w:rsidP="00E73C19">
      <w:pPr>
        <w:widowControl w:val="0"/>
      </w:pPr>
    </w:p>
    <w:p w:rsidR="00E73C19" w:rsidRPr="00D37ABD" w:rsidRDefault="00E73C19" w:rsidP="00E73C19">
      <w:pPr>
        <w:widowControl w:val="0"/>
        <w:jc w:val="right"/>
      </w:pPr>
      <w:r w:rsidRPr="00D37ABD">
        <w:t xml:space="preserve">Jesús María, </w:t>
      </w:r>
      <w:r w:rsidR="00EE1BB1">
        <w:t>03 de mayo de 2016</w:t>
      </w:r>
    </w:p>
    <w:p w:rsidR="00E73C19" w:rsidRPr="00D37ABD" w:rsidRDefault="00E73C19" w:rsidP="00E73C19">
      <w:pPr>
        <w:widowControl w:val="0"/>
        <w:jc w:val="right"/>
      </w:pPr>
    </w:p>
    <w:p w:rsidR="00E73C19" w:rsidRPr="00D37ABD" w:rsidRDefault="00E73C19" w:rsidP="00E73C19">
      <w:pPr>
        <w:widowControl w:val="0"/>
        <w:tabs>
          <w:tab w:val="left" w:pos="3293"/>
          <w:tab w:val="center" w:pos="4650"/>
        </w:tabs>
        <w:ind w:left="1080"/>
        <w:rPr>
          <w:b/>
          <w:bCs/>
          <w:lang w:val="es-ES_tradnl"/>
        </w:rPr>
      </w:pPr>
      <w:r w:rsidRPr="00D37ABD">
        <w:rPr>
          <w:b/>
          <w:bCs/>
          <w:lang w:val="es-ES_tradnl"/>
        </w:rPr>
        <w:t>Elaborado:</w:t>
      </w:r>
      <w:r w:rsidRPr="00D37ABD">
        <w:rPr>
          <w:b/>
          <w:bCs/>
          <w:lang w:val="es-ES_tradnl"/>
        </w:rPr>
        <w:tab/>
      </w:r>
      <w:r w:rsidR="00356AE5" w:rsidRPr="00D37ABD">
        <w:rPr>
          <w:b/>
          <w:bCs/>
          <w:lang w:val="es-ES_tradnl"/>
        </w:rPr>
        <w:t>Fiorella Mej</w:t>
      </w:r>
      <w:r w:rsidR="00654446" w:rsidRPr="00D37ABD">
        <w:rPr>
          <w:b/>
          <w:bCs/>
          <w:lang w:val="es-ES_tradnl"/>
        </w:rPr>
        <w:t>í</w:t>
      </w:r>
      <w:r w:rsidR="00356AE5" w:rsidRPr="00D37ABD">
        <w:rPr>
          <w:b/>
          <w:bCs/>
          <w:lang w:val="es-ES_tradnl"/>
        </w:rPr>
        <w:t>a Zevallos</w:t>
      </w:r>
      <w:r w:rsidR="00953004" w:rsidRPr="00D37ABD">
        <w:rPr>
          <w:b/>
          <w:bCs/>
          <w:lang w:val="es-ES_tradnl"/>
        </w:rPr>
        <w:t xml:space="preserve"> </w:t>
      </w:r>
    </w:p>
    <w:p w:rsidR="00E73C19" w:rsidRPr="00D37ABD" w:rsidRDefault="00E73C19" w:rsidP="00787928">
      <w:pPr>
        <w:widowControl w:val="0"/>
        <w:tabs>
          <w:tab w:val="left" w:pos="3293"/>
          <w:tab w:val="center" w:pos="4650"/>
          <w:tab w:val="left" w:pos="5529"/>
        </w:tabs>
        <w:ind w:left="1080"/>
        <w:rPr>
          <w:b/>
          <w:bCs/>
          <w:lang w:val="es-ES_tradnl"/>
        </w:rPr>
      </w:pPr>
      <w:r w:rsidRPr="00D37ABD">
        <w:rPr>
          <w:b/>
          <w:bCs/>
          <w:lang w:val="es-ES_tradnl"/>
        </w:rPr>
        <w:t>Superv</w:t>
      </w:r>
      <w:r w:rsidR="00F8020E" w:rsidRPr="00D37ABD">
        <w:rPr>
          <w:b/>
          <w:bCs/>
          <w:lang w:val="es-ES_tradnl"/>
        </w:rPr>
        <w:t xml:space="preserve">isado: </w:t>
      </w:r>
      <w:r w:rsidR="00F8020E" w:rsidRPr="00D37ABD">
        <w:rPr>
          <w:b/>
          <w:bCs/>
          <w:lang w:val="es-ES_tradnl"/>
        </w:rPr>
        <w:tab/>
      </w:r>
      <w:r w:rsidR="00534366" w:rsidRPr="00D37ABD">
        <w:rPr>
          <w:b/>
          <w:bCs/>
          <w:lang w:val="es-ES_tradnl"/>
        </w:rPr>
        <w:t>Luz Miguel Díaz</w:t>
      </w:r>
    </w:p>
    <w:p w:rsidR="00E73C19" w:rsidRPr="00D37ABD" w:rsidRDefault="00E73C19" w:rsidP="00E73C19">
      <w:pPr>
        <w:widowControl w:val="0"/>
        <w:tabs>
          <w:tab w:val="left" w:pos="3293"/>
          <w:tab w:val="center" w:pos="4650"/>
        </w:tabs>
        <w:ind w:left="1080"/>
        <w:rPr>
          <w:b/>
          <w:bCs/>
          <w:lang w:val="es-ES_tradnl"/>
        </w:rPr>
      </w:pPr>
      <w:r w:rsidRPr="00D37ABD">
        <w:rPr>
          <w:b/>
          <w:bCs/>
          <w:lang w:val="es-ES_tradnl"/>
        </w:rPr>
        <w:t>Validado:</w:t>
      </w:r>
      <w:r w:rsidRPr="00D37ABD">
        <w:rPr>
          <w:b/>
          <w:bCs/>
          <w:lang w:val="es-ES_tradnl"/>
        </w:rPr>
        <w:tab/>
      </w:r>
      <w:r w:rsidR="00953004" w:rsidRPr="00D37ABD">
        <w:rPr>
          <w:b/>
        </w:rPr>
        <w:t xml:space="preserve">Pamela </w:t>
      </w:r>
      <w:r w:rsidR="00953004" w:rsidRPr="00D37ABD">
        <w:rPr>
          <w:b/>
          <w:bCs/>
          <w:lang w:val="es-ES_tradnl"/>
        </w:rPr>
        <w:t>Hawkins Tacchino</w:t>
      </w:r>
    </w:p>
    <w:p w:rsidR="009D434B" w:rsidRPr="00D37ABD" w:rsidRDefault="009D434B" w:rsidP="00E73C19">
      <w:pPr>
        <w:widowControl w:val="0"/>
        <w:tabs>
          <w:tab w:val="left" w:pos="3293"/>
          <w:tab w:val="center" w:pos="4650"/>
        </w:tabs>
        <w:ind w:left="1080"/>
        <w:rPr>
          <w:b/>
          <w:bCs/>
          <w:lang w:val="es-ES_tradnl"/>
        </w:rPr>
      </w:pPr>
    </w:p>
    <w:p w:rsidR="009D434B" w:rsidRDefault="009D434B" w:rsidP="009D5EC5">
      <w:pPr>
        <w:widowControl w:val="0"/>
        <w:tabs>
          <w:tab w:val="left" w:pos="3293"/>
          <w:tab w:val="center" w:pos="4650"/>
        </w:tabs>
        <w:rPr>
          <w:b/>
          <w:bCs/>
          <w:lang w:val="es-PE"/>
        </w:rPr>
      </w:pPr>
    </w:p>
    <w:p w:rsidR="003B3374" w:rsidRPr="00360653" w:rsidRDefault="003B3374" w:rsidP="009D5EC5">
      <w:pPr>
        <w:widowControl w:val="0"/>
        <w:tabs>
          <w:tab w:val="left" w:pos="3293"/>
          <w:tab w:val="center" w:pos="4650"/>
        </w:tabs>
        <w:rPr>
          <w:b/>
          <w:bCs/>
          <w:lang w:val="es-PE"/>
        </w:rPr>
      </w:pPr>
    </w:p>
    <w:p w:rsidR="00961327" w:rsidRPr="00D37ABD" w:rsidRDefault="00C70BB5" w:rsidP="00421D72">
      <w:pPr>
        <w:jc w:val="center"/>
      </w:pPr>
      <w:r w:rsidRPr="00D37ABD">
        <w:rPr>
          <w:noProof/>
          <w:lang w:val="es-PE" w:eastAsia="es-PE"/>
        </w:rPr>
        <w:drawing>
          <wp:anchor distT="0" distB="0" distL="114300" distR="114300" simplePos="0" relativeHeight="251657728" behindDoc="1" locked="0" layoutInCell="1" allowOverlap="1">
            <wp:simplePos x="0" y="0"/>
            <wp:positionH relativeFrom="column">
              <wp:posOffset>1253490</wp:posOffset>
            </wp:positionH>
            <wp:positionV relativeFrom="paragraph">
              <wp:posOffset>15875</wp:posOffset>
            </wp:positionV>
            <wp:extent cx="2522220" cy="999490"/>
            <wp:effectExtent l="0" t="0" r="0" b="0"/>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2220" cy="9994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61327" w:rsidRPr="00D37ABD" w:rsidSect="00961327">
      <w:headerReference w:type="default" r:id="rId12"/>
      <w:pgSz w:w="11906" w:h="16838"/>
      <w:pgMar w:top="1843" w:right="1983" w:bottom="1560"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63C" w:rsidRDefault="00B4463C" w:rsidP="00E73C19">
      <w:r>
        <w:separator/>
      </w:r>
    </w:p>
  </w:endnote>
  <w:endnote w:type="continuationSeparator" w:id="0">
    <w:p w:rsidR="00B4463C" w:rsidRDefault="00B4463C" w:rsidP="00E7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63C" w:rsidRDefault="00B4463C" w:rsidP="00E73C19">
      <w:r>
        <w:separator/>
      </w:r>
    </w:p>
  </w:footnote>
  <w:footnote w:type="continuationSeparator" w:id="0">
    <w:p w:rsidR="00B4463C" w:rsidRDefault="00B4463C" w:rsidP="00E73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8B6" w:rsidRDefault="009208B6">
    <w:pPr>
      <w:pStyle w:val="Encabezado"/>
      <w:jc w:val="center"/>
    </w:pPr>
    <w:r>
      <w:fldChar w:fldCharType="begin"/>
    </w:r>
    <w:r>
      <w:instrText xml:space="preserve"> PAGE   \* MERGEFORMAT </w:instrText>
    </w:r>
    <w:r>
      <w:fldChar w:fldCharType="separate"/>
    </w:r>
    <w:r w:rsidR="00C70BB5">
      <w:rPr>
        <w:noProof/>
      </w:rPr>
      <w:t>1</w:t>
    </w:r>
    <w:r>
      <w:fldChar w:fldCharType="end"/>
    </w:r>
  </w:p>
  <w:p w:rsidR="009208B6" w:rsidRDefault="009208B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
    <w:nsid w:val="060C3721"/>
    <w:multiLevelType w:val="multilevel"/>
    <w:tmpl w:val="D6CCCD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965732"/>
    <w:multiLevelType w:val="multilevel"/>
    <w:tmpl w:val="CD20D046"/>
    <w:lvl w:ilvl="0">
      <w:start w:val="2"/>
      <w:numFmt w:val="decimal"/>
      <w:lvlText w:val="%1"/>
      <w:lvlJc w:val="left"/>
      <w:pPr>
        <w:ind w:left="600" w:hanging="600"/>
      </w:pPr>
      <w:rPr>
        <w:rFonts w:hint="default"/>
        <w:color w:val="auto"/>
      </w:rPr>
    </w:lvl>
    <w:lvl w:ilvl="1">
      <w:start w:val="2"/>
      <w:numFmt w:val="decimal"/>
      <w:lvlText w:val="%1.%2"/>
      <w:lvlJc w:val="left"/>
      <w:pPr>
        <w:ind w:left="840" w:hanging="600"/>
      </w:pPr>
      <w:rPr>
        <w:rFonts w:hint="default"/>
        <w:color w:val="auto"/>
      </w:rPr>
    </w:lvl>
    <w:lvl w:ilvl="2">
      <w:start w:val="1"/>
      <w:numFmt w:val="decimal"/>
      <w:lvlText w:val="%1.%2.%3"/>
      <w:lvlJc w:val="left"/>
      <w:pPr>
        <w:ind w:left="1200" w:hanging="720"/>
      </w:pPr>
      <w:rPr>
        <w:rFonts w:hint="default"/>
        <w:color w:val="auto"/>
      </w:rPr>
    </w:lvl>
    <w:lvl w:ilvl="3">
      <w:start w:val="2"/>
      <w:numFmt w:val="decimal"/>
      <w:lvlText w:val="%1.%2.%3.%4"/>
      <w:lvlJc w:val="left"/>
      <w:pPr>
        <w:ind w:left="1440" w:hanging="720"/>
      </w:pPr>
      <w:rPr>
        <w:rFonts w:hint="default"/>
        <w:color w:val="auto"/>
      </w:rPr>
    </w:lvl>
    <w:lvl w:ilvl="4">
      <w:start w:val="1"/>
      <w:numFmt w:val="decimal"/>
      <w:lvlText w:val="%1.%2.%3.%4.%5"/>
      <w:lvlJc w:val="left"/>
      <w:pPr>
        <w:ind w:left="2040" w:hanging="1080"/>
      </w:pPr>
      <w:rPr>
        <w:rFonts w:hint="default"/>
        <w:color w:val="auto"/>
      </w:rPr>
    </w:lvl>
    <w:lvl w:ilvl="5">
      <w:start w:val="1"/>
      <w:numFmt w:val="decimal"/>
      <w:lvlText w:val="%1.%2.%3.%4.%5.%6"/>
      <w:lvlJc w:val="left"/>
      <w:pPr>
        <w:ind w:left="2280" w:hanging="1080"/>
      </w:pPr>
      <w:rPr>
        <w:rFonts w:hint="default"/>
        <w:color w:val="auto"/>
      </w:rPr>
    </w:lvl>
    <w:lvl w:ilvl="6">
      <w:start w:val="1"/>
      <w:numFmt w:val="decimal"/>
      <w:lvlText w:val="%1.%2.%3.%4.%5.%6.%7"/>
      <w:lvlJc w:val="left"/>
      <w:pPr>
        <w:ind w:left="2880" w:hanging="1440"/>
      </w:pPr>
      <w:rPr>
        <w:rFonts w:hint="default"/>
        <w:color w:val="auto"/>
      </w:rPr>
    </w:lvl>
    <w:lvl w:ilvl="7">
      <w:start w:val="1"/>
      <w:numFmt w:val="decimal"/>
      <w:lvlText w:val="%1.%2.%3.%4.%5.%6.%7.%8"/>
      <w:lvlJc w:val="left"/>
      <w:pPr>
        <w:ind w:left="3120" w:hanging="1440"/>
      </w:pPr>
      <w:rPr>
        <w:rFonts w:hint="default"/>
        <w:color w:val="auto"/>
      </w:rPr>
    </w:lvl>
    <w:lvl w:ilvl="8">
      <w:start w:val="1"/>
      <w:numFmt w:val="decimal"/>
      <w:lvlText w:val="%1.%2.%3.%4.%5.%6.%7.%8.%9"/>
      <w:lvlJc w:val="left"/>
      <w:pPr>
        <w:ind w:left="3720" w:hanging="1800"/>
      </w:pPr>
      <w:rPr>
        <w:rFonts w:hint="default"/>
        <w:color w:val="auto"/>
      </w:rPr>
    </w:lvl>
  </w:abstractNum>
  <w:abstractNum w:abstractNumId="3">
    <w:nsid w:val="09564CF5"/>
    <w:multiLevelType w:val="multilevel"/>
    <w:tmpl w:val="3D1A9684"/>
    <w:lvl w:ilvl="0">
      <w:start w:val="2"/>
      <w:numFmt w:val="decimal"/>
      <w:lvlText w:val="%1"/>
      <w:lvlJc w:val="left"/>
      <w:pPr>
        <w:ind w:left="600" w:hanging="600"/>
      </w:pPr>
      <w:rPr>
        <w:rFonts w:hint="default"/>
        <w:i w:val="0"/>
        <w:color w:val="auto"/>
      </w:rPr>
    </w:lvl>
    <w:lvl w:ilvl="1">
      <w:start w:val="2"/>
      <w:numFmt w:val="decimal"/>
      <w:lvlText w:val="%1.%2"/>
      <w:lvlJc w:val="left"/>
      <w:pPr>
        <w:ind w:left="600" w:hanging="600"/>
      </w:pPr>
      <w:rPr>
        <w:rFonts w:hint="default"/>
        <w:i w:val="0"/>
        <w:color w:val="auto"/>
      </w:rPr>
    </w:lvl>
    <w:lvl w:ilvl="2">
      <w:start w:val="1"/>
      <w:numFmt w:val="decimal"/>
      <w:lvlText w:val="%1.%2.%3"/>
      <w:lvlJc w:val="left"/>
      <w:pPr>
        <w:ind w:left="720" w:hanging="720"/>
      </w:pPr>
      <w:rPr>
        <w:rFonts w:hint="default"/>
        <w:i w:val="0"/>
        <w:color w:val="auto"/>
      </w:rPr>
    </w:lvl>
    <w:lvl w:ilvl="3">
      <w:start w:val="2"/>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4">
    <w:nsid w:val="10942A8C"/>
    <w:multiLevelType w:val="hybridMultilevel"/>
    <w:tmpl w:val="7744CF12"/>
    <w:lvl w:ilvl="0" w:tplc="E35AA398">
      <w:start w:val="6"/>
      <w:numFmt w:val="lowerLetter"/>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5">
    <w:nsid w:val="12F74659"/>
    <w:multiLevelType w:val="hybridMultilevel"/>
    <w:tmpl w:val="26BA2428"/>
    <w:lvl w:ilvl="0" w:tplc="8DBAB0F0">
      <w:start w:val="1"/>
      <w:numFmt w:val="bullet"/>
      <w:lvlText w:val=""/>
      <w:lvlJc w:val="left"/>
      <w:pPr>
        <w:ind w:left="1146" w:hanging="360"/>
      </w:pPr>
      <w:rPr>
        <w:rFonts w:ascii="Symbol" w:hAnsi="Symbol" w:hint="default"/>
      </w:rPr>
    </w:lvl>
    <w:lvl w:ilvl="1" w:tplc="809EC7F0" w:tentative="1">
      <w:start w:val="1"/>
      <w:numFmt w:val="bullet"/>
      <w:lvlText w:val="o"/>
      <w:lvlJc w:val="left"/>
      <w:pPr>
        <w:ind w:left="1866" w:hanging="360"/>
      </w:pPr>
      <w:rPr>
        <w:rFonts w:ascii="Courier New" w:hAnsi="Courier New" w:cs="Courier New" w:hint="default"/>
      </w:rPr>
    </w:lvl>
    <w:lvl w:ilvl="2" w:tplc="D2581EA2" w:tentative="1">
      <w:start w:val="1"/>
      <w:numFmt w:val="bullet"/>
      <w:lvlText w:val=""/>
      <w:lvlJc w:val="left"/>
      <w:pPr>
        <w:ind w:left="2586" w:hanging="360"/>
      </w:pPr>
      <w:rPr>
        <w:rFonts w:ascii="Wingdings" w:hAnsi="Wingdings" w:hint="default"/>
      </w:rPr>
    </w:lvl>
    <w:lvl w:ilvl="3" w:tplc="85AEC430" w:tentative="1">
      <w:start w:val="1"/>
      <w:numFmt w:val="bullet"/>
      <w:lvlText w:val=""/>
      <w:lvlJc w:val="left"/>
      <w:pPr>
        <w:ind w:left="3306" w:hanging="360"/>
      </w:pPr>
      <w:rPr>
        <w:rFonts w:ascii="Symbol" w:hAnsi="Symbol" w:hint="default"/>
      </w:rPr>
    </w:lvl>
    <w:lvl w:ilvl="4" w:tplc="FB2A4056" w:tentative="1">
      <w:start w:val="1"/>
      <w:numFmt w:val="bullet"/>
      <w:lvlText w:val="o"/>
      <w:lvlJc w:val="left"/>
      <w:pPr>
        <w:ind w:left="4026" w:hanging="360"/>
      </w:pPr>
      <w:rPr>
        <w:rFonts w:ascii="Courier New" w:hAnsi="Courier New" w:cs="Courier New" w:hint="default"/>
      </w:rPr>
    </w:lvl>
    <w:lvl w:ilvl="5" w:tplc="84CAAA68" w:tentative="1">
      <w:start w:val="1"/>
      <w:numFmt w:val="bullet"/>
      <w:lvlText w:val=""/>
      <w:lvlJc w:val="left"/>
      <w:pPr>
        <w:ind w:left="4746" w:hanging="360"/>
      </w:pPr>
      <w:rPr>
        <w:rFonts w:ascii="Wingdings" w:hAnsi="Wingdings" w:hint="default"/>
      </w:rPr>
    </w:lvl>
    <w:lvl w:ilvl="6" w:tplc="DCB21C1C" w:tentative="1">
      <w:start w:val="1"/>
      <w:numFmt w:val="bullet"/>
      <w:lvlText w:val=""/>
      <w:lvlJc w:val="left"/>
      <w:pPr>
        <w:ind w:left="5466" w:hanging="360"/>
      </w:pPr>
      <w:rPr>
        <w:rFonts w:ascii="Symbol" w:hAnsi="Symbol" w:hint="default"/>
      </w:rPr>
    </w:lvl>
    <w:lvl w:ilvl="7" w:tplc="D046A610" w:tentative="1">
      <w:start w:val="1"/>
      <w:numFmt w:val="bullet"/>
      <w:lvlText w:val="o"/>
      <w:lvlJc w:val="left"/>
      <w:pPr>
        <w:ind w:left="6186" w:hanging="360"/>
      </w:pPr>
      <w:rPr>
        <w:rFonts w:ascii="Courier New" w:hAnsi="Courier New" w:cs="Courier New" w:hint="default"/>
      </w:rPr>
    </w:lvl>
    <w:lvl w:ilvl="8" w:tplc="49FC977C" w:tentative="1">
      <w:start w:val="1"/>
      <w:numFmt w:val="bullet"/>
      <w:lvlText w:val=""/>
      <w:lvlJc w:val="left"/>
      <w:pPr>
        <w:ind w:left="6906" w:hanging="360"/>
      </w:pPr>
      <w:rPr>
        <w:rFonts w:ascii="Wingdings" w:hAnsi="Wingdings" w:hint="default"/>
      </w:rPr>
    </w:lvl>
  </w:abstractNum>
  <w:abstractNum w:abstractNumId="6">
    <w:nsid w:val="14857220"/>
    <w:multiLevelType w:val="multilevel"/>
    <w:tmpl w:val="03866B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AB432D6"/>
    <w:multiLevelType w:val="hybridMultilevel"/>
    <w:tmpl w:val="51CA2534"/>
    <w:lvl w:ilvl="0" w:tplc="48F8A966">
      <w:start w:val="3"/>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21FF76F1"/>
    <w:multiLevelType w:val="multilevel"/>
    <w:tmpl w:val="F92257C4"/>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53B7DC3"/>
    <w:multiLevelType w:val="hybridMultilevel"/>
    <w:tmpl w:val="20BE89AC"/>
    <w:lvl w:ilvl="0" w:tplc="22F2E484">
      <w:start w:val="1"/>
      <w:numFmt w:val="decimal"/>
      <w:lvlText w:val="%1."/>
      <w:lvlJc w:val="left"/>
      <w:pPr>
        <w:ind w:left="1065" w:hanging="360"/>
      </w:pPr>
      <w:rPr>
        <w:rFonts w:hint="default"/>
      </w:rPr>
    </w:lvl>
    <w:lvl w:ilvl="1" w:tplc="280A0019" w:tentative="1">
      <w:start w:val="1"/>
      <w:numFmt w:val="lowerLetter"/>
      <w:lvlText w:val="%2."/>
      <w:lvlJc w:val="left"/>
      <w:pPr>
        <w:ind w:left="1785" w:hanging="360"/>
      </w:pPr>
    </w:lvl>
    <w:lvl w:ilvl="2" w:tplc="280A001B" w:tentative="1">
      <w:start w:val="1"/>
      <w:numFmt w:val="lowerRoman"/>
      <w:lvlText w:val="%3."/>
      <w:lvlJc w:val="right"/>
      <w:pPr>
        <w:ind w:left="2505" w:hanging="180"/>
      </w:pPr>
    </w:lvl>
    <w:lvl w:ilvl="3" w:tplc="280A000F" w:tentative="1">
      <w:start w:val="1"/>
      <w:numFmt w:val="decimal"/>
      <w:lvlText w:val="%4."/>
      <w:lvlJc w:val="left"/>
      <w:pPr>
        <w:ind w:left="3225" w:hanging="360"/>
      </w:pPr>
    </w:lvl>
    <w:lvl w:ilvl="4" w:tplc="280A0019" w:tentative="1">
      <w:start w:val="1"/>
      <w:numFmt w:val="lowerLetter"/>
      <w:lvlText w:val="%5."/>
      <w:lvlJc w:val="left"/>
      <w:pPr>
        <w:ind w:left="3945" w:hanging="360"/>
      </w:pPr>
    </w:lvl>
    <w:lvl w:ilvl="5" w:tplc="280A001B" w:tentative="1">
      <w:start w:val="1"/>
      <w:numFmt w:val="lowerRoman"/>
      <w:lvlText w:val="%6."/>
      <w:lvlJc w:val="right"/>
      <w:pPr>
        <w:ind w:left="4665" w:hanging="180"/>
      </w:pPr>
    </w:lvl>
    <w:lvl w:ilvl="6" w:tplc="280A000F" w:tentative="1">
      <w:start w:val="1"/>
      <w:numFmt w:val="decimal"/>
      <w:lvlText w:val="%7."/>
      <w:lvlJc w:val="left"/>
      <w:pPr>
        <w:ind w:left="5385" w:hanging="360"/>
      </w:pPr>
    </w:lvl>
    <w:lvl w:ilvl="7" w:tplc="280A0019" w:tentative="1">
      <w:start w:val="1"/>
      <w:numFmt w:val="lowerLetter"/>
      <w:lvlText w:val="%8."/>
      <w:lvlJc w:val="left"/>
      <w:pPr>
        <w:ind w:left="6105" w:hanging="360"/>
      </w:pPr>
    </w:lvl>
    <w:lvl w:ilvl="8" w:tplc="280A001B" w:tentative="1">
      <w:start w:val="1"/>
      <w:numFmt w:val="lowerRoman"/>
      <w:lvlText w:val="%9."/>
      <w:lvlJc w:val="right"/>
      <w:pPr>
        <w:ind w:left="6825" w:hanging="180"/>
      </w:pPr>
    </w:lvl>
  </w:abstractNum>
  <w:abstractNum w:abstractNumId="10">
    <w:nsid w:val="258B7E5F"/>
    <w:multiLevelType w:val="hybridMultilevel"/>
    <w:tmpl w:val="4EE8AF1A"/>
    <w:lvl w:ilvl="0" w:tplc="280A0001">
      <w:start w:val="1"/>
      <w:numFmt w:val="bullet"/>
      <w:lvlText w:val=""/>
      <w:lvlJc w:val="left"/>
      <w:pPr>
        <w:ind w:left="2138" w:hanging="360"/>
      </w:pPr>
      <w:rPr>
        <w:rFonts w:ascii="Symbol" w:hAnsi="Symbol" w:hint="default"/>
      </w:rPr>
    </w:lvl>
    <w:lvl w:ilvl="1" w:tplc="280A0003">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11">
    <w:nsid w:val="2AB6459D"/>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12">
    <w:nsid w:val="2BE8128E"/>
    <w:multiLevelType w:val="hybridMultilevel"/>
    <w:tmpl w:val="E5FCA614"/>
    <w:lvl w:ilvl="0" w:tplc="B928E872">
      <w:start w:val="1"/>
      <w:numFmt w:val="bullet"/>
      <w:lvlText w:val=""/>
      <w:lvlJc w:val="left"/>
      <w:pPr>
        <w:ind w:left="816" w:hanging="360"/>
      </w:pPr>
      <w:rPr>
        <w:rFonts w:ascii="Symbol" w:hAnsi="Symbol" w:hint="default"/>
        <w:i w:val="0"/>
        <w:color w:val="auto"/>
      </w:rPr>
    </w:lvl>
    <w:lvl w:ilvl="1" w:tplc="280A0003">
      <w:start w:val="1"/>
      <w:numFmt w:val="bullet"/>
      <w:lvlText w:val="o"/>
      <w:lvlJc w:val="left"/>
      <w:pPr>
        <w:ind w:left="1536" w:hanging="360"/>
      </w:pPr>
      <w:rPr>
        <w:rFonts w:ascii="Courier New" w:hAnsi="Courier New" w:cs="Courier New" w:hint="default"/>
      </w:rPr>
    </w:lvl>
    <w:lvl w:ilvl="2" w:tplc="280A0005">
      <w:start w:val="1"/>
      <w:numFmt w:val="bullet"/>
      <w:lvlText w:val=""/>
      <w:lvlJc w:val="left"/>
      <w:pPr>
        <w:ind w:left="2256" w:hanging="360"/>
      </w:pPr>
      <w:rPr>
        <w:rFonts w:ascii="Wingdings" w:hAnsi="Wingdings" w:hint="default"/>
      </w:rPr>
    </w:lvl>
    <w:lvl w:ilvl="3" w:tplc="280A0001" w:tentative="1">
      <w:start w:val="1"/>
      <w:numFmt w:val="bullet"/>
      <w:lvlText w:val=""/>
      <w:lvlJc w:val="left"/>
      <w:pPr>
        <w:ind w:left="2976" w:hanging="360"/>
      </w:pPr>
      <w:rPr>
        <w:rFonts w:ascii="Symbol" w:hAnsi="Symbol" w:hint="default"/>
      </w:rPr>
    </w:lvl>
    <w:lvl w:ilvl="4" w:tplc="280A0003" w:tentative="1">
      <w:start w:val="1"/>
      <w:numFmt w:val="bullet"/>
      <w:lvlText w:val="o"/>
      <w:lvlJc w:val="left"/>
      <w:pPr>
        <w:ind w:left="3696" w:hanging="360"/>
      </w:pPr>
      <w:rPr>
        <w:rFonts w:ascii="Courier New" w:hAnsi="Courier New" w:cs="Courier New" w:hint="default"/>
      </w:rPr>
    </w:lvl>
    <w:lvl w:ilvl="5" w:tplc="280A0005" w:tentative="1">
      <w:start w:val="1"/>
      <w:numFmt w:val="bullet"/>
      <w:lvlText w:val=""/>
      <w:lvlJc w:val="left"/>
      <w:pPr>
        <w:ind w:left="4416" w:hanging="360"/>
      </w:pPr>
      <w:rPr>
        <w:rFonts w:ascii="Wingdings" w:hAnsi="Wingdings" w:hint="default"/>
      </w:rPr>
    </w:lvl>
    <w:lvl w:ilvl="6" w:tplc="280A0001" w:tentative="1">
      <w:start w:val="1"/>
      <w:numFmt w:val="bullet"/>
      <w:lvlText w:val=""/>
      <w:lvlJc w:val="left"/>
      <w:pPr>
        <w:ind w:left="5136" w:hanging="360"/>
      </w:pPr>
      <w:rPr>
        <w:rFonts w:ascii="Symbol" w:hAnsi="Symbol" w:hint="default"/>
      </w:rPr>
    </w:lvl>
    <w:lvl w:ilvl="7" w:tplc="280A0003" w:tentative="1">
      <w:start w:val="1"/>
      <w:numFmt w:val="bullet"/>
      <w:lvlText w:val="o"/>
      <w:lvlJc w:val="left"/>
      <w:pPr>
        <w:ind w:left="5856" w:hanging="360"/>
      </w:pPr>
      <w:rPr>
        <w:rFonts w:ascii="Courier New" w:hAnsi="Courier New" w:cs="Courier New" w:hint="default"/>
      </w:rPr>
    </w:lvl>
    <w:lvl w:ilvl="8" w:tplc="280A0005" w:tentative="1">
      <w:start w:val="1"/>
      <w:numFmt w:val="bullet"/>
      <w:lvlText w:val=""/>
      <w:lvlJc w:val="left"/>
      <w:pPr>
        <w:ind w:left="6576" w:hanging="360"/>
      </w:pPr>
      <w:rPr>
        <w:rFonts w:ascii="Wingdings" w:hAnsi="Wingdings" w:hint="default"/>
      </w:rPr>
    </w:lvl>
  </w:abstractNum>
  <w:abstractNum w:abstractNumId="13">
    <w:nsid w:val="31164936"/>
    <w:multiLevelType w:val="multilevel"/>
    <w:tmpl w:val="CB4CAF0C"/>
    <w:lvl w:ilvl="0">
      <w:start w:val="11"/>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C4190A"/>
    <w:multiLevelType w:val="multilevel"/>
    <w:tmpl w:val="AF26B286"/>
    <w:lvl w:ilvl="0">
      <w:start w:val="2"/>
      <w:numFmt w:val="decimal"/>
      <w:lvlText w:val="%1."/>
      <w:lvlJc w:val="left"/>
      <w:pPr>
        <w:ind w:left="660" w:hanging="660"/>
      </w:pPr>
      <w:rPr>
        <w:rFonts w:hint="default"/>
      </w:rPr>
    </w:lvl>
    <w:lvl w:ilvl="1">
      <w:start w:val="2"/>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5">
    <w:nsid w:val="40D14B6A"/>
    <w:multiLevelType w:val="multilevel"/>
    <w:tmpl w:val="AF26B286"/>
    <w:lvl w:ilvl="0">
      <w:start w:val="2"/>
      <w:numFmt w:val="decimal"/>
      <w:lvlText w:val="%1."/>
      <w:lvlJc w:val="left"/>
      <w:pPr>
        <w:ind w:left="660" w:hanging="660"/>
      </w:pPr>
      <w:rPr>
        <w:rFonts w:hint="default"/>
      </w:rPr>
    </w:lvl>
    <w:lvl w:ilvl="1">
      <w:start w:val="2"/>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6">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68E0B7C"/>
    <w:multiLevelType w:val="hybridMultilevel"/>
    <w:tmpl w:val="8E527886"/>
    <w:lvl w:ilvl="0" w:tplc="280A0001">
      <w:start w:val="1"/>
      <w:numFmt w:val="bullet"/>
      <w:lvlText w:val=""/>
      <w:lvlJc w:val="left"/>
      <w:pPr>
        <w:ind w:left="2988" w:hanging="360"/>
      </w:pPr>
      <w:rPr>
        <w:rFonts w:ascii="Symbol" w:hAnsi="Symbol" w:hint="default"/>
      </w:rPr>
    </w:lvl>
    <w:lvl w:ilvl="1" w:tplc="280A0003" w:tentative="1">
      <w:start w:val="1"/>
      <w:numFmt w:val="bullet"/>
      <w:lvlText w:val="o"/>
      <w:lvlJc w:val="left"/>
      <w:pPr>
        <w:ind w:left="3708" w:hanging="360"/>
      </w:pPr>
      <w:rPr>
        <w:rFonts w:ascii="Courier New" w:hAnsi="Courier New" w:cs="Courier New" w:hint="default"/>
      </w:rPr>
    </w:lvl>
    <w:lvl w:ilvl="2" w:tplc="280A0005" w:tentative="1">
      <w:start w:val="1"/>
      <w:numFmt w:val="bullet"/>
      <w:lvlText w:val=""/>
      <w:lvlJc w:val="left"/>
      <w:pPr>
        <w:ind w:left="4428" w:hanging="360"/>
      </w:pPr>
      <w:rPr>
        <w:rFonts w:ascii="Wingdings" w:hAnsi="Wingdings" w:hint="default"/>
      </w:rPr>
    </w:lvl>
    <w:lvl w:ilvl="3" w:tplc="280A0001" w:tentative="1">
      <w:start w:val="1"/>
      <w:numFmt w:val="bullet"/>
      <w:lvlText w:val=""/>
      <w:lvlJc w:val="left"/>
      <w:pPr>
        <w:ind w:left="5148" w:hanging="360"/>
      </w:pPr>
      <w:rPr>
        <w:rFonts w:ascii="Symbol" w:hAnsi="Symbol" w:hint="default"/>
      </w:rPr>
    </w:lvl>
    <w:lvl w:ilvl="4" w:tplc="280A0003" w:tentative="1">
      <w:start w:val="1"/>
      <w:numFmt w:val="bullet"/>
      <w:lvlText w:val="o"/>
      <w:lvlJc w:val="left"/>
      <w:pPr>
        <w:ind w:left="5868" w:hanging="360"/>
      </w:pPr>
      <w:rPr>
        <w:rFonts w:ascii="Courier New" w:hAnsi="Courier New" w:cs="Courier New" w:hint="default"/>
      </w:rPr>
    </w:lvl>
    <w:lvl w:ilvl="5" w:tplc="280A0005" w:tentative="1">
      <w:start w:val="1"/>
      <w:numFmt w:val="bullet"/>
      <w:lvlText w:val=""/>
      <w:lvlJc w:val="left"/>
      <w:pPr>
        <w:ind w:left="6588" w:hanging="360"/>
      </w:pPr>
      <w:rPr>
        <w:rFonts w:ascii="Wingdings" w:hAnsi="Wingdings" w:hint="default"/>
      </w:rPr>
    </w:lvl>
    <w:lvl w:ilvl="6" w:tplc="280A0001" w:tentative="1">
      <w:start w:val="1"/>
      <w:numFmt w:val="bullet"/>
      <w:lvlText w:val=""/>
      <w:lvlJc w:val="left"/>
      <w:pPr>
        <w:ind w:left="7308" w:hanging="360"/>
      </w:pPr>
      <w:rPr>
        <w:rFonts w:ascii="Symbol" w:hAnsi="Symbol" w:hint="default"/>
      </w:rPr>
    </w:lvl>
    <w:lvl w:ilvl="7" w:tplc="280A0003" w:tentative="1">
      <w:start w:val="1"/>
      <w:numFmt w:val="bullet"/>
      <w:lvlText w:val="o"/>
      <w:lvlJc w:val="left"/>
      <w:pPr>
        <w:ind w:left="8028" w:hanging="360"/>
      </w:pPr>
      <w:rPr>
        <w:rFonts w:ascii="Courier New" w:hAnsi="Courier New" w:cs="Courier New" w:hint="default"/>
      </w:rPr>
    </w:lvl>
    <w:lvl w:ilvl="8" w:tplc="280A0005" w:tentative="1">
      <w:start w:val="1"/>
      <w:numFmt w:val="bullet"/>
      <w:lvlText w:val=""/>
      <w:lvlJc w:val="left"/>
      <w:pPr>
        <w:ind w:left="8748" w:hanging="360"/>
      </w:pPr>
      <w:rPr>
        <w:rFonts w:ascii="Wingdings" w:hAnsi="Wingdings" w:hint="default"/>
      </w:rPr>
    </w:lvl>
  </w:abstractNum>
  <w:abstractNum w:abstractNumId="18">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0">
    <w:nsid w:val="4FFB1F9A"/>
    <w:multiLevelType w:val="hybridMultilevel"/>
    <w:tmpl w:val="0F383E22"/>
    <w:lvl w:ilvl="0" w:tplc="3680398C">
      <w:start w:val="1"/>
      <w:numFmt w:val="lowerLetter"/>
      <w:lvlText w:val="%1)"/>
      <w:lvlJc w:val="left"/>
      <w:pPr>
        <w:ind w:left="1068" w:hanging="360"/>
      </w:pPr>
      <w:rPr>
        <w:rFonts w:hint="default"/>
        <w:b/>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1">
    <w:nsid w:val="51BB2A66"/>
    <w:multiLevelType w:val="multilevel"/>
    <w:tmpl w:val="308244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color w:val="auto"/>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6391D38"/>
    <w:multiLevelType w:val="hybridMultilevel"/>
    <w:tmpl w:val="61CC4A36"/>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3">
    <w:nsid w:val="57580C72"/>
    <w:multiLevelType w:val="hybridMultilevel"/>
    <w:tmpl w:val="2C202D92"/>
    <w:lvl w:ilvl="0" w:tplc="280A0017">
      <w:start w:val="3"/>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5A314636"/>
    <w:multiLevelType w:val="multilevel"/>
    <w:tmpl w:val="8180AE7C"/>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5F25671B"/>
    <w:multiLevelType w:val="hybridMultilevel"/>
    <w:tmpl w:val="3F8AEFEE"/>
    <w:lvl w:ilvl="0" w:tplc="280A0001">
      <w:start w:val="3"/>
      <w:numFmt w:val="bullet"/>
      <w:lvlText w:val=""/>
      <w:lvlJc w:val="left"/>
      <w:pPr>
        <w:ind w:left="720" w:hanging="360"/>
      </w:pPr>
      <w:rPr>
        <w:rFonts w:ascii="Symbol" w:eastAsia="Times New Roman" w:hAnsi="Symbol"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61025A54"/>
    <w:multiLevelType w:val="hybridMultilevel"/>
    <w:tmpl w:val="DD1AB1B0"/>
    <w:lvl w:ilvl="0" w:tplc="C2805360">
      <w:start w:val="2"/>
      <w:numFmt w:val="bullet"/>
      <w:lvlText w:val=""/>
      <w:lvlJc w:val="left"/>
      <w:pPr>
        <w:ind w:left="2203" w:hanging="360"/>
      </w:pPr>
      <w:rPr>
        <w:rFonts w:ascii="Symbol" w:eastAsia="MS Mincho" w:hAnsi="Symbol" w:cs="Arial" w:hint="default"/>
        <w:b/>
      </w:rPr>
    </w:lvl>
    <w:lvl w:ilvl="1" w:tplc="280A0003" w:tentative="1">
      <w:start w:val="1"/>
      <w:numFmt w:val="bullet"/>
      <w:lvlText w:val="o"/>
      <w:lvlJc w:val="left"/>
      <w:pPr>
        <w:ind w:left="2923" w:hanging="360"/>
      </w:pPr>
      <w:rPr>
        <w:rFonts w:ascii="Courier New" w:hAnsi="Courier New" w:cs="Courier New" w:hint="default"/>
      </w:rPr>
    </w:lvl>
    <w:lvl w:ilvl="2" w:tplc="280A0005" w:tentative="1">
      <w:start w:val="1"/>
      <w:numFmt w:val="bullet"/>
      <w:lvlText w:val=""/>
      <w:lvlJc w:val="left"/>
      <w:pPr>
        <w:ind w:left="3643" w:hanging="360"/>
      </w:pPr>
      <w:rPr>
        <w:rFonts w:ascii="Wingdings" w:hAnsi="Wingdings" w:hint="default"/>
      </w:rPr>
    </w:lvl>
    <w:lvl w:ilvl="3" w:tplc="280A0001" w:tentative="1">
      <w:start w:val="1"/>
      <w:numFmt w:val="bullet"/>
      <w:lvlText w:val=""/>
      <w:lvlJc w:val="left"/>
      <w:pPr>
        <w:ind w:left="4363" w:hanging="360"/>
      </w:pPr>
      <w:rPr>
        <w:rFonts w:ascii="Symbol" w:hAnsi="Symbol" w:hint="default"/>
      </w:rPr>
    </w:lvl>
    <w:lvl w:ilvl="4" w:tplc="280A0003" w:tentative="1">
      <w:start w:val="1"/>
      <w:numFmt w:val="bullet"/>
      <w:lvlText w:val="o"/>
      <w:lvlJc w:val="left"/>
      <w:pPr>
        <w:ind w:left="5083" w:hanging="360"/>
      </w:pPr>
      <w:rPr>
        <w:rFonts w:ascii="Courier New" w:hAnsi="Courier New" w:cs="Courier New" w:hint="default"/>
      </w:rPr>
    </w:lvl>
    <w:lvl w:ilvl="5" w:tplc="280A0005" w:tentative="1">
      <w:start w:val="1"/>
      <w:numFmt w:val="bullet"/>
      <w:lvlText w:val=""/>
      <w:lvlJc w:val="left"/>
      <w:pPr>
        <w:ind w:left="5803" w:hanging="360"/>
      </w:pPr>
      <w:rPr>
        <w:rFonts w:ascii="Wingdings" w:hAnsi="Wingdings" w:hint="default"/>
      </w:rPr>
    </w:lvl>
    <w:lvl w:ilvl="6" w:tplc="280A0001" w:tentative="1">
      <w:start w:val="1"/>
      <w:numFmt w:val="bullet"/>
      <w:lvlText w:val=""/>
      <w:lvlJc w:val="left"/>
      <w:pPr>
        <w:ind w:left="6523" w:hanging="360"/>
      </w:pPr>
      <w:rPr>
        <w:rFonts w:ascii="Symbol" w:hAnsi="Symbol" w:hint="default"/>
      </w:rPr>
    </w:lvl>
    <w:lvl w:ilvl="7" w:tplc="280A0003" w:tentative="1">
      <w:start w:val="1"/>
      <w:numFmt w:val="bullet"/>
      <w:lvlText w:val="o"/>
      <w:lvlJc w:val="left"/>
      <w:pPr>
        <w:ind w:left="7243" w:hanging="360"/>
      </w:pPr>
      <w:rPr>
        <w:rFonts w:ascii="Courier New" w:hAnsi="Courier New" w:cs="Courier New" w:hint="default"/>
      </w:rPr>
    </w:lvl>
    <w:lvl w:ilvl="8" w:tplc="280A0005" w:tentative="1">
      <w:start w:val="1"/>
      <w:numFmt w:val="bullet"/>
      <w:lvlText w:val=""/>
      <w:lvlJc w:val="left"/>
      <w:pPr>
        <w:ind w:left="7963" w:hanging="360"/>
      </w:pPr>
      <w:rPr>
        <w:rFonts w:ascii="Wingdings" w:hAnsi="Wingdings" w:hint="default"/>
      </w:rPr>
    </w:lvl>
  </w:abstractNum>
  <w:abstractNum w:abstractNumId="27">
    <w:nsid w:val="672F39F1"/>
    <w:multiLevelType w:val="hybridMultilevel"/>
    <w:tmpl w:val="B9520878"/>
    <w:lvl w:ilvl="0" w:tplc="280A0017">
      <w:start w:val="6"/>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8">
    <w:nsid w:val="70121FAE"/>
    <w:multiLevelType w:val="hybridMultilevel"/>
    <w:tmpl w:val="2F205F2C"/>
    <w:lvl w:ilvl="0" w:tplc="0A0CB41C">
      <w:start w:val="4"/>
      <w:numFmt w:val="lowerLetter"/>
      <w:lvlText w:val="%1)"/>
      <w:lvlJc w:val="left"/>
      <w:pPr>
        <w:ind w:left="1776" w:hanging="360"/>
      </w:pPr>
      <w:rPr>
        <w:rFonts w:hint="defaul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9">
    <w:nsid w:val="70E96301"/>
    <w:multiLevelType w:val="hybridMultilevel"/>
    <w:tmpl w:val="B64E640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7E735538"/>
    <w:multiLevelType w:val="hybridMultilevel"/>
    <w:tmpl w:val="062E626A"/>
    <w:lvl w:ilvl="0" w:tplc="109A25A8">
      <w:start w:val="1"/>
      <w:numFmt w:val="bullet"/>
      <w:lvlText w:val="o"/>
      <w:lvlJc w:val="left"/>
      <w:pPr>
        <w:ind w:left="720" w:hanging="360"/>
      </w:pPr>
      <w:rPr>
        <w:rFonts w:ascii="Courier New" w:hAnsi="Courier New" w:cs="Courier Ne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7EB12C6D"/>
    <w:multiLevelType w:val="multilevel"/>
    <w:tmpl w:val="FB14CA3E"/>
    <w:lvl w:ilvl="0">
      <w:start w:val="11"/>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9"/>
  </w:num>
  <w:num w:numId="2">
    <w:abstractNumId w:val="8"/>
  </w:num>
  <w:num w:numId="3">
    <w:abstractNumId w:val="7"/>
  </w:num>
  <w:num w:numId="4">
    <w:abstractNumId w:val="28"/>
  </w:num>
  <w:num w:numId="5">
    <w:abstractNumId w:val="24"/>
  </w:num>
  <w:num w:numId="6">
    <w:abstractNumId w:val="5"/>
  </w:num>
  <w:num w:numId="7">
    <w:abstractNumId w:val="14"/>
  </w:num>
  <w:num w:numId="8">
    <w:abstractNumId w:val="10"/>
  </w:num>
  <w:num w:numId="9">
    <w:abstractNumId w:val="13"/>
  </w:num>
  <w:num w:numId="10">
    <w:abstractNumId w:val="22"/>
  </w:num>
  <w:num w:numId="11">
    <w:abstractNumId w:val="30"/>
  </w:num>
  <w:num w:numId="12">
    <w:abstractNumId w:val="31"/>
  </w:num>
  <w:num w:numId="13">
    <w:abstractNumId w:val="16"/>
  </w:num>
  <w:num w:numId="1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3"/>
  </w:num>
  <w:num w:numId="17">
    <w:abstractNumId w:val="1"/>
  </w:num>
  <w:num w:numId="18">
    <w:abstractNumId w:val="9"/>
  </w:num>
  <w:num w:numId="19">
    <w:abstractNumId w:val="21"/>
  </w:num>
  <w:num w:numId="20">
    <w:abstractNumId w:val="0"/>
  </w:num>
  <w:num w:numId="21">
    <w:abstractNumId w:val="4"/>
  </w:num>
  <w:num w:numId="22">
    <w:abstractNumId w:val="27"/>
  </w:num>
  <w:num w:numId="23">
    <w:abstractNumId w:val="11"/>
  </w:num>
  <w:num w:numId="24">
    <w:abstractNumId w:val="3"/>
  </w:num>
  <w:num w:numId="25">
    <w:abstractNumId w:val="26"/>
  </w:num>
  <w:num w:numId="26">
    <w:abstractNumId w:val="17"/>
  </w:num>
  <w:num w:numId="27">
    <w:abstractNumId w:val="25"/>
  </w:num>
  <w:num w:numId="28">
    <w:abstractNumId w:val="2"/>
  </w:num>
  <w:num w:numId="29">
    <w:abstractNumId w:val="29"/>
  </w:num>
  <w:num w:numId="30">
    <w:abstractNumId w:val="20"/>
  </w:num>
  <w:num w:numId="31">
    <w:abstractNumId w:val="12"/>
  </w:num>
  <w:num w:numId="3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C19"/>
    <w:rsid w:val="00004FFB"/>
    <w:rsid w:val="00005063"/>
    <w:rsid w:val="000052E9"/>
    <w:rsid w:val="0001015D"/>
    <w:rsid w:val="000118EC"/>
    <w:rsid w:val="00011F1E"/>
    <w:rsid w:val="00017A9D"/>
    <w:rsid w:val="000227E0"/>
    <w:rsid w:val="0002422E"/>
    <w:rsid w:val="000249B5"/>
    <w:rsid w:val="00025BB5"/>
    <w:rsid w:val="00036432"/>
    <w:rsid w:val="000408A1"/>
    <w:rsid w:val="0004103D"/>
    <w:rsid w:val="00041998"/>
    <w:rsid w:val="00045B9C"/>
    <w:rsid w:val="0004719C"/>
    <w:rsid w:val="000474F0"/>
    <w:rsid w:val="00050DD6"/>
    <w:rsid w:val="000530A0"/>
    <w:rsid w:val="000558A6"/>
    <w:rsid w:val="000558F9"/>
    <w:rsid w:val="00055BCD"/>
    <w:rsid w:val="00055CD1"/>
    <w:rsid w:val="00055E1C"/>
    <w:rsid w:val="00056CCC"/>
    <w:rsid w:val="00060527"/>
    <w:rsid w:val="000633F6"/>
    <w:rsid w:val="00064660"/>
    <w:rsid w:val="000655F9"/>
    <w:rsid w:val="000656C0"/>
    <w:rsid w:val="000676DE"/>
    <w:rsid w:val="0007136D"/>
    <w:rsid w:val="00074FA3"/>
    <w:rsid w:val="000802E1"/>
    <w:rsid w:val="00082A7F"/>
    <w:rsid w:val="000914D8"/>
    <w:rsid w:val="00091C6C"/>
    <w:rsid w:val="00093079"/>
    <w:rsid w:val="00096F19"/>
    <w:rsid w:val="000A011C"/>
    <w:rsid w:val="000A2BF5"/>
    <w:rsid w:val="000A3F55"/>
    <w:rsid w:val="000A5E4C"/>
    <w:rsid w:val="000A7E0A"/>
    <w:rsid w:val="000B2F49"/>
    <w:rsid w:val="000B5BB6"/>
    <w:rsid w:val="000C0B94"/>
    <w:rsid w:val="000C150F"/>
    <w:rsid w:val="000C1885"/>
    <w:rsid w:val="000C5F0A"/>
    <w:rsid w:val="000C7285"/>
    <w:rsid w:val="000D087E"/>
    <w:rsid w:val="000D38A1"/>
    <w:rsid w:val="000D4063"/>
    <w:rsid w:val="000E2FA3"/>
    <w:rsid w:val="000E4B79"/>
    <w:rsid w:val="000E7C80"/>
    <w:rsid w:val="000F0191"/>
    <w:rsid w:val="000F331E"/>
    <w:rsid w:val="000F5A36"/>
    <w:rsid w:val="00102ED4"/>
    <w:rsid w:val="00103413"/>
    <w:rsid w:val="00105234"/>
    <w:rsid w:val="001100A8"/>
    <w:rsid w:val="0011117F"/>
    <w:rsid w:val="00115E2F"/>
    <w:rsid w:val="001233C0"/>
    <w:rsid w:val="001258CD"/>
    <w:rsid w:val="00130C3E"/>
    <w:rsid w:val="00132714"/>
    <w:rsid w:val="00134F9B"/>
    <w:rsid w:val="00140089"/>
    <w:rsid w:val="00141FB7"/>
    <w:rsid w:val="00142B6B"/>
    <w:rsid w:val="00144CF2"/>
    <w:rsid w:val="0015205B"/>
    <w:rsid w:val="00153802"/>
    <w:rsid w:val="001561C4"/>
    <w:rsid w:val="00160978"/>
    <w:rsid w:val="001616E0"/>
    <w:rsid w:val="001657D5"/>
    <w:rsid w:val="00166008"/>
    <w:rsid w:val="0016611D"/>
    <w:rsid w:val="00171BA9"/>
    <w:rsid w:val="001725C9"/>
    <w:rsid w:val="0018395A"/>
    <w:rsid w:val="00187997"/>
    <w:rsid w:val="00190853"/>
    <w:rsid w:val="00193416"/>
    <w:rsid w:val="00193651"/>
    <w:rsid w:val="001954A3"/>
    <w:rsid w:val="001A3AC1"/>
    <w:rsid w:val="001A4123"/>
    <w:rsid w:val="001A504E"/>
    <w:rsid w:val="001A5877"/>
    <w:rsid w:val="001A7F21"/>
    <w:rsid w:val="001B0539"/>
    <w:rsid w:val="001B1E3A"/>
    <w:rsid w:val="001B4E47"/>
    <w:rsid w:val="001B5188"/>
    <w:rsid w:val="001B7ECD"/>
    <w:rsid w:val="001C014C"/>
    <w:rsid w:val="001C4F10"/>
    <w:rsid w:val="001C5807"/>
    <w:rsid w:val="001C5CC9"/>
    <w:rsid w:val="001E1A97"/>
    <w:rsid w:val="001F04F1"/>
    <w:rsid w:val="001F12EF"/>
    <w:rsid w:val="001F1500"/>
    <w:rsid w:val="001F202D"/>
    <w:rsid w:val="001F307A"/>
    <w:rsid w:val="001F76C8"/>
    <w:rsid w:val="0020020B"/>
    <w:rsid w:val="00202DB2"/>
    <w:rsid w:val="00205195"/>
    <w:rsid w:val="00206798"/>
    <w:rsid w:val="0020730F"/>
    <w:rsid w:val="002112D7"/>
    <w:rsid w:val="00212CBA"/>
    <w:rsid w:val="0021472B"/>
    <w:rsid w:val="0021706E"/>
    <w:rsid w:val="0021771C"/>
    <w:rsid w:val="002251D6"/>
    <w:rsid w:val="0022649C"/>
    <w:rsid w:val="0023086D"/>
    <w:rsid w:val="00232A3E"/>
    <w:rsid w:val="002356A4"/>
    <w:rsid w:val="00236500"/>
    <w:rsid w:val="00237250"/>
    <w:rsid w:val="00242A38"/>
    <w:rsid w:val="00242C4C"/>
    <w:rsid w:val="00244078"/>
    <w:rsid w:val="00244693"/>
    <w:rsid w:val="00245027"/>
    <w:rsid w:val="00245069"/>
    <w:rsid w:val="00250059"/>
    <w:rsid w:val="00253CF2"/>
    <w:rsid w:val="00260A89"/>
    <w:rsid w:val="00266FE3"/>
    <w:rsid w:val="00270F67"/>
    <w:rsid w:val="00271C02"/>
    <w:rsid w:val="00275E7B"/>
    <w:rsid w:val="002841C6"/>
    <w:rsid w:val="00285FD7"/>
    <w:rsid w:val="002900AE"/>
    <w:rsid w:val="00290CB2"/>
    <w:rsid w:val="00293494"/>
    <w:rsid w:val="00295BDD"/>
    <w:rsid w:val="002971AB"/>
    <w:rsid w:val="002B1BD7"/>
    <w:rsid w:val="002B2D6E"/>
    <w:rsid w:val="002B3851"/>
    <w:rsid w:val="002B6F1B"/>
    <w:rsid w:val="002B743F"/>
    <w:rsid w:val="002C191D"/>
    <w:rsid w:val="002C5F06"/>
    <w:rsid w:val="002C7561"/>
    <w:rsid w:val="002C76E3"/>
    <w:rsid w:val="002D1277"/>
    <w:rsid w:val="002D2F40"/>
    <w:rsid w:val="002D36B7"/>
    <w:rsid w:val="002D50A3"/>
    <w:rsid w:val="002D7DA3"/>
    <w:rsid w:val="002E0364"/>
    <w:rsid w:val="002E5C23"/>
    <w:rsid w:val="002F6EB1"/>
    <w:rsid w:val="003014FD"/>
    <w:rsid w:val="00301BA4"/>
    <w:rsid w:val="00301C35"/>
    <w:rsid w:val="003076C3"/>
    <w:rsid w:val="00310880"/>
    <w:rsid w:val="0031332D"/>
    <w:rsid w:val="00317FA6"/>
    <w:rsid w:val="003213CE"/>
    <w:rsid w:val="003244CC"/>
    <w:rsid w:val="003264D3"/>
    <w:rsid w:val="00326580"/>
    <w:rsid w:val="00327B44"/>
    <w:rsid w:val="00335D84"/>
    <w:rsid w:val="00336D3D"/>
    <w:rsid w:val="0034183D"/>
    <w:rsid w:val="00347748"/>
    <w:rsid w:val="003538DD"/>
    <w:rsid w:val="00356AE5"/>
    <w:rsid w:val="00357C60"/>
    <w:rsid w:val="00360653"/>
    <w:rsid w:val="0036147B"/>
    <w:rsid w:val="00364CB3"/>
    <w:rsid w:val="003742A8"/>
    <w:rsid w:val="003769CB"/>
    <w:rsid w:val="00376DA2"/>
    <w:rsid w:val="003777C0"/>
    <w:rsid w:val="00377DEC"/>
    <w:rsid w:val="00384209"/>
    <w:rsid w:val="00386187"/>
    <w:rsid w:val="003879C2"/>
    <w:rsid w:val="00392E84"/>
    <w:rsid w:val="00396C34"/>
    <w:rsid w:val="003A0A6B"/>
    <w:rsid w:val="003A2FD7"/>
    <w:rsid w:val="003A3AE9"/>
    <w:rsid w:val="003A6B14"/>
    <w:rsid w:val="003B3374"/>
    <w:rsid w:val="003B4247"/>
    <w:rsid w:val="003B6597"/>
    <w:rsid w:val="003C2803"/>
    <w:rsid w:val="003C3010"/>
    <w:rsid w:val="003C389E"/>
    <w:rsid w:val="003C49F7"/>
    <w:rsid w:val="003C7EB8"/>
    <w:rsid w:val="003D1AF5"/>
    <w:rsid w:val="003D69E8"/>
    <w:rsid w:val="003E0D12"/>
    <w:rsid w:val="003E13F3"/>
    <w:rsid w:val="003E77A2"/>
    <w:rsid w:val="003F0BE5"/>
    <w:rsid w:val="003F62D2"/>
    <w:rsid w:val="004007DB"/>
    <w:rsid w:val="004035BF"/>
    <w:rsid w:val="00403C32"/>
    <w:rsid w:val="004137A9"/>
    <w:rsid w:val="00414FCF"/>
    <w:rsid w:val="004200A1"/>
    <w:rsid w:val="00420568"/>
    <w:rsid w:val="00421D72"/>
    <w:rsid w:val="00426AB2"/>
    <w:rsid w:val="004314E9"/>
    <w:rsid w:val="004346F3"/>
    <w:rsid w:val="00434FD3"/>
    <w:rsid w:val="004364C7"/>
    <w:rsid w:val="00442067"/>
    <w:rsid w:val="004421D9"/>
    <w:rsid w:val="00443A78"/>
    <w:rsid w:val="00443B18"/>
    <w:rsid w:val="00443C22"/>
    <w:rsid w:val="00445027"/>
    <w:rsid w:val="00445E1A"/>
    <w:rsid w:val="00447769"/>
    <w:rsid w:val="00447E13"/>
    <w:rsid w:val="00452489"/>
    <w:rsid w:val="004551A6"/>
    <w:rsid w:val="00463B64"/>
    <w:rsid w:val="00464548"/>
    <w:rsid w:val="00472312"/>
    <w:rsid w:val="004736FD"/>
    <w:rsid w:val="00473999"/>
    <w:rsid w:val="0047482F"/>
    <w:rsid w:val="00476A3A"/>
    <w:rsid w:val="004844BA"/>
    <w:rsid w:val="00486BF1"/>
    <w:rsid w:val="0049373A"/>
    <w:rsid w:val="004A34E5"/>
    <w:rsid w:val="004B752D"/>
    <w:rsid w:val="004C0BD6"/>
    <w:rsid w:val="004C238C"/>
    <w:rsid w:val="004C2D28"/>
    <w:rsid w:val="004C314E"/>
    <w:rsid w:val="004C6822"/>
    <w:rsid w:val="004C7264"/>
    <w:rsid w:val="004D3D06"/>
    <w:rsid w:val="004E6FED"/>
    <w:rsid w:val="004F4513"/>
    <w:rsid w:val="00501E63"/>
    <w:rsid w:val="00503E6D"/>
    <w:rsid w:val="005044D9"/>
    <w:rsid w:val="00505250"/>
    <w:rsid w:val="00512FE0"/>
    <w:rsid w:val="00513188"/>
    <w:rsid w:val="00515F49"/>
    <w:rsid w:val="0052098A"/>
    <w:rsid w:val="00526092"/>
    <w:rsid w:val="00533967"/>
    <w:rsid w:val="00534366"/>
    <w:rsid w:val="00540609"/>
    <w:rsid w:val="00540BC8"/>
    <w:rsid w:val="00541864"/>
    <w:rsid w:val="00543032"/>
    <w:rsid w:val="00545D15"/>
    <w:rsid w:val="005503B1"/>
    <w:rsid w:val="005511F4"/>
    <w:rsid w:val="005527C1"/>
    <w:rsid w:val="00553FF9"/>
    <w:rsid w:val="00557AED"/>
    <w:rsid w:val="00563463"/>
    <w:rsid w:val="00563B3B"/>
    <w:rsid w:val="00565B75"/>
    <w:rsid w:val="00570949"/>
    <w:rsid w:val="00571A32"/>
    <w:rsid w:val="00574603"/>
    <w:rsid w:val="00577F64"/>
    <w:rsid w:val="00580672"/>
    <w:rsid w:val="00581785"/>
    <w:rsid w:val="00584CB3"/>
    <w:rsid w:val="005860DA"/>
    <w:rsid w:val="00590CF8"/>
    <w:rsid w:val="00590DEF"/>
    <w:rsid w:val="00591E78"/>
    <w:rsid w:val="005924AD"/>
    <w:rsid w:val="00595D69"/>
    <w:rsid w:val="00595E78"/>
    <w:rsid w:val="00597936"/>
    <w:rsid w:val="005A0FDA"/>
    <w:rsid w:val="005A3179"/>
    <w:rsid w:val="005B2C9E"/>
    <w:rsid w:val="005B6B90"/>
    <w:rsid w:val="005C6A20"/>
    <w:rsid w:val="005C7BBC"/>
    <w:rsid w:val="005E0631"/>
    <w:rsid w:val="005E12BC"/>
    <w:rsid w:val="005E364C"/>
    <w:rsid w:val="005F3DB7"/>
    <w:rsid w:val="005F6F5F"/>
    <w:rsid w:val="00604827"/>
    <w:rsid w:val="00604B9D"/>
    <w:rsid w:val="00610BD0"/>
    <w:rsid w:val="00614081"/>
    <w:rsid w:val="006161E2"/>
    <w:rsid w:val="00620EBD"/>
    <w:rsid w:val="00627846"/>
    <w:rsid w:val="006302CF"/>
    <w:rsid w:val="006340B3"/>
    <w:rsid w:val="00635A69"/>
    <w:rsid w:val="0063744E"/>
    <w:rsid w:val="00637FD2"/>
    <w:rsid w:val="00641287"/>
    <w:rsid w:val="006416E5"/>
    <w:rsid w:val="00641DC4"/>
    <w:rsid w:val="00643FE5"/>
    <w:rsid w:val="00645364"/>
    <w:rsid w:val="006474D5"/>
    <w:rsid w:val="00647F8F"/>
    <w:rsid w:val="00652E77"/>
    <w:rsid w:val="00653A16"/>
    <w:rsid w:val="00654446"/>
    <w:rsid w:val="00654DCF"/>
    <w:rsid w:val="00656DD9"/>
    <w:rsid w:val="006604F0"/>
    <w:rsid w:val="00660A1C"/>
    <w:rsid w:val="00663B67"/>
    <w:rsid w:val="00664E96"/>
    <w:rsid w:val="00666C53"/>
    <w:rsid w:val="00672331"/>
    <w:rsid w:val="00673FE0"/>
    <w:rsid w:val="00684BA3"/>
    <w:rsid w:val="0068559B"/>
    <w:rsid w:val="0068688A"/>
    <w:rsid w:val="0069317E"/>
    <w:rsid w:val="00694F50"/>
    <w:rsid w:val="006A6AE1"/>
    <w:rsid w:val="006A7A8F"/>
    <w:rsid w:val="006B0F6B"/>
    <w:rsid w:val="006B2930"/>
    <w:rsid w:val="006B4C5F"/>
    <w:rsid w:val="006B4F18"/>
    <w:rsid w:val="006B6639"/>
    <w:rsid w:val="006C4F08"/>
    <w:rsid w:val="006D2AF8"/>
    <w:rsid w:val="006D35D4"/>
    <w:rsid w:val="006D60D5"/>
    <w:rsid w:val="006E4734"/>
    <w:rsid w:val="006E6162"/>
    <w:rsid w:val="006E631D"/>
    <w:rsid w:val="006E6A74"/>
    <w:rsid w:val="006F1E83"/>
    <w:rsid w:val="006F6B12"/>
    <w:rsid w:val="006F6CB8"/>
    <w:rsid w:val="00701664"/>
    <w:rsid w:val="00706508"/>
    <w:rsid w:val="00711005"/>
    <w:rsid w:val="00713686"/>
    <w:rsid w:val="007145D4"/>
    <w:rsid w:val="00714AA3"/>
    <w:rsid w:val="00715D1C"/>
    <w:rsid w:val="00717574"/>
    <w:rsid w:val="00723B87"/>
    <w:rsid w:val="0073117E"/>
    <w:rsid w:val="0073200C"/>
    <w:rsid w:val="00732C46"/>
    <w:rsid w:val="00734E21"/>
    <w:rsid w:val="007378C5"/>
    <w:rsid w:val="00737E1B"/>
    <w:rsid w:val="0074072E"/>
    <w:rsid w:val="00740FC8"/>
    <w:rsid w:val="00741CBE"/>
    <w:rsid w:val="00743B9F"/>
    <w:rsid w:val="007446C0"/>
    <w:rsid w:val="00751997"/>
    <w:rsid w:val="00752DEB"/>
    <w:rsid w:val="00755685"/>
    <w:rsid w:val="00760052"/>
    <w:rsid w:val="0076074D"/>
    <w:rsid w:val="007610E4"/>
    <w:rsid w:val="00763824"/>
    <w:rsid w:val="00763A0C"/>
    <w:rsid w:val="00764E9D"/>
    <w:rsid w:val="00765A0F"/>
    <w:rsid w:val="00767476"/>
    <w:rsid w:val="00772A1A"/>
    <w:rsid w:val="00776E41"/>
    <w:rsid w:val="00783418"/>
    <w:rsid w:val="007839D5"/>
    <w:rsid w:val="00787928"/>
    <w:rsid w:val="00793803"/>
    <w:rsid w:val="00795B03"/>
    <w:rsid w:val="0079792E"/>
    <w:rsid w:val="007979D7"/>
    <w:rsid w:val="007A4663"/>
    <w:rsid w:val="007A63B3"/>
    <w:rsid w:val="007B2E1D"/>
    <w:rsid w:val="007B4920"/>
    <w:rsid w:val="007C5A3A"/>
    <w:rsid w:val="007C6F43"/>
    <w:rsid w:val="007C7C30"/>
    <w:rsid w:val="007D01CF"/>
    <w:rsid w:val="007D1789"/>
    <w:rsid w:val="007D48DE"/>
    <w:rsid w:val="007D4A2E"/>
    <w:rsid w:val="007D4EE7"/>
    <w:rsid w:val="007E5F22"/>
    <w:rsid w:val="007E689E"/>
    <w:rsid w:val="007F3A1C"/>
    <w:rsid w:val="007F7330"/>
    <w:rsid w:val="00800C1E"/>
    <w:rsid w:val="008034AD"/>
    <w:rsid w:val="00806BC6"/>
    <w:rsid w:val="00807B85"/>
    <w:rsid w:val="008139D6"/>
    <w:rsid w:val="00814E41"/>
    <w:rsid w:val="008219DD"/>
    <w:rsid w:val="00822E10"/>
    <w:rsid w:val="0082766E"/>
    <w:rsid w:val="00830DED"/>
    <w:rsid w:val="0083123D"/>
    <w:rsid w:val="00833082"/>
    <w:rsid w:val="0083428F"/>
    <w:rsid w:val="00836F5A"/>
    <w:rsid w:val="008374E2"/>
    <w:rsid w:val="00837B25"/>
    <w:rsid w:val="00840FE4"/>
    <w:rsid w:val="00843A62"/>
    <w:rsid w:val="008457E4"/>
    <w:rsid w:val="00845818"/>
    <w:rsid w:val="008503EF"/>
    <w:rsid w:val="00851381"/>
    <w:rsid w:val="00851417"/>
    <w:rsid w:val="0086161E"/>
    <w:rsid w:val="0086281D"/>
    <w:rsid w:val="00863B98"/>
    <w:rsid w:val="0086400B"/>
    <w:rsid w:val="00866AE5"/>
    <w:rsid w:val="00870BAB"/>
    <w:rsid w:val="00874658"/>
    <w:rsid w:val="0088090F"/>
    <w:rsid w:val="0088210E"/>
    <w:rsid w:val="00885B23"/>
    <w:rsid w:val="008868FE"/>
    <w:rsid w:val="00887A62"/>
    <w:rsid w:val="00897B1B"/>
    <w:rsid w:val="008A0616"/>
    <w:rsid w:val="008A0C35"/>
    <w:rsid w:val="008A12D8"/>
    <w:rsid w:val="008A4278"/>
    <w:rsid w:val="008A5600"/>
    <w:rsid w:val="008B0092"/>
    <w:rsid w:val="008C44CF"/>
    <w:rsid w:val="008C47B6"/>
    <w:rsid w:val="008C7189"/>
    <w:rsid w:val="008D16B3"/>
    <w:rsid w:val="008D4550"/>
    <w:rsid w:val="008D4EF2"/>
    <w:rsid w:val="008D5353"/>
    <w:rsid w:val="008D56AC"/>
    <w:rsid w:val="008E206A"/>
    <w:rsid w:val="008E3D6B"/>
    <w:rsid w:val="008E3E29"/>
    <w:rsid w:val="008E609B"/>
    <w:rsid w:val="008E6593"/>
    <w:rsid w:val="008E7893"/>
    <w:rsid w:val="008F274F"/>
    <w:rsid w:val="00903262"/>
    <w:rsid w:val="00905F4F"/>
    <w:rsid w:val="00910A8E"/>
    <w:rsid w:val="009157AE"/>
    <w:rsid w:val="009208B6"/>
    <w:rsid w:val="00920E17"/>
    <w:rsid w:val="0092333D"/>
    <w:rsid w:val="00923BA3"/>
    <w:rsid w:val="009272DD"/>
    <w:rsid w:val="0093504C"/>
    <w:rsid w:val="00945A16"/>
    <w:rsid w:val="00946005"/>
    <w:rsid w:val="00946E22"/>
    <w:rsid w:val="009512D7"/>
    <w:rsid w:val="00953004"/>
    <w:rsid w:val="00960F8F"/>
    <w:rsid w:val="00961327"/>
    <w:rsid w:val="00961939"/>
    <w:rsid w:val="00963B83"/>
    <w:rsid w:val="00964A35"/>
    <w:rsid w:val="00965603"/>
    <w:rsid w:val="009706AB"/>
    <w:rsid w:val="00972075"/>
    <w:rsid w:val="00976213"/>
    <w:rsid w:val="00983054"/>
    <w:rsid w:val="009876D0"/>
    <w:rsid w:val="009907E6"/>
    <w:rsid w:val="00992CDE"/>
    <w:rsid w:val="009972A6"/>
    <w:rsid w:val="009A1431"/>
    <w:rsid w:val="009A33E1"/>
    <w:rsid w:val="009A7836"/>
    <w:rsid w:val="009B1BD1"/>
    <w:rsid w:val="009B2DF9"/>
    <w:rsid w:val="009C0858"/>
    <w:rsid w:val="009C1511"/>
    <w:rsid w:val="009C2372"/>
    <w:rsid w:val="009C7283"/>
    <w:rsid w:val="009D08E7"/>
    <w:rsid w:val="009D434B"/>
    <w:rsid w:val="009D466E"/>
    <w:rsid w:val="009D51BC"/>
    <w:rsid w:val="009D5EC5"/>
    <w:rsid w:val="009E29BD"/>
    <w:rsid w:val="009E30EF"/>
    <w:rsid w:val="009E3DF2"/>
    <w:rsid w:val="009E4694"/>
    <w:rsid w:val="009F1BA6"/>
    <w:rsid w:val="009F40E5"/>
    <w:rsid w:val="009F4DAF"/>
    <w:rsid w:val="009F7207"/>
    <w:rsid w:val="00A02760"/>
    <w:rsid w:val="00A043C0"/>
    <w:rsid w:val="00A07C23"/>
    <w:rsid w:val="00A07E67"/>
    <w:rsid w:val="00A132BC"/>
    <w:rsid w:val="00A15268"/>
    <w:rsid w:val="00A1717C"/>
    <w:rsid w:val="00A21ED6"/>
    <w:rsid w:val="00A24487"/>
    <w:rsid w:val="00A31EF8"/>
    <w:rsid w:val="00A32519"/>
    <w:rsid w:val="00A32BDE"/>
    <w:rsid w:val="00A34F43"/>
    <w:rsid w:val="00A359DB"/>
    <w:rsid w:val="00A41907"/>
    <w:rsid w:val="00A43DA4"/>
    <w:rsid w:val="00A521FF"/>
    <w:rsid w:val="00A71ECE"/>
    <w:rsid w:val="00A7625C"/>
    <w:rsid w:val="00A776FF"/>
    <w:rsid w:val="00A779C7"/>
    <w:rsid w:val="00A80EA8"/>
    <w:rsid w:val="00A823C5"/>
    <w:rsid w:val="00A85AEA"/>
    <w:rsid w:val="00A87A0A"/>
    <w:rsid w:val="00AA1044"/>
    <w:rsid w:val="00AA24AE"/>
    <w:rsid w:val="00AA5DF1"/>
    <w:rsid w:val="00AA78AE"/>
    <w:rsid w:val="00AB1CBC"/>
    <w:rsid w:val="00AB365E"/>
    <w:rsid w:val="00AB446F"/>
    <w:rsid w:val="00AB4E66"/>
    <w:rsid w:val="00AB5AE3"/>
    <w:rsid w:val="00AE16F0"/>
    <w:rsid w:val="00AE1D47"/>
    <w:rsid w:val="00AE7E06"/>
    <w:rsid w:val="00AF15A2"/>
    <w:rsid w:val="00AF1901"/>
    <w:rsid w:val="00AF37D5"/>
    <w:rsid w:val="00AF4BDC"/>
    <w:rsid w:val="00B0010D"/>
    <w:rsid w:val="00B068F5"/>
    <w:rsid w:val="00B07998"/>
    <w:rsid w:val="00B1079E"/>
    <w:rsid w:val="00B16028"/>
    <w:rsid w:val="00B16875"/>
    <w:rsid w:val="00B200F2"/>
    <w:rsid w:val="00B21E68"/>
    <w:rsid w:val="00B24859"/>
    <w:rsid w:val="00B25A0B"/>
    <w:rsid w:val="00B344D8"/>
    <w:rsid w:val="00B4001B"/>
    <w:rsid w:val="00B43F8A"/>
    <w:rsid w:val="00B4463C"/>
    <w:rsid w:val="00B62809"/>
    <w:rsid w:val="00B676D7"/>
    <w:rsid w:val="00B714E2"/>
    <w:rsid w:val="00B73075"/>
    <w:rsid w:val="00B770D4"/>
    <w:rsid w:val="00B83AD4"/>
    <w:rsid w:val="00B85205"/>
    <w:rsid w:val="00B86B51"/>
    <w:rsid w:val="00B86ED8"/>
    <w:rsid w:val="00B93114"/>
    <w:rsid w:val="00B94769"/>
    <w:rsid w:val="00B95C1C"/>
    <w:rsid w:val="00B97AFC"/>
    <w:rsid w:val="00BA00FD"/>
    <w:rsid w:val="00BB2E12"/>
    <w:rsid w:val="00BC01BE"/>
    <w:rsid w:val="00BC274E"/>
    <w:rsid w:val="00BC2E3E"/>
    <w:rsid w:val="00BC3F61"/>
    <w:rsid w:val="00BC50F9"/>
    <w:rsid w:val="00BD17F0"/>
    <w:rsid w:val="00BD1B9F"/>
    <w:rsid w:val="00BD350A"/>
    <w:rsid w:val="00BD646B"/>
    <w:rsid w:val="00BD7FA9"/>
    <w:rsid w:val="00BE61FF"/>
    <w:rsid w:val="00BE62B1"/>
    <w:rsid w:val="00BF3A07"/>
    <w:rsid w:val="00BF686D"/>
    <w:rsid w:val="00C03418"/>
    <w:rsid w:val="00C03A41"/>
    <w:rsid w:val="00C0450C"/>
    <w:rsid w:val="00C144B1"/>
    <w:rsid w:val="00C147A7"/>
    <w:rsid w:val="00C2380A"/>
    <w:rsid w:val="00C273C8"/>
    <w:rsid w:val="00C320DC"/>
    <w:rsid w:val="00C408AA"/>
    <w:rsid w:val="00C40D6F"/>
    <w:rsid w:val="00C45A74"/>
    <w:rsid w:val="00C461AB"/>
    <w:rsid w:val="00C46EB9"/>
    <w:rsid w:val="00C50BD1"/>
    <w:rsid w:val="00C546E1"/>
    <w:rsid w:val="00C54B52"/>
    <w:rsid w:val="00C65D7B"/>
    <w:rsid w:val="00C70BB5"/>
    <w:rsid w:val="00C7272C"/>
    <w:rsid w:val="00C73DF2"/>
    <w:rsid w:val="00C73FB1"/>
    <w:rsid w:val="00C7636F"/>
    <w:rsid w:val="00C80BFF"/>
    <w:rsid w:val="00C81046"/>
    <w:rsid w:val="00C824D1"/>
    <w:rsid w:val="00C83F5D"/>
    <w:rsid w:val="00C90205"/>
    <w:rsid w:val="00C91059"/>
    <w:rsid w:val="00C91C50"/>
    <w:rsid w:val="00C9290C"/>
    <w:rsid w:val="00C974B5"/>
    <w:rsid w:val="00CA54E4"/>
    <w:rsid w:val="00CA6816"/>
    <w:rsid w:val="00CA6F20"/>
    <w:rsid w:val="00CA7FA8"/>
    <w:rsid w:val="00CB26A5"/>
    <w:rsid w:val="00CB2BC2"/>
    <w:rsid w:val="00CB4F5C"/>
    <w:rsid w:val="00CB6B2D"/>
    <w:rsid w:val="00CC1365"/>
    <w:rsid w:val="00CC3D3D"/>
    <w:rsid w:val="00CC5B7D"/>
    <w:rsid w:val="00CC5D40"/>
    <w:rsid w:val="00CC79E3"/>
    <w:rsid w:val="00CD0162"/>
    <w:rsid w:val="00CD6C46"/>
    <w:rsid w:val="00CE0DE1"/>
    <w:rsid w:val="00CE1C52"/>
    <w:rsid w:val="00CE4942"/>
    <w:rsid w:val="00CE54EC"/>
    <w:rsid w:val="00CE66F5"/>
    <w:rsid w:val="00CE6FB2"/>
    <w:rsid w:val="00CE721E"/>
    <w:rsid w:val="00CE78DA"/>
    <w:rsid w:val="00CF4F87"/>
    <w:rsid w:val="00CF69BA"/>
    <w:rsid w:val="00D00EA9"/>
    <w:rsid w:val="00D016AA"/>
    <w:rsid w:val="00D02DDF"/>
    <w:rsid w:val="00D04B52"/>
    <w:rsid w:val="00D11BC3"/>
    <w:rsid w:val="00D22A5C"/>
    <w:rsid w:val="00D237EF"/>
    <w:rsid w:val="00D2460E"/>
    <w:rsid w:val="00D24F7F"/>
    <w:rsid w:val="00D361B8"/>
    <w:rsid w:val="00D379B5"/>
    <w:rsid w:val="00D37ABD"/>
    <w:rsid w:val="00D420F7"/>
    <w:rsid w:val="00D517C5"/>
    <w:rsid w:val="00D61BFF"/>
    <w:rsid w:val="00D6335F"/>
    <w:rsid w:val="00D635F5"/>
    <w:rsid w:val="00D64E2D"/>
    <w:rsid w:val="00D657E6"/>
    <w:rsid w:val="00D66044"/>
    <w:rsid w:val="00D6676F"/>
    <w:rsid w:val="00D725C5"/>
    <w:rsid w:val="00D72F2C"/>
    <w:rsid w:val="00D734D0"/>
    <w:rsid w:val="00D75F0C"/>
    <w:rsid w:val="00D76A04"/>
    <w:rsid w:val="00D8099F"/>
    <w:rsid w:val="00D83086"/>
    <w:rsid w:val="00D8419F"/>
    <w:rsid w:val="00D843C2"/>
    <w:rsid w:val="00D850A4"/>
    <w:rsid w:val="00D85B21"/>
    <w:rsid w:val="00D86F48"/>
    <w:rsid w:val="00D870E1"/>
    <w:rsid w:val="00D92F4B"/>
    <w:rsid w:val="00D965D4"/>
    <w:rsid w:val="00DA1754"/>
    <w:rsid w:val="00DA428F"/>
    <w:rsid w:val="00DA6700"/>
    <w:rsid w:val="00DB4D3E"/>
    <w:rsid w:val="00DB67D6"/>
    <w:rsid w:val="00DB7EEB"/>
    <w:rsid w:val="00DD0257"/>
    <w:rsid w:val="00DD3AD0"/>
    <w:rsid w:val="00DD6C2E"/>
    <w:rsid w:val="00DE0BF3"/>
    <w:rsid w:val="00DE3710"/>
    <w:rsid w:val="00DE401A"/>
    <w:rsid w:val="00DE4CAF"/>
    <w:rsid w:val="00DE69E9"/>
    <w:rsid w:val="00DF001E"/>
    <w:rsid w:val="00DF17F6"/>
    <w:rsid w:val="00DF5B8F"/>
    <w:rsid w:val="00DF6658"/>
    <w:rsid w:val="00DF6842"/>
    <w:rsid w:val="00DF78D2"/>
    <w:rsid w:val="00DF7FC2"/>
    <w:rsid w:val="00E01505"/>
    <w:rsid w:val="00E1126F"/>
    <w:rsid w:val="00E14CFC"/>
    <w:rsid w:val="00E164A5"/>
    <w:rsid w:val="00E16BBC"/>
    <w:rsid w:val="00E2074D"/>
    <w:rsid w:val="00E210A6"/>
    <w:rsid w:val="00E21FCE"/>
    <w:rsid w:val="00E24489"/>
    <w:rsid w:val="00E24BA6"/>
    <w:rsid w:val="00E261AF"/>
    <w:rsid w:val="00E32CF7"/>
    <w:rsid w:val="00E331B2"/>
    <w:rsid w:val="00E34B2C"/>
    <w:rsid w:val="00E409BB"/>
    <w:rsid w:val="00E42275"/>
    <w:rsid w:val="00E44F1D"/>
    <w:rsid w:val="00E51B44"/>
    <w:rsid w:val="00E53765"/>
    <w:rsid w:val="00E56CDF"/>
    <w:rsid w:val="00E63C94"/>
    <w:rsid w:val="00E65DE3"/>
    <w:rsid w:val="00E724D3"/>
    <w:rsid w:val="00E73C19"/>
    <w:rsid w:val="00E7405A"/>
    <w:rsid w:val="00E74235"/>
    <w:rsid w:val="00E778B9"/>
    <w:rsid w:val="00E81106"/>
    <w:rsid w:val="00E8208C"/>
    <w:rsid w:val="00E825A7"/>
    <w:rsid w:val="00E83A30"/>
    <w:rsid w:val="00E83B42"/>
    <w:rsid w:val="00E84DD0"/>
    <w:rsid w:val="00E85626"/>
    <w:rsid w:val="00E861FB"/>
    <w:rsid w:val="00E869E2"/>
    <w:rsid w:val="00E93F7D"/>
    <w:rsid w:val="00E95157"/>
    <w:rsid w:val="00E9611D"/>
    <w:rsid w:val="00E97F4B"/>
    <w:rsid w:val="00EA561B"/>
    <w:rsid w:val="00EA7037"/>
    <w:rsid w:val="00EB1805"/>
    <w:rsid w:val="00EB18CA"/>
    <w:rsid w:val="00EB2CE6"/>
    <w:rsid w:val="00EB76ED"/>
    <w:rsid w:val="00EC22F9"/>
    <w:rsid w:val="00EC3829"/>
    <w:rsid w:val="00ED5A65"/>
    <w:rsid w:val="00EE1BB1"/>
    <w:rsid w:val="00EE6415"/>
    <w:rsid w:val="00EF3B1E"/>
    <w:rsid w:val="00F00E9A"/>
    <w:rsid w:val="00F02D52"/>
    <w:rsid w:val="00F13E52"/>
    <w:rsid w:val="00F170D9"/>
    <w:rsid w:val="00F30537"/>
    <w:rsid w:val="00F35551"/>
    <w:rsid w:val="00F3793E"/>
    <w:rsid w:val="00F41990"/>
    <w:rsid w:val="00F41F06"/>
    <w:rsid w:val="00F44FF3"/>
    <w:rsid w:val="00F470E5"/>
    <w:rsid w:val="00F520F3"/>
    <w:rsid w:val="00F52E4C"/>
    <w:rsid w:val="00F55A80"/>
    <w:rsid w:val="00F56740"/>
    <w:rsid w:val="00F62B92"/>
    <w:rsid w:val="00F74F33"/>
    <w:rsid w:val="00F8020E"/>
    <w:rsid w:val="00F84F9B"/>
    <w:rsid w:val="00F86FD1"/>
    <w:rsid w:val="00F87984"/>
    <w:rsid w:val="00F9068F"/>
    <w:rsid w:val="00F94528"/>
    <w:rsid w:val="00F949FE"/>
    <w:rsid w:val="00F96375"/>
    <w:rsid w:val="00FA13CD"/>
    <w:rsid w:val="00FA2171"/>
    <w:rsid w:val="00FA414A"/>
    <w:rsid w:val="00FA706F"/>
    <w:rsid w:val="00FB2610"/>
    <w:rsid w:val="00FB7426"/>
    <w:rsid w:val="00FC468D"/>
    <w:rsid w:val="00FC482E"/>
    <w:rsid w:val="00FD5884"/>
    <w:rsid w:val="00FE3CF6"/>
    <w:rsid w:val="00FE4710"/>
    <w:rsid w:val="00FF3C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935B899-BB02-41E2-AFA7-AA0836BE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C19"/>
    <w:rPr>
      <w:rFonts w:ascii="Times New Roman" w:eastAsia="Times New Roman" w:hAnsi="Times New Roman"/>
      <w:sz w:val="24"/>
      <w:szCs w:val="24"/>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E73C19"/>
    <w:pPr>
      <w:widowControl w:val="0"/>
      <w:suppressAutoHyphens/>
      <w:ind w:left="426" w:firstLine="1"/>
      <w:jc w:val="both"/>
    </w:pPr>
    <w:rPr>
      <w:rFonts w:eastAsia="MS Mincho"/>
      <w:lang w:val="es-ES_tradnl" w:eastAsia="es-PE"/>
    </w:rPr>
  </w:style>
  <w:style w:type="paragraph" w:styleId="NormalWeb">
    <w:name w:val="Normal (Web)"/>
    <w:basedOn w:val="Normal"/>
    <w:uiPriority w:val="99"/>
    <w:rsid w:val="00E73C19"/>
    <w:pPr>
      <w:spacing w:before="100" w:beforeAutospacing="1" w:after="100" w:afterAutospacing="1"/>
    </w:pPr>
    <w:rPr>
      <w:color w:val="000000"/>
      <w:lang w:val="es-ES" w:eastAsia="es-ES"/>
    </w:rPr>
  </w:style>
  <w:style w:type="character" w:styleId="Refdenotaalpie">
    <w:name w:val="footnote reference"/>
    <w:aliases w:val="16 Point,Superscript 6 Point,FC,referencia nota al pie,CVR Ref. de nota al pie"/>
    <w:unhideWhenUsed/>
    <w:rsid w:val="00E73C19"/>
    <w:rPr>
      <w:vertAlign w:val="superscript"/>
    </w:rPr>
  </w:style>
  <w:style w:type="paragraph" w:customStyle="1" w:styleId="WW-Textoindependiente2">
    <w:name w:val="WW-Texto independiente 2"/>
    <w:basedOn w:val="Normal"/>
    <w:rsid w:val="00E73C19"/>
    <w:pPr>
      <w:jc w:val="both"/>
    </w:pPr>
    <w:rPr>
      <w:rFonts w:ascii="Arial" w:hAnsi="Arial"/>
      <w:snapToGrid w:val="0"/>
      <w:lang w:val="es-ES"/>
    </w:rPr>
  </w:style>
  <w:style w:type="paragraph" w:styleId="Prrafodelista">
    <w:name w:val="List Paragraph"/>
    <w:aliases w:val="Titulo de Fígura,TITULO A,Titulo parrafo,Punto,TITULO,Imagen 01.,Iz - Párrafo de lista,Sivsa Parrafo,Párrafo de lista2,Párrafo de lista4,Párrafo de lista21,Cuadro 2-1,Conclusiones,paul2,SCap1,Párrafo de lista3,Fundamentacion"/>
    <w:basedOn w:val="Normal"/>
    <w:link w:val="PrrafodelistaCar"/>
    <w:uiPriority w:val="34"/>
    <w:qFormat/>
    <w:rsid w:val="00E73C19"/>
    <w:pPr>
      <w:ind w:left="720"/>
      <w:contextualSpacing/>
    </w:pPr>
  </w:style>
  <w:style w:type="paragraph" w:styleId="Textoindependiente2">
    <w:name w:val="Body Text 2"/>
    <w:basedOn w:val="Normal"/>
    <w:link w:val="Textoindependiente2Car"/>
    <w:rsid w:val="00E73C19"/>
    <w:pPr>
      <w:widowControl w:val="0"/>
      <w:jc w:val="both"/>
    </w:pPr>
    <w:rPr>
      <w:rFonts w:ascii="Arial" w:hAnsi="Arial"/>
      <w:snapToGrid w:val="0"/>
      <w:szCs w:val="20"/>
      <w:lang w:val="x-none"/>
    </w:rPr>
  </w:style>
  <w:style w:type="character" w:customStyle="1" w:styleId="Textoindependiente2Car">
    <w:name w:val="Texto independiente 2 Car"/>
    <w:link w:val="Textoindependiente2"/>
    <w:rsid w:val="00E73C19"/>
    <w:rPr>
      <w:rFonts w:ascii="Arial" w:eastAsia="Times New Roman" w:hAnsi="Arial" w:cs="Times New Roman"/>
      <w:snapToGrid w:val="0"/>
      <w:sz w:val="24"/>
      <w:szCs w:val="20"/>
      <w:lang w:val="x-none" w:eastAsia="es-MX"/>
    </w:r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3, Car2 Car, Car1, Car,f"/>
    <w:basedOn w:val="Normal"/>
    <w:link w:val="TextonotapieCar"/>
    <w:unhideWhenUsed/>
    <w:qFormat/>
    <w:rsid w:val="00E73C19"/>
    <w:rPr>
      <w:sz w:val="20"/>
      <w:szCs w:val="20"/>
    </w:rPr>
  </w:style>
  <w:style w:type="character" w:customStyle="1" w:styleId="TextonotapieCar">
    <w:name w:val="Texto nota pie Car"/>
    <w:aliases w:val=" Car2 Car1, Car2 Car Car Car Car Car Car, Car1 Car Car, Car2 Car Car Car,Car Car,Car2 Car Car Car Car Car Car,Car2 Car Car,Car2 Car1,Car1 Car Car Car Car Car, Car1 Car Car Car Car Car Car Car,Car1 Car Car,Car1 Car1, Car3 Car, Car Car"/>
    <w:link w:val="Textonotapie"/>
    <w:rsid w:val="00E73C19"/>
    <w:rPr>
      <w:rFonts w:ascii="Times New Roman" w:eastAsia="Times New Roman" w:hAnsi="Times New Roman" w:cs="Times New Roman"/>
      <w:sz w:val="20"/>
      <w:szCs w:val="20"/>
      <w:lang w:val="es-MX" w:eastAsia="es-MX"/>
    </w:rPr>
  </w:style>
  <w:style w:type="paragraph" w:customStyle="1" w:styleId="Normaltimes">
    <w:name w:val="Normal+times"/>
    <w:basedOn w:val="Normal"/>
    <w:link w:val="NormaltimesCar"/>
    <w:rsid w:val="00E73C19"/>
    <w:rPr>
      <w:szCs w:val="20"/>
    </w:rPr>
  </w:style>
  <w:style w:type="character" w:customStyle="1" w:styleId="NormaltimesCar">
    <w:name w:val="Normal+times Car"/>
    <w:link w:val="Normaltimes"/>
    <w:rsid w:val="00E73C19"/>
    <w:rPr>
      <w:rFonts w:ascii="Times New Roman" w:eastAsia="Times New Roman" w:hAnsi="Times New Roman" w:cs="Times New Roman"/>
      <w:sz w:val="24"/>
      <w:szCs w:val="20"/>
      <w:lang w:val="es-MX" w:eastAsia="es-MX"/>
    </w:rPr>
  </w:style>
  <w:style w:type="paragraph" w:customStyle="1" w:styleId="WW-Textosinformato">
    <w:name w:val="WW-Texto sin formato"/>
    <w:basedOn w:val="Normal"/>
    <w:rsid w:val="00E73C19"/>
    <w:pPr>
      <w:suppressAutoHyphens/>
    </w:pPr>
    <w:rPr>
      <w:rFonts w:ascii="Courier New" w:eastAsia="MS Mincho" w:hAnsi="Courier New"/>
      <w:sz w:val="20"/>
      <w:szCs w:val="20"/>
      <w:lang w:val="es-PE" w:eastAsia="es-ES"/>
    </w:rPr>
  </w:style>
  <w:style w:type="character" w:customStyle="1" w:styleId="PrrafodelistaCar">
    <w:name w:val="Párrafo de lista Car"/>
    <w:aliases w:val="Titulo de Fígura Car,TITULO A Car,Titulo parrafo Car,Punto Car,TITULO Car,Imagen 01. Car,Párrafo de lista1 Car,Iz - Párrafo de lista Car,Sivsa Parrafo Car,Párrafo de lista2 Car,Párrafo de lista4 Car,Párrafo de lista21 Car,paul2 Car"/>
    <w:link w:val="Prrafodelista"/>
    <w:uiPriority w:val="34"/>
    <w:rsid w:val="00E73C19"/>
    <w:rPr>
      <w:rFonts w:ascii="Times New Roman" w:eastAsia="Times New Roman" w:hAnsi="Times New Roman" w:cs="Times New Roman"/>
      <w:sz w:val="24"/>
      <w:szCs w:val="24"/>
      <w:lang w:val="es-MX" w:eastAsia="es-MX"/>
    </w:rPr>
  </w:style>
  <w:style w:type="paragraph" w:customStyle="1" w:styleId="Prrafodelista1">
    <w:name w:val="Párrafo de lista1"/>
    <w:basedOn w:val="Normal"/>
    <w:link w:val="ListParagraphChar"/>
    <w:rsid w:val="00E73C19"/>
    <w:pPr>
      <w:spacing w:after="200" w:line="276" w:lineRule="auto"/>
      <w:ind w:left="708"/>
    </w:pPr>
    <w:rPr>
      <w:rFonts w:ascii="Calibri" w:hAnsi="Calibri"/>
      <w:sz w:val="20"/>
      <w:szCs w:val="20"/>
      <w:lang w:val="x-none" w:eastAsia="es-PE"/>
    </w:rPr>
  </w:style>
  <w:style w:type="character" w:customStyle="1" w:styleId="ListParagraphChar">
    <w:name w:val="List Paragraph Char"/>
    <w:link w:val="Prrafodelista1"/>
    <w:locked/>
    <w:rsid w:val="00E73C19"/>
    <w:rPr>
      <w:rFonts w:ascii="Calibri" w:eastAsia="Times New Roman" w:hAnsi="Calibri" w:cs="Times New Roman"/>
      <w:sz w:val="20"/>
      <w:szCs w:val="20"/>
      <w:lang w:val="x-none" w:eastAsia="es-PE"/>
    </w:rPr>
  </w:style>
  <w:style w:type="paragraph" w:styleId="Textodeglobo">
    <w:name w:val="Balloon Text"/>
    <w:basedOn w:val="Normal"/>
    <w:link w:val="TextodegloboCar"/>
    <w:uiPriority w:val="99"/>
    <w:semiHidden/>
    <w:unhideWhenUsed/>
    <w:rsid w:val="00301C35"/>
    <w:rPr>
      <w:rFonts w:ascii="Tahoma" w:hAnsi="Tahoma"/>
      <w:sz w:val="16"/>
      <w:szCs w:val="16"/>
    </w:rPr>
  </w:style>
  <w:style w:type="character" w:customStyle="1" w:styleId="TextodegloboCar">
    <w:name w:val="Texto de globo Car"/>
    <w:link w:val="Textodeglobo"/>
    <w:uiPriority w:val="99"/>
    <w:semiHidden/>
    <w:rsid w:val="00301C35"/>
    <w:rPr>
      <w:rFonts w:ascii="Tahoma" w:eastAsia="Times New Roman" w:hAnsi="Tahoma" w:cs="Tahoma"/>
      <w:sz w:val="16"/>
      <w:szCs w:val="16"/>
      <w:lang w:val="es-MX" w:eastAsia="es-MX"/>
    </w:rPr>
  </w:style>
  <w:style w:type="table" w:styleId="Tablaconcuadrcula">
    <w:name w:val="Table Grid"/>
    <w:basedOn w:val="Tablanormal"/>
    <w:uiPriority w:val="59"/>
    <w:rsid w:val="002C19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extoindependiente21">
    <w:name w:val="Texto independiente 21"/>
    <w:basedOn w:val="Normal"/>
    <w:rsid w:val="000C5F0A"/>
    <w:pPr>
      <w:suppressAutoHyphens/>
      <w:ind w:left="708"/>
      <w:jc w:val="both"/>
    </w:pPr>
    <w:rPr>
      <w:rFonts w:eastAsia="Batang"/>
      <w:sz w:val="20"/>
      <w:szCs w:val="20"/>
      <w:lang w:eastAsia="es-ES"/>
    </w:rPr>
  </w:style>
  <w:style w:type="paragraph" w:customStyle="1" w:styleId="ListParagraph">
    <w:name w:val="List Paragraph"/>
    <w:basedOn w:val="Normal"/>
    <w:link w:val="ListParagraphChar1"/>
    <w:qFormat/>
    <w:rsid w:val="000C5F0A"/>
    <w:pPr>
      <w:spacing w:after="200" w:line="276" w:lineRule="auto"/>
      <w:ind w:left="720"/>
      <w:contextualSpacing/>
    </w:pPr>
    <w:rPr>
      <w:rFonts w:ascii="Calibri" w:hAnsi="Calibri"/>
      <w:sz w:val="22"/>
      <w:szCs w:val="22"/>
      <w:lang w:val="x-none" w:eastAsia="x-none"/>
    </w:rPr>
  </w:style>
  <w:style w:type="character" w:customStyle="1" w:styleId="ListParagraphChar1">
    <w:name w:val="List Paragraph Char1"/>
    <w:link w:val="ListParagraph"/>
    <w:locked/>
    <w:rsid w:val="000C5F0A"/>
    <w:rPr>
      <w:rFonts w:eastAsia="Times New Roman"/>
      <w:sz w:val="22"/>
      <w:szCs w:val="22"/>
    </w:rPr>
  </w:style>
  <w:style w:type="paragraph" w:customStyle="1" w:styleId="Sangra2detindependiente1">
    <w:name w:val="Sangría 2 de t. independiente1"/>
    <w:basedOn w:val="Normal"/>
    <w:rsid w:val="00A85AEA"/>
    <w:pPr>
      <w:suppressAutoHyphens/>
      <w:ind w:left="1418" w:hanging="710"/>
      <w:jc w:val="both"/>
    </w:pPr>
    <w:rPr>
      <w:rFonts w:eastAsia="MS Mincho"/>
      <w:sz w:val="22"/>
      <w:szCs w:val="20"/>
      <w:lang w:val="es-ES_tradnl" w:eastAsia="es-ES"/>
    </w:rPr>
  </w:style>
  <w:style w:type="paragraph" w:customStyle="1" w:styleId="BodyTextIndent21">
    <w:name w:val="Body Text Indent 21"/>
    <w:basedOn w:val="Normal"/>
    <w:rsid w:val="00A85AEA"/>
    <w:pPr>
      <w:suppressAutoHyphens/>
      <w:ind w:left="1418" w:hanging="710"/>
      <w:jc w:val="both"/>
    </w:pPr>
    <w:rPr>
      <w:rFonts w:eastAsia="MS Mincho"/>
      <w:sz w:val="22"/>
      <w:szCs w:val="20"/>
      <w:lang w:val="es-ES_tradnl" w:eastAsia="es-ES"/>
    </w:rPr>
  </w:style>
  <w:style w:type="paragraph" w:styleId="Textoindependiente">
    <w:name w:val="Body Text"/>
    <w:basedOn w:val="Normal"/>
    <w:link w:val="TextoindependienteCar"/>
    <w:uiPriority w:val="99"/>
    <w:unhideWhenUsed/>
    <w:rsid w:val="001C014C"/>
    <w:pPr>
      <w:spacing w:after="120"/>
    </w:pPr>
  </w:style>
  <w:style w:type="character" w:customStyle="1" w:styleId="TextoindependienteCar">
    <w:name w:val="Texto independiente Car"/>
    <w:basedOn w:val="Fuentedeprrafopredeter"/>
    <w:link w:val="Textoindependiente"/>
    <w:uiPriority w:val="99"/>
    <w:rsid w:val="001C014C"/>
    <w:rPr>
      <w:rFonts w:ascii="Times New Roman" w:eastAsia="Times New Roman" w:hAnsi="Times New Roman"/>
      <w:sz w:val="24"/>
      <w:szCs w:val="24"/>
      <w:lang w:val="es-MX" w:eastAsia="es-MX"/>
    </w:rPr>
  </w:style>
  <w:style w:type="paragraph" w:styleId="Sangra2detindependiente">
    <w:name w:val="Body Text Indent 2"/>
    <w:basedOn w:val="Normal"/>
    <w:link w:val="Sangra2detindependienteCar"/>
    <w:rsid w:val="00DD6C2E"/>
    <w:pPr>
      <w:spacing w:after="120" w:line="480" w:lineRule="auto"/>
      <w:ind w:left="283"/>
    </w:pPr>
    <w:rPr>
      <w:lang w:val="es-ES" w:eastAsia="es-ES"/>
    </w:rPr>
  </w:style>
  <w:style w:type="character" w:customStyle="1" w:styleId="Sangra2detindependienteCar">
    <w:name w:val="Sangría 2 de t. independiente Car"/>
    <w:basedOn w:val="Fuentedeprrafopredeter"/>
    <w:link w:val="Sangra2detindependiente"/>
    <w:rsid w:val="00DD6C2E"/>
    <w:rPr>
      <w:rFonts w:ascii="Times New Roman" w:eastAsia="Times New Roman" w:hAnsi="Times New Roman"/>
      <w:sz w:val="24"/>
      <w:szCs w:val="24"/>
      <w:lang w:val="es-ES" w:eastAsia="es-ES"/>
    </w:rPr>
  </w:style>
  <w:style w:type="paragraph" w:customStyle="1" w:styleId="Default">
    <w:name w:val="Default"/>
    <w:rsid w:val="00CD0162"/>
    <w:pPr>
      <w:autoSpaceDE w:val="0"/>
      <w:autoSpaceDN w:val="0"/>
      <w:adjustRightInd w:val="0"/>
    </w:pPr>
    <w:rPr>
      <w:rFonts w:ascii="Times New Roman" w:hAnsi="Times New Roman"/>
      <w:color w:val="000000"/>
      <w:sz w:val="24"/>
      <w:szCs w:val="24"/>
    </w:rPr>
  </w:style>
  <w:style w:type="paragraph" w:styleId="Encabezado">
    <w:name w:val="header"/>
    <w:basedOn w:val="Normal"/>
    <w:link w:val="EncabezadoCar"/>
    <w:uiPriority w:val="99"/>
    <w:unhideWhenUsed/>
    <w:rsid w:val="009208B6"/>
    <w:pPr>
      <w:tabs>
        <w:tab w:val="center" w:pos="4419"/>
        <w:tab w:val="right" w:pos="8838"/>
      </w:tabs>
    </w:pPr>
  </w:style>
  <w:style w:type="character" w:customStyle="1" w:styleId="EncabezadoCar">
    <w:name w:val="Encabezado Car"/>
    <w:basedOn w:val="Fuentedeprrafopredeter"/>
    <w:link w:val="Encabezado"/>
    <w:uiPriority w:val="99"/>
    <w:rsid w:val="009208B6"/>
    <w:rPr>
      <w:rFonts w:ascii="Times New Roman" w:eastAsia="Times New Roman" w:hAnsi="Times New Roman"/>
      <w:sz w:val="24"/>
      <w:szCs w:val="24"/>
      <w:lang w:val="es-MX" w:eastAsia="es-MX"/>
    </w:rPr>
  </w:style>
  <w:style w:type="paragraph" w:styleId="Piedepgina">
    <w:name w:val="footer"/>
    <w:basedOn w:val="Normal"/>
    <w:link w:val="PiedepginaCar"/>
    <w:uiPriority w:val="99"/>
    <w:semiHidden/>
    <w:unhideWhenUsed/>
    <w:rsid w:val="009208B6"/>
    <w:pPr>
      <w:tabs>
        <w:tab w:val="center" w:pos="4419"/>
        <w:tab w:val="right" w:pos="8838"/>
      </w:tabs>
    </w:pPr>
  </w:style>
  <w:style w:type="character" w:customStyle="1" w:styleId="PiedepginaCar">
    <w:name w:val="Pie de página Car"/>
    <w:basedOn w:val="Fuentedeprrafopredeter"/>
    <w:link w:val="Piedepgina"/>
    <w:uiPriority w:val="99"/>
    <w:semiHidden/>
    <w:rsid w:val="009208B6"/>
    <w:rPr>
      <w:rFonts w:ascii="Times New Roman" w:eastAsia="Times New Roman" w:hAnsi="Times New Roman"/>
      <w:sz w:val="24"/>
      <w:szCs w:val="24"/>
      <w:lang w:val="es-MX" w:eastAsia="es-MX"/>
    </w:rPr>
  </w:style>
  <w:style w:type="character" w:styleId="Hipervnculo">
    <w:name w:val="Hyperlink"/>
    <w:uiPriority w:val="99"/>
    <w:unhideWhenUsed/>
    <w:rsid w:val="00FF3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AE3FA-E00D-4CA4-B296-5C4FED28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2575</Words>
  <Characters>14168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Noel Mayo Zambrano</dc:creator>
  <cp:keywords/>
  <cp:lastModifiedBy>Ivette Perret Bermudez</cp:lastModifiedBy>
  <cp:revision>2</cp:revision>
  <cp:lastPrinted>2016-05-03T19:34:00Z</cp:lastPrinted>
  <dcterms:created xsi:type="dcterms:W3CDTF">2016-05-20T21:52:00Z</dcterms:created>
  <dcterms:modified xsi:type="dcterms:W3CDTF">2016-05-20T21:52:00Z</dcterms:modified>
</cp:coreProperties>
</file>