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219" w:rsidRPr="001001B3" w:rsidRDefault="001B0219" w:rsidP="001B0219">
      <w:pPr>
        <w:widowControl w:val="0"/>
        <w:jc w:val="center"/>
        <w:rPr>
          <w:b/>
          <w:u w:val="single"/>
        </w:rPr>
      </w:pPr>
      <w:r w:rsidRPr="001001B3">
        <w:rPr>
          <w:b/>
          <w:u w:val="single"/>
        </w:rPr>
        <w:t>PRONUNCIAMIENTO N°</w:t>
      </w:r>
      <w:r w:rsidR="00B773CF">
        <w:rPr>
          <w:b/>
          <w:u w:val="single"/>
        </w:rPr>
        <w:t xml:space="preserve"> 059</w:t>
      </w:r>
      <w:r w:rsidR="005850C3">
        <w:rPr>
          <w:b/>
          <w:u w:val="single"/>
        </w:rPr>
        <w:t>-2016</w:t>
      </w:r>
      <w:r w:rsidRPr="001001B3">
        <w:rPr>
          <w:b/>
          <w:u w:val="single"/>
        </w:rPr>
        <w:t>/DSU</w:t>
      </w:r>
    </w:p>
    <w:p w:rsidR="001B0219" w:rsidRPr="001001B3" w:rsidRDefault="001B0219" w:rsidP="001B0219">
      <w:pPr>
        <w:widowControl w:val="0"/>
        <w:tabs>
          <w:tab w:val="left" w:pos="1980"/>
        </w:tabs>
        <w:ind w:left="2880" w:hanging="2880"/>
        <w:jc w:val="both"/>
      </w:pPr>
    </w:p>
    <w:p w:rsidR="001B0219" w:rsidRPr="001001B3" w:rsidRDefault="001B0219" w:rsidP="001B0219">
      <w:pPr>
        <w:widowControl w:val="0"/>
        <w:ind w:left="2977" w:hanging="2977"/>
        <w:jc w:val="both"/>
      </w:pPr>
      <w:r w:rsidRPr="001001B3">
        <w:t>Entidad:</w:t>
      </w:r>
      <w:r w:rsidRPr="001001B3">
        <w:tab/>
        <w:t xml:space="preserve">Ministerio Público </w:t>
      </w:r>
    </w:p>
    <w:p w:rsidR="001B0219" w:rsidRPr="001001B3" w:rsidRDefault="001B0219" w:rsidP="001B0219">
      <w:pPr>
        <w:widowControl w:val="0"/>
        <w:ind w:left="2977" w:hanging="2977"/>
        <w:jc w:val="both"/>
      </w:pPr>
    </w:p>
    <w:p w:rsidR="001B0219" w:rsidRPr="001001B3" w:rsidRDefault="001B0219" w:rsidP="001B0219">
      <w:pPr>
        <w:widowControl w:val="0"/>
        <w:ind w:left="2977" w:hanging="2977"/>
        <w:jc w:val="both"/>
      </w:pPr>
      <w:r w:rsidRPr="001001B3">
        <w:t>Referencia:</w:t>
      </w:r>
      <w:r w:rsidRPr="001001B3">
        <w:tab/>
      </w:r>
      <w:r w:rsidRPr="001001B3">
        <w:rPr>
          <w:lang w:val="es-ES"/>
        </w:rPr>
        <w:t xml:space="preserve">Concurso Público Nº 16-2015-MPFN-1, convocado para la contratación del servicio de “Vigilancia en la zona </w:t>
      </w:r>
      <w:proofErr w:type="spellStart"/>
      <w:r w:rsidRPr="001001B3">
        <w:rPr>
          <w:lang w:val="es-ES"/>
        </w:rPr>
        <w:t>Nor</w:t>
      </w:r>
      <w:proofErr w:type="spellEnd"/>
      <w:r w:rsidRPr="001001B3">
        <w:rPr>
          <w:lang w:val="es-ES"/>
        </w:rPr>
        <w:t xml:space="preserve"> Oriente”.</w:t>
      </w:r>
    </w:p>
    <w:p w:rsidR="001B0219" w:rsidRPr="001001B3" w:rsidRDefault="001B0219" w:rsidP="001B0219">
      <w:pPr>
        <w:widowControl w:val="0"/>
        <w:pBdr>
          <w:bottom w:val="single" w:sz="6" w:space="0" w:color="auto"/>
        </w:pBdr>
        <w:jc w:val="both"/>
      </w:pPr>
    </w:p>
    <w:p w:rsidR="001B0219" w:rsidRPr="001001B3" w:rsidRDefault="001B0219" w:rsidP="001B0219">
      <w:pPr>
        <w:widowControl w:val="0"/>
        <w:jc w:val="both"/>
      </w:pPr>
    </w:p>
    <w:p w:rsidR="001B0219" w:rsidRPr="001001B3" w:rsidRDefault="001B0219" w:rsidP="001B0219">
      <w:pPr>
        <w:widowControl w:val="0"/>
        <w:numPr>
          <w:ilvl w:val="0"/>
          <w:numId w:val="2"/>
        </w:numPr>
        <w:tabs>
          <w:tab w:val="clear" w:pos="360"/>
        </w:tabs>
        <w:ind w:left="567" w:hanging="567"/>
        <w:jc w:val="both"/>
        <w:rPr>
          <w:b/>
        </w:rPr>
      </w:pPr>
      <w:r w:rsidRPr="001001B3">
        <w:rPr>
          <w:b/>
        </w:rPr>
        <w:t xml:space="preserve">ANTECEDENTES </w:t>
      </w:r>
    </w:p>
    <w:p w:rsidR="001B0219" w:rsidRPr="001001B3" w:rsidRDefault="001B0219" w:rsidP="001B0219">
      <w:pPr>
        <w:pStyle w:val="WW-Textoindependiente2"/>
        <w:tabs>
          <w:tab w:val="left" w:pos="0"/>
        </w:tabs>
        <w:rPr>
          <w:rFonts w:ascii="Times New Roman" w:hAnsi="Times New Roman"/>
          <w:lang w:eastAsia="es-ES"/>
        </w:rPr>
      </w:pPr>
    </w:p>
    <w:p w:rsidR="001B0219" w:rsidRPr="001001B3" w:rsidRDefault="001B0219" w:rsidP="001B0219">
      <w:pPr>
        <w:jc w:val="both"/>
        <w:rPr>
          <w:b/>
          <w:lang w:eastAsia="es-ES"/>
        </w:rPr>
      </w:pPr>
      <w:r w:rsidRPr="001001B3">
        <w:rPr>
          <w:lang w:eastAsia="es-ES"/>
        </w:rPr>
        <w:t xml:space="preserve">Mediante </w:t>
      </w:r>
      <w:r w:rsidR="003628B3" w:rsidRPr="001001B3">
        <w:rPr>
          <w:lang w:eastAsia="es-ES"/>
        </w:rPr>
        <w:t>Carta</w:t>
      </w:r>
      <w:r w:rsidRPr="001001B3">
        <w:rPr>
          <w:lang w:eastAsia="es-ES"/>
        </w:rPr>
        <w:t xml:space="preserve"> N° </w:t>
      </w:r>
      <w:r w:rsidR="003628B3" w:rsidRPr="001001B3">
        <w:rPr>
          <w:lang w:eastAsia="es-ES"/>
        </w:rPr>
        <w:t>0001-2015-MP-FN-GG-CE</w:t>
      </w:r>
      <w:r w:rsidRPr="001001B3">
        <w:rPr>
          <w:lang w:eastAsia="es-ES"/>
        </w:rPr>
        <w:t xml:space="preserve"> recibido con fecha </w:t>
      </w:r>
      <w:r w:rsidR="003628B3" w:rsidRPr="001001B3">
        <w:rPr>
          <w:lang w:eastAsia="es-ES"/>
        </w:rPr>
        <w:t>24</w:t>
      </w:r>
      <w:r w:rsidRPr="001001B3">
        <w:rPr>
          <w:lang w:eastAsia="es-ES"/>
        </w:rPr>
        <w:t>.DIC</w:t>
      </w:r>
      <w:r w:rsidR="003628B3" w:rsidRPr="001001B3">
        <w:rPr>
          <w:lang w:eastAsia="es-ES"/>
        </w:rPr>
        <w:t>.2015</w:t>
      </w:r>
      <w:r w:rsidRPr="001001B3">
        <w:rPr>
          <w:lang w:eastAsia="es-ES"/>
        </w:rPr>
        <w:t xml:space="preserve">, el Presidente </w:t>
      </w:r>
      <w:r w:rsidRPr="001001B3">
        <w:rPr>
          <w:lang w:val="es-ES" w:eastAsia="es-ES"/>
        </w:rPr>
        <w:t xml:space="preserve">del Comité Especial a cargo </w:t>
      </w:r>
      <w:r w:rsidRPr="001001B3">
        <w:rPr>
          <w:lang w:eastAsia="es-ES"/>
        </w:rPr>
        <w:t>del proceso de selección de la referencia remitió al Organismo Supervisor de las Cont</w:t>
      </w:r>
      <w:r w:rsidR="00B05548" w:rsidRPr="001001B3">
        <w:rPr>
          <w:lang w:eastAsia="es-ES"/>
        </w:rPr>
        <w:t>rataciones del Estado (OSCE) la</w:t>
      </w:r>
      <w:r w:rsidRPr="001001B3">
        <w:rPr>
          <w:lang w:eastAsia="es-ES"/>
        </w:rPr>
        <w:t xml:space="preserve"> </w:t>
      </w:r>
      <w:r w:rsidR="00B05548" w:rsidRPr="001001B3">
        <w:rPr>
          <w:lang w:eastAsia="es-ES"/>
        </w:rPr>
        <w:t>única (1) observación</w:t>
      </w:r>
      <w:r w:rsidR="005F4780" w:rsidRPr="001001B3">
        <w:rPr>
          <w:lang w:eastAsia="es-ES"/>
        </w:rPr>
        <w:t xml:space="preserve"> formulada</w:t>
      </w:r>
      <w:r w:rsidR="00B05548" w:rsidRPr="001001B3">
        <w:rPr>
          <w:lang w:eastAsia="es-ES"/>
        </w:rPr>
        <w:t xml:space="preserve"> por el participante</w:t>
      </w:r>
      <w:r w:rsidR="00B05548" w:rsidRPr="001001B3">
        <w:rPr>
          <w:b/>
          <w:lang w:eastAsia="es-ES"/>
        </w:rPr>
        <w:t xml:space="preserve"> GRUPO DE RESGUARDO Y SEGURIDAD SAC</w:t>
      </w:r>
      <w:r w:rsidR="00B05548" w:rsidRPr="001001B3">
        <w:rPr>
          <w:lang w:eastAsia="es-ES"/>
        </w:rPr>
        <w:t xml:space="preserve">, </w:t>
      </w:r>
      <w:r w:rsidRPr="001001B3">
        <w:rPr>
          <w:lang w:eastAsia="es-ES"/>
        </w:rPr>
        <w:t xml:space="preserve">así como el respectivo informe técnico, </w:t>
      </w:r>
      <w:r w:rsidRPr="001001B3">
        <w:rPr>
          <w:lang w:val="es-ES" w:eastAsia="es-ES"/>
        </w:rPr>
        <w:t>en cumplimiento de lo dispuesto por el artículo 28º</w:t>
      </w:r>
      <w:r w:rsidRPr="001001B3">
        <w:rPr>
          <w:lang w:val="es-ES"/>
        </w:rPr>
        <w:t xml:space="preserve"> del Decreto Legislativo Nº 1017, </w:t>
      </w:r>
      <w:r w:rsidRPr="001001B3">
        <w:rPr>
          <w:lang w:val="es-ES_tradnl" w:eastAsia="es-ES"/>
        </w:rPr>
        <w:t>que aprueba la Ley de Contrataciones del Estado, en adelante la Ley, y el artículo 58º de su Reglamento, aprobado por Decreto Supremo Nº 184-2008-EF, en adelante el Reglamento.</w:t>
      </w:r>
    </w:p>
    <w:p w:rsidR="001B0219" w:rsidRPr="001001B3" w:rsidRDefault="001B0219" w:rsidP="001B0219">
      <w:pPr>
        <w:pStyle w:val="NormalWeb"/>
        <w:widowControl w:val="0"/>
        <w:spacing w:before="0" w:beforeAutospacing="0" w:after="0" w:afterAutospacing="0"/>
        <w:jc w:val="both"/>
        <w:rPr>
          <w:color w:val="auto"/>
          <w:lang w:val="es-PE"/>
        </w:rPr>
      </w:pPr>
    </w:p>
    <w:p w:rsidR="001B0219" w:rsidRPr="001001B3" w:rsidRDefault="001B0219" w:rsidP="001B0219">
      <w:pPr>
        <w:pStyle w:val="NormalWeb"/>
        <w:widowControl w:val="0"/>
        <w:spacing w:before="0" w:beforeAutospacing="0" w:after="0" w:afterAutospacing="0"/>
        <w:jc w:val="both"/>
        <w:rPr>
          <w:snapToGrid w:val="0"/>
          <w:color w:val="auto"/>
          <w:lang w:val="es-PE"/>
        </w:rPr>
      </w:pPr>
      <w:r w:rsidRPr="001001B3">
        <w:rPr>
          <w:b/>
          <w:color w:val="auto"/>
        </w:rPr>
        <w:t>2. OBSERVACIONES</w:t>
      </w:r>
      <w:r w:rsidRPr="001001B3">
        <w:rPr>
          <w:color w:val="auto"/>
        </w:rPr>
        <w:cr/>
      </w:r>
    </w:p>
    <w:p w:rsidR="001B0219" w:rsidRPr="001001B3" w:rsidRDefault="0004459E" w:rsidP="001B0219">
      <w:pPr>
        <w:widowControl w:val="0"/>
        <w:ind w:left="4253" w:hanging="4253"/>
        <w:jc w:val="both"/>
        <w:rPr>
          <w:rFonts w:eastAsia="MS Mincho"/>
          <w:b/>
          <w:lang w:val="es-PE" w:eastAsia="es-ES"/>
        </w:rPr>
      </w:pPr>
      <w:r>
        <w:rPr>
          <w:noProof/>
          <w:lang w:val="es-PE" w:eastAsia="es-PE"/>
        </w:rPr>
        <w:drawing>
          <wp:anchor distT="0" distB="0" distL="114300" distR="114300" simplePos="0" relativeHeight="251661312" behindDoc="0" locked="0" layoutInCell="1" allowOverlap="1" wp14:anchorId="5F7A3712" wp14:editId="6E9F9C5B">
            <wp:simplePos x="0" y="0"/>
            <wp:positionH relativeFrom="leftMargin">
              <wp:align>right</wp:align>
            </wp:positionH>
            <wp:positionV relativeFrom="paragraph">
              <wp:posOffset>179070</wp:posOffset>
            </wp:positionV>
            <wp:extent cx="920750" cy="27336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8"/>
                    <a:srcRect r="8285" b="28607"/>
                    <a:stretch/>
                  </pic:blipFill>
                  <pic:spPr bwMode="auto">
                    <a:xfrm>
                      <a:off x="0" y="0"/>
                      <a:ext cx="920750" cy="2733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B0219" w:rsidRPr="001001B3">
        <w:rPr>
          <w:rFonts w:eastAsia="MS Mincho"/>
          <w:b/>
          <w:lang w:val="es-PE" w:eastAsia="es-PE"/>
        </w:rPr>
        <w:t>2.1 Observante:</w:t>
      </w:r>
      <w:r w:rsidR="001B0219" w:rsidRPr="001001B3">
        <w:rPr>
          <w:rFonts w:eastAsia="MS Mincho"/>
          <w:lang w:val="es-PE" w:eastAsia="es-PE"/>
        </w:rPr>
        <w:t xml:space="preserve">        </w:t>
      </w:r>
      <w:r w:rsidR="001B0219" w:rsidRPr="001001B3">
        <w:rPr>
          <w:b/>
          <w:lang w:val="es-PE"/>
        </w:rPr>
        <w:t xml:space="preserve">                          </w:t>
      </w:r>
      <w:r w:rsidR="001B0219" w:rsidRPr="001001B3">
        <w:rPr>
          <w:b/>
          <w:lang w:val="es-PE"/>
        </w:rPr>
        <w:tab/>
      </w:r>
      <w:r w:rsidR="005F4780" w:rsidRPr="001001B3">
        <w:rPr>
          <w:b/>
          <w:lang w:eastAsia="es-ES"/>
        </w:rPr>
        <w:t>GRUPO DE RESGUARDO Y SEGURIDAD SAC</w:t>
      </w:r>
    </w:p>
    <w:p w:rsidR="001B0219" w:rsidRPr="001001B3" w:rsidRDefault="001B0219" w:rsidP="001B0219">
      <w:pPr>
        <w:pStyle w:val="Normaltimes"/>
        <w:ind w:left="4254" w:hanging="4254"/>
        <w:jc w:val="both"/>
        <w:rPr>
          <w:b/>
          <w:color w:val="C00000"/>
          <w:szCs w:val="24"/>
          <w:lang w:val="es-PE"/>
        </w:rPr>
      </w:pPr>
    </w:p>
    <w:p w:rsidR="001B0219" w:rsidRPr="001001B3" w:rsidRDefault="001B0219" w:rsidP="00CE7819">
      <w:pPr>
        <w:pStyle w:val="Normaltimes"/>
        <w:ind w:left="4254" w:hanging="4254"/>
        <w:jc w:val="both"/>
        <w:rPr>
          <w:b/>
          <w:szCs w:val="24"/>
        </w:rPr>
      </w:pPr>
      <w:r w:rsidRPr="001001B3">
        <w:rPr>
          <w:b/>
          <w:szCs w:val="24"/>
        </w:rPr>
        <w:t>Observación Nº 1:</w:t>
      </w:r>
      <w:r w:rsidRPr="001001B3">
        <w:rPr>
          <w:b/>
          <w:szCs w:val="24"/>
        </w:rPr>
        <w:tab/>
        <w:t xml:space="preserve">Contra </w:t>
      </w:r>
      <w:r w:rsidR="005F4780" w:rsidRPr="001001B3">
        <w:rPr>
          <w:b/>
          <w:szCs w:val="24"/>
        </w:rPr>
        <w:t>la absolución de la Consulta N° 2 y 3 del participante PROSEGURIDAD SA.</w:t>
      </w:r>
    </w:p>
    <w:p w:rsidR="001B0219" w:rsidRPr="001001B3" w:rsidRDefault="001B0219" w:rsidP="001B0219">
      <w:pPr>
        <w:jc w:val="both"/>
        <w:rPr>
          <w:color w:val="C00000"/>
        </w:rPr>
      </w:pPr>
    </w:p>
    <w:p w:rsidR="001B0219" w:rsidRPr="001001B3" w:rsidRDefault="001B0219" w:rsidP="00CE7819">
      <w:pPr>
        <w:widowControl w:val="0"/>
        <w:jc w:val="both"/>
      </w:pPr>
      <w:r w:rsidRPr="001001B3">
        <w:t>El participante cuestiona que el Comité Especial con ocasión de la absolución de la</w:t>
      </w:r>
      <w:r w:rsidR="00F1229A">
        <w:t>s</w:t>
      </w:r>
      <w:r w:rsidRPr="001001B3">
        <w:t xml:space="preserve"> </w:t>
      </w:r>
      <w:r w:rsidR="00CE7819" w:rsidRPr="001001B3">
        <w:t>Consulta</w:t>
      </w:r>
      <w:r w:rsidR="00F1229A">
        <w:t>s</w:t>
      </w:r>
      <w:r w:rsidR="00183906" w:rsidRPr="001001B3">
        <w:t xml:space="preserve"> N° 2 y</w:t>
      </w:r>
      <w:r w:rsidR="00CE7819" w:rsidRPr="001001B3">
        <w:t xml:space="preserve"> 3</w:t>
      </w:r>
      <w:r w:rsidRPr="001001B3">
        <w:t xml:space="preserve"> formulada</w:t>
      </w:r>
      <w:r w:rsidR="00CE7819" w:rsidRPr="001001B3">
        <w:t xml:space="preserve">s </w:t>
      </w:r>
      <w:r w:rsidRPr="001001B3">
        <w:t xml:space="preserve">por el participante </w:t>
      </w:r>
      <w:r w:rsidR="00CE7819" w:rsidRPr="001001B3">
        <w:rPr>
          <w:b/>
        </w:rPr>
        <w:t>PROSEGURIDAD S.A</w:t>
      </w:r>
      <w:r w:rsidRPr="001001B3">
        <w:rPr>
          <w:b/>
        </w:rPr>
        <w:t>.</w:t>
      </w:r>
      <w:r w:rsidRPr="001001B3">
        <w:t>,</w:t>
      </w:r>
      <w:r w:rsidR="00D43F0E" w:rsidRPr="001001B3">
        <w:t xml:space="preserve"> haya modificado </w:t>
      </w:r>
      <w:r w:rsidR="00183906" w:rsidRPr="001001B3">
        <w:t>el literal k) de la documentación de presentación obligatoria</w:t>
      </w:r>
      <w:r w:rsidR="00600439">
        <w:t>, permitiendo la presentación de una Declaración Jurada p</w:t>
      </w:r>
      <w:r w:rsidR="00A10737">
        <w:t>ara acreditar contar</w:t>
      </w:r>
      <w:r w:rsidR="00600439">
        <w:t xml:space="preserve"> con un centro de instrucción, capacitación, formación y entrenamiento físico, de acuerdo al Distrito Fiscal que postule, pudiendo ser éste de su propiedad, alquilado o cedido en </w:t>
      </w:r>
      <w:proofErr w:type="gramStart"/>
      <w:r w:rsidR="00600439">
        <w:t xml:space="preserve">uso </w:t>
      </w:r>
      <w:r w:rsidR="004C6001" w:rsidRPr="001001B3">
        <w:t>.</w:t>
      </w:r>
      <w:proofErr w:type="gramEnd"/>
      <w:r w:rsidR="004C6001" w:rsidRPr="001001B3">
        <w:t xml:space="preserve"> Asimismo,</w:t>
      </w:r>
      <w:r w:rsidR="00694353" w:rsidRPr="001001B3">
        <w:t xml:space="preserve"> indica que una declaración </w:t>
      </w:r>
      <w:r w:rsidR="00183906" w:rsidRPr="001001B3">
        <w:t>jurada resulta insuficiente y</w:t>
      </w:r>
      <w:r w:rsidR="00694353" w:rsidRPr="001001B3">
        <w:t xml:space="preserve"> contraria al artículo 61 del Reglamento. Por lo tanto, solicita dejar sin efecto</w:t>
      </w:r>
      <w:r w:rsidR="00183906" w:rsidRPr="001001B3">
        <w:t xml:space="preserve"> dicha </w:t>
      </w:r>
      <w:r w:rsidR="00600439">
        <w:t xml:space="preserve">modificación. </w:t>
      </w:r>
    </w:p>
    <w:p w:rsidR="001B0219" w:rsidRPr="001001B3" w:rsidRDefault="001B0219" w:rsidP="001B0219">
      <w:pPr>
        <w:jc w:val="both"/>
        <w:rPr>
          <w:b/>
        </w:rPr>
      </w:pPr>
    </w:p>
    <w:p w:rsidR="001B0219" w:rsidRPr="001001B3" w:rsidRDefault="00637978" w:rsidP="001B0219">
      <w:pPr>
        <w:jc w:val="both"/>
        <w:rPr>
          <w:b/>
        </w:rPr>
      </w:pPr>
      <w:r w:rsidRPr="001001B3">
        <w:rPr>
          <w:b/>
        </w:rPr>
        <w:t>Pronunciamient</w:t>
      </w:r>
      <w:r w:rsidR="0083352C" w:rsidRPr="001001B3">
        <w:rPr>
          <w:b/>
        </w:rPr>
        <w:t>o</w:t>
      </w:r>
    </w:p>
    <w:p w:rsidR="001B0219" w:rsidRPr="001001B3" w:rsidRDefault="001B0219" w:rsidP="001B0219">
      <w:pPr>
        <w:pStyle w:val="WW-Sangra3detindependiente"/>
        <w:widowControl/>
        <w:suppressAutoHyphens w:val="0"/>
        <w:ind w:left="2"/>
      </w:pPr>
    </w:p>
    <w:p w:rsidR="001B0219" w:rsidRPr="001001B3" w:rsidRDefault="00183906" w:rsidP="001B0219">
      <w:pPr>
        <w:widowControl w:val="0"/>
        <w:tabs>
          <w:tab w:val="left" w:pos="3969"/>
        </w:tabs>
        <w:jc w:val="both"/>
      </w:pPr>
      <w:r w:rsidRPr="001001B3">
        <w:t>De la revisión del Capítulo II</w:t>
      </w:r>
      <w:r w:rsidR="001B0219" w:rsidRPr="001001B3">
        <w:t xml:space="preserve"> de las Bases se advierte que se ha establecido: </w:t>
      </w:r>
    </w:p>
    <w:p w:rsidR="00183906" w:rsidRPr="001001B3" w:rsidRDefault="00183906" w:rsidP="001B0219">
      <w:pPr>
        <w:widowControl w:val="0"/>
        <w:tabs>
          <w:tab w:val="left" w:pos="3969"/>
        </w:tabs>
        <w:jc w:val="both"/>
      </w:pPr>
    </w:p>
    <w:p w:rsidR="00183906" w:rsidRPr="001001B3" w:rsidRDefault="00183906" w:rsidP="00183906">
      <w:pPr>
        <w:widowControl w:val="0"/>
        <w:tabs>
          <w:tab w:val="left" w:pos="3969"/>
        </w:tabs>
      </w:pPr>
      <w:r w:rsidRPr="001001B3">
        <w:t xml:space="preserve">          </w:t>
      </w:r>
      <w:r w:rsidRPr="001001B3">
        <w:rPr>
          <w:noProof/>
          <w:lang w:val="es-PE" w:eastAsia="es-PE"/>
        </w:rPr>
        <w:drawing>
          <wp:inline distT="0" distB="0" distL="0" distR="0">
            <wp:extent cx="2493264" cy="173902"/>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4072" cy="183026"/>
                    </a:xfrm>
                    <a:prstGeom prst="rect">
                      <a:avLst/>
                    </a:prstGeom>
                    <a:noFill/>
                    <a:ln>
                      <a:noFill/>
                    </a:ln>
                  </pic:spPr>
                </pic:pic>
              </a:graphicData>
            </a:graphic>
          </wp:inline>
        </w:drawing>
      </w:r>
    </w:p>
    <w:p w:rsidR="00183906" w:rsidRPr="001001B3" w:rsidRDefault="00183906" w:rsidP="001B0219">
      <w:pPr>
        <w:widowControl w:val="0"/>
        <w:tabs>
          <w:tab w:val="left" w:pos="3969"/>
        </w:tabs>
        <w:jc w:val="both"/>
      </w:pPr>
    </w:p>
    <w:p w:rsidR="00183906" w:rsidRDefault="00183906" w:rsidP="00E85976">
      <w:pPr>
        <w:widowControl w:val="0"/>
        <w:tabs>
          <w:tab w:val="left" w:pos="3969"/>
        </w:tabs>
        <w:jc w:val="center"/>
      </w:pPr>
      <w:r w:rsidRPr="001001B3">
        <w:rPr>
          <w:noProof/>
          <w:lang w:val="es-PE" w:eastAsia="es-PE"/>
        </w:rPr>
        <w:drawing>
          <wp:inline distT="0" distB="0" distL="0" distR="0">
            <wp:extent cx="3175805" cy="1045028"/>
            <wp:effectExtent l="0" t="0" r="5715" b="3175"/>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16239" cy="1091239"/>
                    </a:xfrm>
                    <a:prstGeom prst="rect">
                      <a:avLst/>
                    </a:prstGeom>
                    <a:noFill/>
                    <a:ln>
                      <a:noFill/>
                    </a:ln>
                  </pic:spPr>
                </pic:pic>
              </a:graphicData>
            </a:graphic>
          </wp:inline>
        </w:drawing>
      </w:r>
    </w:p>
    <w:p w:rsidR="00C73100" w:rsidRPr="001001B3" w:rsidRDefault="00C73100" w:rsidP="00E85976">
      <w:pPr>
        <w:widowControl w:val="0"/>
        <w:tabs>
          <w:tab w:val="left" w:pos="3969"/>
        </w:tabs>
        <w:jc w:val="center"/>
      </w:pPr>
    </w:p>
    <w:p w:rsidR="00183906" w:rsidRPr="001001B3" w:rsidRDefault="00183906" w:rsidP="001B0219">
      <w:pPr>
        <w:widowControl w:val="0"/>
        <w:tabs>
          <w:tab w:val="left" w:pos="3969"/>
        </w:tabs>
        <w:jc w:val="both"/>
        <w:rPr>
          <w:i/>
        </w:rPr>
      </w:pPr>
      <w:r w:rsidRPr="001001B3">
        <w:t xml:space="preserve">Ahora bien, con ocasión de la absolución de la Consulta N° 2 del participante PROSEGURIDAD S.A, se advierte que el Comité Especial indicó: </w:t>
      </w:r>
      <w:r w:rsidRPr="001001B3">
        <w:rPr>
          <w:i/>
        </w:rPr>
        <w:t xml:space="preserve">“ (…)en la presentación de documentos obligatorios, </w:t>
      </w:r>
      <w:r w:rsidRPr="001001B3">
        <w:rPr>
          <w:i/>
          <w:u w:val="single"/>
        </w:rPr>
        <w:t>en lugar de la presentación de la licencia, se deberá presentar una declaración jurada</w:t>
      </w:r>
      <w:r w:rsidRPr="001001B3">
        <w:rPr>
          <w:b/>
          <w:i/>
        </w:rPr>
        <w:t xml:space="preserve"> </w:t>
      </w:r>
      <w:r w:rsidRPr="001001B3">
        <w:rPr>
          <w:i/>
        </w:rPr>
        <w:t>mediante el cual el postor señale que cuenta con un lugar donde pueda brindar instrucción, capacitación, formación y entrenamiento físico al personal asignado a la presentación del servicio de vigilancia en el Ministerio P</w:t>
      </w:r>
      <w:r w:rsidR="00E85976" w:rsidRPr="001001B3">
        <w:rPr>
          <w:i/>
        </w:rPr>
        <w:t xml:space="preserve">úblico. Este lugar debe ser por cada ítem, siendo su ubicación en cualquier Distrito Fiscal que corresponde a cada ítem. Asimismo, esta declaración jurada se deberá presentar por cada ítem al que el postor se presente”. </w:t>
      </w:r>
      <w:r w:rsidR="00E85976" w:rsidRPr="001001B3">
        <w:t>(El subrayado es agregado).</w:t>
      </w:r>
      <w:r w:rsidR="00E85976" w:rsidRPr="001001B3">
        <w:rPr>
          <w:i/>
        </w:rPr>
        <w:t xml:space="preserve"> </w:t>
      </w:r>
    </w:p>
    <w:p w:rsidR="00183906" w:rsidRPr="001001B3" w:rsidRDefault="00183906" w:rsidP="001B0219">
      <w:pPr>
        <w:widowControl w:val="0"/>
        <w:tabs>
          <w:tab w:val="left" w:pos="3969"/>
        </w:tabs>
        <w:jc w:val="both"/>
      </w:pPr>
    </w:p>
    <w:p w:rsidR="00261D70" w:rsidRPr="001001B3" w:rsidRDefault="00857075" w:rsidP="00261D70">
      <w:pPr>
        <w:widowControl w:val="0"/>
        <w:tabs>
          <w:tab w:val="left" w:pos="3969"/>
        </w:tabs>
        <w:jc w:val="both"/>
        <w:rPr>
          <w:i/>
        </w:rPr>
      </w:pPr>
      <w:r w:rsidRPr="001001B3">
        <w:t>Del</w:t>
      </w:r>
      <w:r w:rsidR="00637978" w:rsidRPr="001001B3">
        <w:t xml:space="preserve"> pliego absolutorio de observaciones, el Colegiado al absolver la presente observación indicó:</w:t>
      </w:r>
      <w:r w:rsidR="00637978" w:rsidRPr="001001B3">
        <w:rPr>
          <w:i/>
        </w:rPr>
        <w:t xml:space="preserve"> </w:t>
      </w:r>
      <w:r w:rsidRPr="001001B3">
        <w:rPr>
          <w:i/>
        </w:rPr>
        <w:t>“para la presentación de documentos obligatorios para acreditar tener un lugar como centro de instrucción, capacitación, formación y entrenamiento será a través de una declaración jurada, en las condiciones ya señaladas”.</w:t>
      </w:r>
    </w:p>
    <w:p w:rsidR="00261D70" w:rsidRPr="001001B3" w:rsidRDefault="00261D70" w:rsidP="00261D70">
      <w:pPr>
        <w:widowControl w:val="0"/>
        <w:tabs>
          <w:tab w:val="left" w:pos="3969"/>
        </w:tabs>
        <w:jc w:val="both"/>
      </w:pPr>
    </w:p>
    <w:p w:rsidR="00857075" w:rsidRPr="001001B3" w:rsidRDefault="00DD7A74" w:rsidP="0040365E">
      <w:pPr>
        <w:pStyle w:val="Textoindependiente"/>
        <w:widowControl w:val="0"/>
        <w:spacing w:after="0"/>
        <w:jc w:val="both"/>
        <w:rPr>
          <w:snapToGrid w:val="0"/>
          <w:lang w:val="es-PE"/>
        </w:rPr>
      </w:pPr>
      <w:r w:rsidRPr="001001B3">
        <w:t xml:space="preserve">Al respecto, cabe indicar que, </w:t>
      </w:r>
      <w:r w:rsidRPr="001001B3">
        <w:rPr>
          <w:snapToGrid w:val="0"/>
          <w:lang w:val="es-PE"/>
        </w:rPr>
        <w:t xml:space="preserve">de acuerdo con el artículo 13° de la Ley, </w:t>
      </w:r>
      <w:r w:rsidRPr="001001B3">
        <w:rPr>
          <w:snapToGrid w:val="0"/>
        </w:rPr>
        <w:t xml:space="preserve">concordado con </w:t>
      </w:r>
      <w:r w:rsidR="00600439">
        <w:rPr>
          <w:snapToGrid w:val="0"/>
        </w:rPr>
        <w:t>los</w:t>
      </w:r>
      <w:r w:rsidRPr="001001B3">
        <w:rPr>
          <w:snapToGrid w:val="0"/>
        </w:rPr>
        <w:t xml:space="preserve"> artículo</w:t>
      </w:r>
      <w:r w:rsidR="00600439">
        <w:rPr>
          <w:snapToGrid w:val="0"/>
        </w:rPr>
        <w:t>s</w:t>
      </w:r>
      <w:r w:rsidRPr="001001B3">
        <w:rPr>
          <w:snapToGrid w:val="0"/>
        </w:rPr>
        <w:t xml:space="preserve"> 11º</w:t>
      </w:r>
      <w:r w:rsidR="00600439">
        <w:rPr>
          <w:snapToGrid w:val="0"/>
        </w:rPr>
        <w:t xml:space="preserve"> </w:t>
      </w:r>
      <w:r w:rsidRPr="001001B3">
        <w:rPr>
          <w:snapToGrid w:val="0"/>
        </w:rPr>
        <w:t xml:space="preserve">del Reglamento, la definición de los requerimientos técnicos mínimos, así como </w:t>
      </w:r>
      <w:r w:rsidRPr="001001B3">
        <w:rPr>
          <w:snapToGrid w:val="0"/>
          <w:u w:val="single"/>
        </w:rPr>
        <w:t>la documentación que los sustente, es de exclusiva responsabilidad de la Entidad</w:t>
      </w:r>
      <w:r w:rsidRPr="001001B3">
        <w:rPr>
          <w:snapToGrid w:val="0"/>
        </w:rPr>
        <w:t xml:space="preserve">, sin mayor restricción que la de permitir la mayor concurrencia de proveedores en el mercado, debiéndose considerar los criterios de </w:t>
      </w:r>
      <w:r w:rsidRPr="001001B3">
        <w:rPr>
          <w:snapToGrid w:val="0"/>
          <w:u w:val="single"/>
        </w:rPr>
        <w:t>razonabilidad, congruencia y proporcionalidad</w:t>
      </w:r>
      <w:r w:rsidRPr="001001B3">
        <w:rPr>
          <w:snapToGrid w:val="0"/>
        </w:rPr>
        <w:t>.</w:t>
      </w:r>
      <w:r w:rsidRPr="001001B3">
        <w:rPr>
          <w:snapToGrid w:val="0"/>
          <w:lang w:val="es-PE"/>
        </w:rPr>
        <w:t xml:space="preserve"> </w:t>
      </w:r>
    </w:p>
    <w:p w:rsidR="0040365E" w:rsidRPr="001001B3" w:rsidRDefault="0004459E" w:rsidP="0040365E">
      <w:pPr>
        <w:widowControl w:val="0"/>
        <w:jc w:val="both"/>
      </w:pPr>
      <w:r>
        <w:rPr>
          <w:noProof/>
          <w:lang w:val="es-PE" w:eastAsia="es-PE"/>
        </w:rPr>
        <w:drawing>
          <wp:anchor distT="0" distB="0" distL="114300" distR="114300" simplePos="0" relativeHeight="251663360" behindDoc="0" locked="0" layoutInCell="1" allowOverlap="1" wp14:anchorId="467425C1" wp14:editId="70D929C3">
            <wp:simplePos x="0" y="0"/>
            <wp:positionH relativeFrom="leftMargin">
              <wp:align>right</wp:align>
            </wp:positionH>
            <wp:positionV relativeFrom="paragraph">
              <wp:posOffset>184785</wp:posOffset>
            </wp:positionV>
            <wp:extent cx="920750" cy="273367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8"/>
                    <a:srcRect r="8285" b="28607"/>
                    <a:stretch/>
                  </pic:blipFill>
                  <pic:spPr bwMode="auto">
                    <a:xfrm>
                      <a:off x="0" y="0"/>
                      <a:ext cx="920750" cy="2733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40365E" w:rsidRPr="001001B3" w:rsidRDefault="0040365E" w:rsidP="0040365E">
      <w:pPr>
        <w:widowControl w:val="0"/>
        <w:jc w:val="both"/>
      </w:pPr>
      <w:r w:rsidRPr="001001B3">
        <w:t xml:space="preserve">Por su parte, </w:t>
      </w:r>
      <w:r w:rsidR="00600439">
        <w:t xml:space="preserve">de la información remitida </w:t>
      </w:r>
      <w:r w:rsidR="00D55065">
        <w:t>por la Entidad con ocasión de la elevación de las Bases, se advierte el</w:t>
      </w:r>
      <w:r w:rsidRPr="001001B3">
        <w:t xml:space="preserve"> Oficio N° 2110-2015-MP-FN-GG-OSEG, </w:t>
      </w:r>
      <w:r w:rsidR="00D55065">
        <w:t xml:space="preserve">de </w:t>
      </w:r>
      <w:r w:rsidRPr="001001B3">
        <w:t xml:space="preserve">la Oficina de Seguridad (área usuaria) </w:t>
      </w:r>
      <w:r w:rsidR="002052A9">
        <w:t>indicando</w:t>
      </w:r>
      <w:r w:rsidRPr="001001B3">
        <w:t xml:space="preserve"> </w:t>
      </w:r>
      <w:r w:rsidR="00354562" w:rsidRPr="001001B3">
        <w:t>que en lugar de la presentación de la licencia, se deberá presentar una declaración jurada mediante el cual, el postor señale que cuenta con un lugar donde pueda brindar instrucción, capacitación, formación y entrenamiento físico al personal asignado a la prestación del servicio de vigilancia en el Ministerio Público.</w:t>
      </w:r>
    </w:p>
    <w:p w:rsidR="00857075" w:rsidRPr="001001B3" w:rsidRDefault="00857075" w:rsidP="001B0219">
      <w:pPr>
        <w:widowControl w:val="0"/>
        <w:tabs>
          <w:tab w:val="left" w:pos="3969"/>
        </w:tabs>
        <w:jc w:val="both"/>
      </w:pPr>
    </w:p>
    <w:p w:rsidR="0040365E" w:rsidRDefault="0040365E" w:rsidP="0040365E">
      <w:pPr>
        <w:jc w:val="both"/>
      </w:pPr>
      <w:r w:rsidRPr="001001B3">
        <w:t>En ese sentido, siendo que la Entidad convocante resulta responsable de la determinación d</w:t>
      </w:r>
      <w:r w:rsidR="00A02A02">
        <w:t>e la documentación</w:t>
      </w:r>
      <w:r w:rsidR="00E84FAF">
        <w:t xml:space="preserve"> de presentación</w:t>
      </w:r>
      <w:r w:rsidR="00A02A02">
        <w:t xml:space="preserve"> obligatoria</w:t>
      </w:r>
      <w:r w:rsidRPr="001001B3">
        <w:t xml:space="preserve">, este Organismo Supervisor ha decidido </w:t>
      </w:r>
      <w:r w:rsidRPr="001001B3">
        <w:rPr>
          <w:b/>
        </w:rPr>
        <w:t>NO ACOGER</w:t>
      </w:r>
      <w:r w:rsidRPr="001001B3">
        <w:t xml:space="preserve"> </w:t>
      </w:r>
      <w:r w:rsidR="0099442F" w:rsidRPr="001001B3">
        <w:t xml:space="preserve">la presente observación. </w:t>
      </w:r>
    </w:p>
    <w:p w:rsidR="00DD2066" w:rsidRDefault="00DD2066" w:rsidP="0040365E">
      <w:pPr>
        <w:jc w:val="both"/>
      </w:pPr>
    </w:p>
    <w:p w:rsidR="00DD2066" w:rsidRPr="001001B3" w:rsidRDefault="00DD2066" w:rsidP="0040365E">
      <w:pPr>
        <w:jc w:val="both"/>
      </w:pPr>
      <w:r>
        <w:t xml:space="preserve">Sin perjuicio de ello, en atención al Principio de Transparencia con ocasión de las Bases Integradas deberá registrarse en el SEACE el Oficio N° 2110-2015-FN-GG-OSEG emitido por el </w:t>
      </w:r>
      <w:proofErr w:type="spellStart"/>
      <w:r>
        <w:t>Area</w:t>
      </w:r>
      <w:proofErr w:type="spellEnd"/>
      <w:r>
        <w:t xml:space="preserve"> Usuaria. </w:t>
      </w:r>
    </w:p>
    <w:p w:rsidR="001B0219" w:rsidRPr="001001B3" w:rsidRDefault="001B0219" w:rsidP="0064204A">
      <w:pPr>
        <w:widowControl w:val="0"/>
        <w:jc w:val="both"/>
        <w:rPr>
          <w:b/>
          <w:lang w:val="es-PE"/>
        </w:rPr>
      </w:pPr>
    </w:p>
    <w:p w:rsidR="001B0219" w:rsidRPr="001001B3" w:rsidRDefault="001B0219" w:rsidP="001B0219">
      <w:pPr>
        <w:widowControl w:val="0"/>
        <w:ind w:left="284" w:hanging="284"/>
        <w:jc w:val="both"/>
        <w:rPr>
          <w:b/>
          <w:lang w:val="es-PE"/>
        </w:rPr>
      </w:pPr>
      <w:r w:rsidRPr="001001B3">
        <w:rPr>
          <w:b/>
          <w:lang w:val="es-PE"/>
        </w:rPr>
        <w:t xml:space="preserve">3. CONTENIDO DE LAS BASES CONTRARIO A LA NORMATIVA SOBRE CONTRATACIONES DEL ESTADO </w:t>
      </w:r>
    </w:p>
    <w:p w:rsidR="001B0219" w:rsidRPr="001001B3" w:rsidRDefault="001B0219" w:rsidP="001B0219">
      <w:pPr>
        <w:widowControl w:val="0"/>
        <w:ind w:left="284" w:hanging="284"/>
        <w:jc w:val="both"/>
        <w:rPr>
          <w:b/>
          <w:lang w:val="es-PE"/>
        </w:rPr>
      </w:pPr>
    </w:p>
    <w:p w:rsidR="001B0219" w:rsidRPr="001001B3" w:rsidRDefault="001B0219" w:rsidP="001B0219">
      <w:pPr>
        <w:widowControl w:val="0"/>
        <w:jc w:val="both"/>
        <w:rPr>
          <w:rFonts w:eastAsia="MS Mincho"/>
          <w:lang w:val="es-ES" w:eastAsia="es-ES"/>
        </w:rPr>
      </w:pPr>
      <w:r w:rsidRPr="001001B3">
        <w:rPr>
          <w:rFonts w:eastAsia="MS Mincho"/>
          <w:lang w:val="es-ES" w:eastAsia="es-ES"/>
        </w:rPr>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dicha Ley y su Reglamento: </w:t>
      </w:r>
      <w:r w:rsidRPr="001001B3">
        <w:rPr>
          <w:rFonts w:eastAsia="MS Mincho"/>
          <w:lang w:val="es-ES" w:eastAsia="es-ES"/>
        </w:rPr>
        <w:cr/>
      </w:r>
    </w:p>
    <w:p w:rsidR="001B0219" w:rsidRPr="001001B3" w:rsidRDefault="0048525A" w:rsidP="001B0219">
      <w:pPr>
        <w:widowControl w:val="0"/>
        <w:jc w:val="both"/>
        <w:rPr>
          <w:rFonts w:eastAsia="MS Mincho"/>
          <w:b/>
          <w:lang w:val="es-ES" w:eastAsia="es-ES"/>
        </w:rPr>
      </w:pPr>
      <w:r w:rsidRPr="001001B3">
        <w:rPr>
          <w:rFonts w:eastAsia="MS Mincho"/>
          <w:b/>
          <w:lang w:val="es-ES" w:eastAsia="es-ES"/>
        </w:rPr>
        <w:t xml:space="preserve">3.1. Resumen Ejecutivo </w:t>
      </w:r>
    </w:p>
    <w:p w:rsidR="00AC5B54" w:rsidRPr="001001B3" w:rsidRDefault="00AC5B54" w:rsidP="001B0219">
      <w:pPr>
        <w:widowControl w:val="0"/>
        <w:jc w:val="both"/>
        <w:rPr>
          <w:rFonts w:eastAsia="MS Mincho"/>
          <w:b/>
          <w:lang w:val="es-ES" w:eastAsia="es-ES"/>
        </w:rPr>
      </w:pPr>
    </w:p>
    <w:p w:rsidR="001001B3" w:rsidRDefault="00AC5B54" w:rsidP="001001B3">
      <w:pPr>
        <w:pStyle w:val="Textoindependiente2"/>
        <w:tabs>
          <w:tab w:val="num" w:pos="1250"/>
        </w:tabs>
        <w:rPr>
          <w:rFonts w:ascii="Times New Roman" w:hAnsi="Times New Roman"/>
          <w:b/>
          <w:szCs w:val="24"/>
          <w:u w:val="single"/>
          <w:lang w:val="es-ES_tradnl"/>
        </w:rPr>
      </w:pPr>
      <w:r w:rsidRPr="001001B3">
        <w:rPr>
          <w:rFonts w:ascii="Times New Roman" w:hAnsi="Times New Roman"/>
          <w:szCs w:val="24"/>
          <w:lang w:val="es-ES_tradnl"/>
        </w:rPr>
        <w:t xml:space="preserve">De la revisión del contenido del “Formato del Resumen Ejecutivo” se advierte que éste no se ajusta con lo dispuesto en la Directiva N° 004-2013-OSCE/CD, dado que en el </w:t>
      </w:r>
      <w:r w:rsidR="008728A3" w:rsidRPr="001001B3">
        <w:rPr>
          <w:rFonts w:ascii="Times New Roman" w:hAnsi="Times New Roman"/>
          <w:szCs w:val="24"/>
          <w:lang w:val="es-ES_tradnl"/>
        </w:rPr>
        <w:lastRenderedPageBreak/>
        <w:t>numeral 4.4</w:t>
      </w:r>
      <w:r w:rsidRPr="001001B3">
        <w:rPr>
          <w:rFonts w:ascii="Times New Roman" w:hAnsi="Times New Roman"/>
          <w:szCs w:val="24"/>
          <w:lang w:val="es-ES_tradnl"/>
        </w:rPr>
        <w:t xml:space="preserve"> se señala </w:t>
      </w:r>
      <w:r w:rsidR="008728A3" w:rsidRPr="001001B3">
        <w:rPr>
          <w:rFonts w:ascii="Times New Roman" w:hAnsi="Times New Roman"/>
          <w:szCs w:val="24"/>
          <w:lang w:val="es-ES_tradnl"/>
        </w:rPr>
        <w:t>la posibilidad de distribuir la Buena Pro, no obstante no se ha sustentado la posibilidad de distribuir la buena pro</w:t>
      </w:r>
      <w:r w:rsidRPr="001001B3">
        <w:rPr>
          <w:rFonts w:ascii="Times New Roman" w:hAnsi="Times New Roman"/>
          <w:szCs w:val="24"/>
          <w:lang w:val="es-ES_tradnl"/>
        </w:rPr>
        <w:t xml:space="preserve">. Por lo tanto, con ocasión </w:t>
      </w:r>
      <w:r w:rsidR="008728A3" w:rsidRPr="001001B3">
        <w:rPr>
          <w:rFonts w:ascii="Times New Roman" w:hAnsi="Times New Roman"/>
          <w:szCs w:val="24"/>
          <w:lang w:val="es-ES_tradnl"/>
        </w:rPr>
        <w:t>de la integración de las Bases</w:t>
      </w:r>
      <w:r w:rsidRPr="001001B3">
        <w:rPr>
          <w:rFonts w:ascii="Times New Roman" w:hAnsi="Times New Roman"/>
          <w:szCs w:val="24"/>
          <w:lang w:val="es-ES_tradnl"/>
        </w:rPr>
        <w:t xml:space="preserve">, </w:t>
      </w:r>
      <w:r w:rsidRPr="001001B3">
        <w:rPr>
          <w:rFonts w:ascii="Times New Roman" w:hAnsi="Times New Roman"/>
          <w:b/>
          <w:szCs w:val="24"/>
          <w:u w:val="single"/>
          <w:lang w:val="es-ES_tradnl"/>
        </w:rPr>
        <w:t xml:space="preserve">deberá verificarse y, de ser el caso, adecuarse el contenido del “Formato del Resumen Ejecutivo”, </w:t>
      </w:r>
      <w:r w:rsidR="008728A3" w:rsidRPr="001001B3">
        <w:rPr>
          <w:rFonts w:ascii="Times New Roman" w:hAnsi="Times New Roman"/>
          <w:b/>
          <w:szCs w:val="24"/>
          <w:u w:val="single"/>
          <w:lang w:val="es-ES_tradnl"/>
        </w:rPr>
        <w:t xml:space="preserve">de acuerdo con la Directiva. </w:t>
      </w:r>
    </w:p>
    <w:p w:rsidR="00AB2C04" w:rsidRPr="001001B3" w:rsidRDefault="00AB2C04" w:rsidP="001001B3">
      <w:pPr>
        <w:pStyle w:val="Textoindependiente2"/>
        <w:tabs>
          <w:tab w:val="num" w:pos="1250"/>
        </w:tabs>
        <w:rPr>
          <w:rFonts w:ascii="Times New Roman" w:hAnsi="Times New Roman"/>
          <w:b/>
          <w:szCs w:val="24"/>
          <w:u w:val="single"/>
          <w:lang w:val="es-ES_tradnl"/>
        </w:rPr>
      </w:pPr>
    </w:p>
    <w:p w:rsidR="00CC3B16" w:rsidRPr="001001B3" w:rsidRDefault="001001B3" w:rsidP="001001B3">
      <w:pPr>
        <w:pStyle w:val="Textoindependiente2"/>
        <w:tabs>
          <w:tab w:val="num" w:pos="1250"/>
        </w:tabs>
        <w:rPr>
          <w:rFonts w:ascii="Times New Roman" w:hAnsi="Times New Roman"/>
          <w:b/>
          <w:szCs w:val="24"/>
          <w:u w:val="single"/>
          <w:lang w:val="es-ES_tradnl" w:eastAsia="es-PE"/>
        </w:rPr>
      </w:pPr>
      <w:r w:rsidRPr="001001B3">
        <w:rPr>
          <w:rFonts w:ascii="Times New Roman" w:hAnsi="Times New Roman"/>
          <w:b/>
          <w:szCs w:val="24"/>
          <w:lang w:val="es-PE"/>
        </w:rPr>
        <w:t xml:space="preserve">3.2. </w:t>
      </w:r>
      <w:r w:rsidR="00CC3B16" w:rsidRPr="001001B3">
        <w:rPr>
          <w:rFonts w:ascii="Times New Roman" w:hAnsi="Times New Roman"/>
          <w:b/>
          <w:szCs w:val="24"/>
        </w:rPr>
        <w:t>Pliego absolutorio de consultas</w:t>
      </w:r>
    </w:p>
    <w:p w:rsidR="00CC3B16" w:rsidRPr="001001B3" w:rsidRDefault="00CC3B16" w:rsidP="00CC3B16">
      <w:pPr>
        <w:pStyle w:val="Textoindependiente2"/>
        <w:keepLines/>
        <w:rPr>
          <w:rFonts w:ascii="Times New Roman" w:hAnsi="Times New Roman"/>
          <w:b/>
          <w:szCs w:val="24"/>
        </w:rPr>
      </w:pPr>
    </w:p>
    <w:p w:rsidR="00CC3B16" w:rsidRPr="005051D5" w:rsidRDefault="00CC3B16" w:rsidP="00CC3B16">
      <w:pPr>
        <w:pStyle w:val="Textoindependiente2"/>
        <w:keepLines/>
        <w:rPr>
          <w:rFonts w:ascii="Times New Roman" w:hAnsi="Times New Roman"/>
          <w:i/>
          <w:szCs w:val="24"/>
          <w:lang w:val="es-PE"/>
        </w:rPr>
      </w:pPr>
      <w:r w:rsidRPr="001001B3">
        <w:rPr>
          <w:rFonts w:ascii="Times New Roman" w:hAnsi="Times New Roman"/>
          <w:szCs w:val="24"/>
        </w:rPr>
        <w:t xml:space="preserve">De la revisión del pliego absolutorio de consultas se advierte que </w:t>
      </w:r>
      <w:r w:rsidR="00513036">
        <w:rPr>
          <w:rFonts w:ascii="Times New Roman" w:hAnsi="Times New Roman"/>
          <w:szCs w:val="24"/>
          <w:lang w:val="es-PE"/>
        </w:rPr>
        <w:t xml:space="preserve">con ocasión de la Consulta N° 7 del participante EMPRESA DE SEGURIDAD VIGILANCIA </w:t>
      </w:r>
      <w:r w:rsidR="005051D5">
        <w:rPr>
          <w:rFonts w:ascii="Times New Roman" w:hAnsi="Times New Roman"/>
          <w:szCs w:val="24"/>
          <w:lang w:val="es-PE"/>
        </w:rPr>
        <w:t xml:space="preserve">Y CONTROL S.A.C el Comité Especial indicó: </w:t>
      </w:r>
      <w:r w:rsidR="005051D5" w:rsidRPr="005051D5">
        <w:rPr>
          <w:rFonts w:ascii="Times New Roman" w:hAnsi="Times New Roman"/>
          <w:i/>
          <w:szCs w:val="24"/>
          <w:lang w:val="es-PE"/>
        </w:rPr>
        <w:t xml:space="preserve">“(…) para el presente servicio no se requerirá de agentes femeninos”. </w:t>
      </w:r>
    </w:p>
    <w:p w:rsidR="00CC3B16" w:rsidRPr="00513036" w:rsidRDefault="00CC3B16" w:rsidP="00CC3B16">
      <w:pPr>
        <w:pStyle w:val="Textoindependiente2"/>
        <w:keepLines/>
        <w:rPr>
          <w:rFonts w:ascii="Times New Roman" w:hAnsi="Times New Roman"/>
          <w:szCs w:val="24"/>
          <w:lang w:val="es-PE"/>
        </w:rPr>
      </w:pPr>
    </w:p>
    <w:p w:rsidR="00E91251" w:rsidRDefault="009912C8" w:rsidP="00CC3B16">
      <w:pPr>
        <w:pStyle w:val="Textoindependiente2"/>
        <w:keepLines/>
        <w:rPr>
          <w:rFonts w:ascii="Times New Roman" w:hAnsi="Times New Roman"/>
          <w:szCs w:val="24"/>
          <w:lang w:val="es-PE"/>
        </w:rPr>
      </w:pPr>
      <w:r>
        <w:rPr>
          <w:rFonts w:ascii="Times New Roman" w:hAnsi="Times New Roman"/>
          <w:szCs w:val="24"/>
          <w:lang w:val="es-PE"/>
        </w:rPr>
        <w:t>Ahora bien</w:t>
      </w:r>
      <w:r w:rsidR="00CC3B16" w:rsidRPr="001001B3">
        <w:rPr>
          <w:rFonts w:ascii="Times New Roman" w:hAnsi="Times New Roman"/>
          <w:szCs w:val="24"/>
        </w:rPr>
        <w:t xml:space="preserve">, </w:t>
      </w:r>
      <w:r w:rsidR="00E91251">
        <w:rPr>
          <w:rFonts w:ascii="Times New Roman" w:hAnsi="Times New Roman"/>
          <w:szCs w:val="24"/>
          <w:lang w:val="es-PE"/>
        </w:rPr>
        <w:t>del numeral 5.1.4 del Capítulo III, de los Términos de Referencia</w:t>
      </w:r>
      <w:r w:rsidR="00E91251">
        <w:rPr>
          <w:rFonts w:ascii="Times New Roman" w:hAnsi="Times New Roman"/>
          <w:szCs w:val="24"/>
        </w:rPr>
        <w:t xml:space="preserve">, se advierte el vestuario para los agentes de vigilancia femenino, asimismo </w:t>
      </w:r>
      <w:r w:rsidR="00E91251">
        <w:rPr>
          <w:rFonts w:ascii="Times New Roman" w:hAnsi="Times New Roman"/>
          <w:szCs w:val="24"/>
          <w:lang w:val="es-PE"/>
        </w:rPr>
        <w:t xml:space="preserve">del numeral 5.2.2 se establece el perfil del personal masculino y </w:t>
      </w:r>
      <w:r w:rsidR="00E91251">
        <w:rPr>
          <w:rFonts w:ascii="Times New Roman" w:hAnsi="Times New Roman"/>
          <w:szCs w:val="24"/>
          <w:u w:val="single"/>
          <w:lang w:val="es-PE"/>
        </w:rPr>
        <w:t>femenino</w:t>
      </w:r>
      <w:r w:rsidR="00E91251">
        <w:rPr>
          <w:rFonts w:ascii="Times New Roman" w:hAnsi="Times New Roman"/>
          <w:szCs w:val="24"/>
          <w:lang w:val="es-PE"/>
        </w:rPr>
        <w:t xml:space="preserve">, </w:t>
      </w:r>
      <w:r w:rsidR="00573D6F">
        <w:rPr>
          <w:rFonts w:ascii="Times New Roman" w:hAnsi="Times New Roman"/>
          <w:szCs w:val="24"/>
          <w:lang w:val="es-PE"/>
        </w:rPr>
        <w:t>no obstante al absolver la C</w:t>
      </w:r>
      <w:r w:rsidR="00E91251">
        <w:rPr>
          <w:rFonts w:ascii="Times New Roman" w:hAnsi="Times New Roman"/>
          <w:szCs w:val="24"/>
          <w:lang w:val="es-PE"/>
        </w:rPr>
        <w:t xml:space="preserve">onsulta N° 7 indica que no requerirá de agentes femeninos, resultando incongruente con lo indicado en las Bases del proceso. </w:t>
      </w:r>
    </w:p>
    <w:p w:rsidR="00512324" w:rsidRDefault="00512324" w:rsidP="00CC3B16">
      <w:pPr>
        <w:pStyle w:val="Textoindependiente2"/>
        <w:keepLines/>
        <w:rPr>
          <w:rFonts w:ascii="Times New Roman" w:hAnsi="Times New Roman"/>
          <w:szCs w:val="24"/>
          <w:lang w:val="es-PE"/>
        </w:rPr>
      </w:pPr>
    </w:p>
    <w:p w:rsidR="00512324" w:rsidRPr="00512324" w:rsidRDefault="0004459E" w:rsidP="00CC3B16">
      <w:pPr>
        <w:pStyle w:val="Textoindependiente2"/>
        <w:keepLines/>
        <w:rPr>
          <w:rFonts w:ascii="Times New Roman" w:hAnsi="Times New Roman"/>
          <w:szCs w:val="24"/>
          <w:lang w:val="es-PE"/>
        </w:rPr>
      </w:pPr>
      <w:r>
        <w:rPr>
          <w:noProof/>
          <w:lang w:val="es-PE" w:eastAsia="es-PE"/>
        </w:rPr>
        <w:drawing>
          <wp:anchor distT="0" distB="0" distL="114300" distR="114300" simplePos="0" relativeHeight="251667456" behindDoc="0" locked="0" layoutInCell="1" allowOverlap="1" wp14:anchorId="14BF5E21" wp14:editId="0C8ADF06">
            <wp:simplePos x="0" y="0"/>
            <wp:positionH relativeFrom="page">
              <wp:align>left</wp:align>
            </wp:positionH>
            <wp:positionV relativeFrom="paragraph">
              <wp:posOffset>170815</wp:posOffset>
            </wp:positionV>
            <wp:extent cx="920750" cy="2733675"/>
            <wp:effectExtent l="0" t="0" r="0" b="952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8"/>
                    <a:srcRect r="8285" b="28607"/>
                    <a:stretch/>
                  </pic:blipFill>
                  <pic:spPr bwMode="auto">
                    <a:xfrm>
                      <a:off x="0" y="0"/>
                      <a:ext cx="920750" cy="2733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91251">
        <w:rPr>
          <w:rFonts w:ascii="Times New Roman" w:hAnsi="Times New Roman"/>
          <w:szCs w:val="24"/>
          <w:lang w:val="es-PE"/>
        </w:rPr>
        <w:t xml:space="preserve">Dicho lo anterior, con ocasión de la integración de las Bases, </w:t>
      </w:r>
      <w:r w:rsidR="00512324">
        <w:rPr>
          <w:rFonts w:ascii="Times New Roman" w:hAnsi="Times New Roman"/>
          <w:b/>
          <w:szCs w:val="24"/>
          <w:u w:val="single"/>
        </w:rPr>
        <w:t>deber</w:t>
      </w:r>
      <w:r w:rsidR="00512324">
        <w:rPr>
          <w:rFonts w:ascii="Times New Roman" w:hAnsi="Times New Roman"/>
          <w:b/>
          <w:szCs w:val="24"/>
          <w:u w:val="single"/>
          <w:lang w:val="es-PE"/>
        </w:rPr>
        <w:t xml:space="preserve">á verificarse </w:t>
      </w:r>
      <w:r w:rsidR="00512324">
        <w:rPr>
          <w:rFonts w:ascii="Times New Roman" w:hAnsi="Times New Roman"/>
          <w:szCs w:val="24"/>
          <w:lang w:val="es-PE"/>
        </w:rPr>
        <w:t xml:space="preserve">dicho aspecto a fin que no existan incongruencias </w:t>
      </w:r>
      <w:r w:rsidR="00A02A02">
        <w:rPr>
          <w:rFonts w:ascii="Times New Roman" w:hAnsi="Times New Roman"/>
          <w:szCs w:val="24"/>
          <w:lang w:val="es-PE"/>
        </w:rPr>
        <w:t>que puedan generar confusión en los participantes</w:t>
      </w:r>
      <w:r w:rsidR="00512324">
        <w:rPr>
          <w:rFonts w:ascii="Times New Roman" w:hAnsi="Times New Roman"/>
          <w:szCs w:val="24"/>
          <w:lang w:val="es-PE"/>
        </w:rPr>
        <w:t xml:space="preserve"> al momento de presentar sus propuestas. </w:t>
      </w:r>
    </w:p>
    <w:p w:rsidR="00AC5B54" w:rsidRPr="00A02A02" w:rsidRDefault="00AC5B54" w:rsidP="001B0219">
      <w:pPr>
        <w:widowControl w:val="0"/>
        <w:jc w:val="both"/>
        <w:rPr>
          <w:rFonts w:eastAsia="MS Mincho"/>
          <w:b/>
          <w:lang w:val="es-PE" w:eastAsia="es-ES"/>
        </w:rPr>
      </w:pPr>
    </w:p>
    <w:p w:rsidR="00262734" w:rsidRPr="001001B3" w:rsidRDefault="00262734" w:rsidP="001001B3">
      <w:pPr>
        <w:pStyle w:val="Prrafodelista"/>
        <w:widowControl w:val="0"/>
        <w:numPr>
          <w:ilvl w:val="1"/>
          <w:numId w:val="12"/>
        </w:numPr>
        <w:jc w:val="both"/>
        <w:rPr>
          <w:b/>
        </w:rPr>
      </w:pPr>
      <w:r w:rsidRPr="001001B3">
        <w:rPr>
          <w:b/>
        </w:rPr>
        <w:t>Requisitos para suscripción de Contrato.</w:t>
      </w:r>
    </w:p>
    <w:p w:rsidR="00262734" w:rsidRPr="001001B3" w:rsidRDefault="00262734" w:rsidP="00262734">
      <w:pPr>
        <w:pStyle w:val="Prrafodelista"/>
        <w:widowControl w:val="0"/>
        <w:ind w:left="360"/>
        <w:jc w:val="both"/>
        <w:rPr>
          <w:b/>
        </w:rPr>
      </w:pPr>
    </w:p>
    <w:p w:rsidR="00262734" w:rsidRPr="001001B3" w:rsidRDefault="00262734" w:rsidP="00262734">
      <w:pPr>
        <w:widowControl w:val="0"/>
        <w:jc w:val="both"/>
      </w:pPr>
      <w:r w:rsidRPr="001001B3">
        <w:t>De la revisión de literal n) del numeral 2.7</w:t>
      </w:r>
      <w:r w:rsidR="00DF3CC8">
        <w:t xml:space="preserve"> del capítulo II de las Bases</w:t>
      </w:r>
      <w:r w:rsidRPr="001001B3">
        <w:t>, se advierte que se ha solicitado el siguiente requisito para la suscripción de contrato:</w:t>
      </w:r>
    </w:p>
    <w:p w:rsidR="00262734" w:rsidRPr="001001B3" w:rsidRDefault="00262734" w:rsidP="00262734">
      <w:pPr>
        <w:widowControl w:val="0"/>
        <w:jc w:val="both"/>
      </w:pPr>
    </w:p>
    <w:p w:rsidR="00262734" w:rsidRPr="001001B3" w:rsidRDefault="00262734" w:rsidP="00262734">
      <w:pPr>
        <w:widowControl w:val="0"/>
        <w:jc w:val="both"/>
        <w:rPr>
          <w:i/>
        </w:rPr>
      </w:pPr>
      <w:r w:rsidRPr="001001B3">
        <w:rPr>
          <w:i/>
        </w:rPr>
        <w:t xml:space="preserve">n) Relación del personal que prestará el servicio, consignando sus nombres y apellidos, </w:t>
      </w:r>
      <w:r w:rsidRPr="001001B3">
        <w:rPr>
          <w:b/>
          <w:i/>
        </w:rPr>
        <w:t>N° de DNI</w:t>
      </w:r>
      <w:r w:rsidRPr="001001B3">
        <w:rPr>
          <w:i/>
        </w:rPr>
        <w:t>, cargo, remuneración y periodo de destaque</w:t>
      </w:r>
      <w:r w:rsidR="00573D6F">
        <w:rPr>
          <w:i/>
        </w:rPr>
        <w:t xml:space="preserve"> </w:t>
      </w:r>
      <w:r w:rsidRPr="001001B3">
        <w:rPr>
          <w:i/>
        </w:rPr>
        <w:t>(...)</w:t>
      </w:r>
    </w:p>
    <w:p w:rsidR="00262734" w:rsidRPr="001001B3" w:rsidRDefault="00262734" w:rsidP="00262734">
      <w:pPr>
        <w:widowControl w:val="0"/>
        <w:jc w:val="both"/>
      </w:pPr>
    </w:p>
    <w:p w:rsidR="00262734" w:rsidRPr="001001B3" w:rsidRDefault="00262734" w:rsidP="00262734">
      <w:pPr>
        <w:widowControl w:val="0"/>
        <w:jc w:val="both"/>
        <w:rPr>
          <w:lang w:val="es-ES_tradnl"/>
        </w:rPr>
      </w:pPr>
      <w:r w:rsidRPr="001001B3">
        <w:rPr>
          <w:lang w:val="es-ES_tradnl"/>
        </w:rPr>
        <w:t xml:space="preserve">Al respecto, solicitar únicamente que se consigne el número o la copia del documento nacional de identidad (DNI), restringiría la posibilidad de registrar los datos y/o la identificación del personal extranjero; por lo tanto con ocasión de la integración de las Bases, </w:t>
      </w:r>
      <w:r w:rsidRPr="001001B3">
        <w:rPr>
          <w:b/>
          <w:u w:val="single"/>
          <w:lang w:val="es-ES_tradnl"/>
        </w:rPr>
        <w:t>deberá ampliarse</w:t>
      </w:r>
      <w:r w:rsidRPr="004455D0">
        <w:rPr>
          <w:b/>
          <w:lang w:val="es-ES_tradnl"/>
        </w:rPr>
        <w:t xml:space="preserve"> </w:t>
      </w:r>
      <w:r w:rsidRPr="001001B3">
        <w:rPr>
          <w:lang w:val="es-ES_tradnl"/>
        </w:rPr>
        <w:t>la exigencia requerida, permitiendo señalar el número de carné de extranjería.</w:t>
      </w:r>
    </w:p>
    <w:p w:rsidR="001001B3" w:rsidRDefault="001001B3" w:rsidP="001001B3">
      <w:pPr>
        <w:widowControl w:val="0"/>
        <w:jc w:val="both"/>
        <w:rPr>
          <w:lang w:val="es-ES_tradnl"/>
        </w:rPr>
      </w:pPr>
    </w:p>
    <w:p w:rsidR="00877546" w:rsidRPr="001001B3" w:rsidRDefault="00877546" w:rsidP="001001B3">
      <w:pPr>
        <w:pStyle w:val="Prrafodelista"/>
        <w:widowControl w:val="0"/>
        <w:numPr>
          <w:ilvl w:val="1"/>
          <w:numId w:val="12"/>
        </w:numPr>
        <w:jc w:val="both"/>
        <w:rPr>
          <w:lang w:val="es-ES_tradnl"/>
        </w:rPr>
      </w:pPr>
      <w:r w:rsidRPr="001001B3">
        <w:rPr>
          <w:rFonts w:eastAsia="Calibri"/>
          <w:b/>
          <w:lang w:eastAsia="en-US"/>
        </w:rPr>
        <w:t>Forma de acreditar la experiencia del personal propuesto</w:t>
      </w:r>
    </w:p>
    <w:p w:rsidR="00877546" w:rsidRPr="001001B3" w:rsidRDefault="00877546" w:rsidP="00877546">
      <w:pPr>
        <w:autoSpaceDE w:val="0"/>
        <w:autoSpaceDN w:val="0"/>
        <w:adjustRightInd w:val="0"/>
        <w:rPr>
          <w:rFonts w:eastAsia="Calibri"/>
          <w:b/>
          <w:lang w:eastAsia="en-US"/>
        </w:rPr>
      </w:pPr>
    </w:p>
    <w:p w:rsidR="00877546" w:rsidRPr="001001B3" w:rsidRDefault="004A2D3F" w:rsidP="00877546">
      <w:pPr>
        <w:autoSpaceDE w:val="0"/>
        <w:autoSpaceDN w:val="0"/>
        <w:adjustRightInd w:val="0"/>
        <w:jc w:val="both"/>
        <w:rPr>
          <w:rFonts w:eastAsia="Calibri"/>
          <w:lang w:eastAsia="en-US"/>
        </w:rPr>
      </w:pPr>
      <w:r>
        <w:rPr>
          <w:rFonts w:eastAsia="Calibri"/>
          <w:lang w:eastAsia="en-US"/>
        </w:rPr>
        <w:t xml:space="preserve">De la revisión en el numeral 5.2.2 </w:t>
      </w:r>
      <w:r w:rsidR="00877546" w:rsidRPr="001001B3">
        <w:rPr>
          <w:rFonts w:eastAsia="Calibri"/>
          <w:lang w:eastAsia="en-US"/>
        </w:rPr>
        <w:t xml:space="preserve"> referido al </w:t>
      </w:r>
      <w:r>
        <w:rPr>
          <w:rFonts w:eastAsia="Calibri"/>
          <w:lang w:eastAsia="en-US"/>
        </w:rPr>
        <w:t>personal propuesto</w:t>
      </w:r>
      <w:r w:rsidR="00877546" w:rsidRPr="001001B3">
        <w:rPr>
          <w:rFonts w:eastAsia="Calibri"/>
          <w:lang w:eastAsia="en-US"/>
        </w:rPr>
        <w:t>, consignado en el Capítulo III de la Sección Específica de las Bases se ha señalado lo siguiente:</w:t>
      </w:r>
    </w:p>
    <w:p w:rsidR="00877546" w:rsidRPr="001001B3" w:rsidRDefault="00877546" w:rsidP="00877546">
      <w:pPr>
        <w:autoSpaceDE w:val="0"/>
        <w:autoSpaceDN w:val="0"/>
        <w:adjustRightInd w:val="0"/>
        <w:rPr>
          <w:rFonts w:eastAsia="Calibri"/>
          <w:lang w:eastAsia="en-US"/>
        </w:rPr>
      </w:pPr>
    </w:p>
    <w:p w:rsidR="00877546" w:rsidRPr="004A2D3F" w:rsidRDefault="004A2D3F" w:rsidP="004A2D3F">
      <w:pPr>
        <w:autoSpaceDE w:val="0"/>
        <w:autoSpaceDN w:val="0"/>
        <w:adjustRightInd w:val="0"/>
        <w:ind w:left="709" w:right="849"/>
        <w:jc w:val="both"/>
        <w:rPr>
          <w:i/>
        </w:rPr>
      </w:pPr>
      <w:r>
        <w:rPr>
          <w:rFonts w:eastAsia="Calibri"/>
          <w:i/>
          <w:lang w:eastAsia="en-US"/>
        </w:rPr>
        <w:t>“</w:t>
      </w:r>
      <w:r w:rsidRPr="004A2D3F">
        <w:rPr>
          <w:rFonts w:eastAsia="Calibri"/>
          <w:i/>
          <w:lang w:eastAsia="en-US"/>
        </w:rPr>
        <w:t xml:space="preserve"> g) Acreditar mediante certificado la experiencia en seguridad y vigilancia; mínimo 02 años (varones) y 01(femenina), en labores de vigilancia o agentes de seguridad”</w:t>
      </w:r>
      <w:r w:rsidR="00877546" w:rsidRPr="004A2D3F">
        <w:rPr>
          <w:i/>
        </w:rPr>
        <w:t>.</w:t>
      </w:r>
    </w:p>
    <w:p w:rsidR="00877546" w:rsidRPr="001001B3" w:rsidRDefault="00877546" w:rsidP="00877546">
      <w:pPr>
        <w:autoSpaceDE w:val="0"/>
        <w:autoSpaceDN w:val="0"/>
        <w:adjustRightInd w:val="0"/>
        <w:rPr>
          <w:rFonts w:eastAsia="Calibri"/>
          <w:lang w:eastAsia="en-US"/>
        </w:rPr>
      </w:pPr>
    </w:p>
    <w:p w:rsidR="008C55A3" w:rsidRDefault="00877546" w:rsidP="00877546">
      <w:pPr>
        <w:autoSpaceDE w:val="0"/>
        <w:autoSpaceDN w:val="0"/>
        <w:adjustRightInd w:val="0"/>
        <w:jc w:val="both"/>
      </w:pPr>
      <w:r w:rsidRPr="001001B3">
        <w:t xml:space="preserve">Al respecto, con relación a la forma de acreditar la experiencia del personal propuesto, este Organismo Supervisor ha dispuesto en el Precedente Administrativo de Observancia Obligatoria contenido en el Pronunciamiento N° 723-2013/DSU que, la experiencia solicitada al personal propuesto podrá ser acreditada con: i) constancias, ii) certificados, </w:t>
      </w:r>
      <w:r w:rsidRPr="001001B3">
        <w:lastRenderedPageBreak/>
        <w:t xml:space="preserve">iii) contratos con su respectiva conformidad, o iv) cualquier otro documento que, de manera fehaciente, demuestre el tiempo de experiencia del profesional propuesto. </w:t>
      </w:r>
    </w:p>
    <w:p w:rsidR="008C55A3" w:rsidRDefault="008C55A3" w:rsidP="00877546">
      <w:pPr>
        <w:autoSpaceDE w:val="0"/>
        <w:autoSpaceDN w:val="0"/>
        <w:adjustRightInd w:val="0"/>
        <w:jc w:val="both"/>
      </w:pPr>
    </w:p>
    <w:p w:rsidR="00877546" w:rsidRPr="001001B3" w:rsidRDefault="008C55A3" w:rsidP="00877546">
      <w:pPr>
        <w:autoSpaceDE w:val="0"/>
        <w:autoSpaceDN w:val="0"/>
        <w:adjustRightInd w:val="0"/>
        <w:jc w:val="both"/>
      </w:pPr>
      <w:r>
        <w:t>Dicho lo anterior</w:t>
      </w:r>
      <w:r w:rsidR="00877546" w:rsidRPr="001001B3">
        <w:t xml:space="preserve">, no será válida cualquier regulación de las Bases que se oponga a lo señalado en el precedente. Por lo tanto, con ocasión de la integración de Bases </w:t>
      </w:r>
      <w:r w:rsidR="00877546" w:rsidRPr="001001B3">
        <w:rPr>
          <w:b/>
          <w:u w:val="single"/>
        </w:rPr>
        <w:t xml:space="preserve">deberá </w:t>
      </w:r>
      <w:r w:rsidR="004A2D3F">
        <w:rPr>
          <w:b/>
          <w:u w:val="single"/>
        </w:rPr>
        <w:t>indicarse</w:t>
      </w:r>
      <w:r w:rsidR="004A2D3F" w:rsidRPr="008C55A3">
        <w:t xml:space="preserve"> </w:t>
      </w:r>
      <w:r w:rsidR="004A2D3F">
        <w:t xml:space="preserve">que la experiencia del personal propuesto deberá ser </w:t>
      </w:r>
      <w:r w:rsidR="00390585">
        <w:t>acreditada</w:t>
      </w:r>
      <w:r w:rsidR="004A2D3F">
        <w:t xml:space="preserve"> de</w:t>
      </w:r>
      <w:r w:rsidR="00390585">
        <w:t xml:space="preserve"> conformidad con el Precedente </w:t>
      </w:r>
      <w:r w:rsidR="00877546" w:rsidRPr="001001B3">
        <w:t>Administrativo de Observancia Obligatoria contenido en el Pronunciamiento N° 723-2013/DSU.</w:t>
      </w:r>
    </w:p>
    <w:p w:rsidR="001B0219" w:rsidRPr="001001B3" w:rsidRDefault="001B0219" w:rsidP="001B0219">
      <w:pPr>
        <w:widowControl w:val="0"/>
        <w:jc w:val="both"/>
        <w:rPr>
          <w:rFonts w:eastAsia="MS Mincho"/>
          <w:lang w:val="es-ES" w:eastAsia="es-ES"/>
        </w:rPr>
      </w:pPr>
    </w:p>
    <w:p w:rsidR="001B0219" w:rsidRPr="001001B3" w:rsidRDefault="001B0219" w:rsidP="001B0219">
      <w:pPr>
        <w:pStyle w:val="Textoindependiente2"/>
        <w:rPr>
          <w:rFonts w:ascii="Times New Roman" w:hAnsi="Times New Roman"/>
          <w:b/>
          <w:szCs w:val="24"/>
        </w:rPr>
      </w:pPr>
      <w:r w:rsidRPr="001001B3">
        <w:rPr>
          <w:rFonts w:ascii="Times New Roman" w:hAnsi="Times New Roman"/>
          <w:b/>
          <w:szCs w:val="24"/>
          <w:lang w:val="es-PE"/>
        </w:rPr>
        <w:t xml:space="preserve">4.   </w:t>
      </w:r>
      <w:r w:rsidRPr="001001B3">
        <w:rPr>
          <w:rFonts w:ascii="Times New Roman" w:hAnsi="Times New Roman"/>
          <w:b/>
          <w:szCs w:val="24"/>
        </w:rPr>
        <w:t>CONCLUSIONES</w:t>
      </w:r>
    </w:p>
    <w:p w:rsidR="001B0219" w:rsidRPr="001001B3" w:rsidRDefault="001B0219" w:rsidP="001B0219">
      <w:pPr>
        <w:pStyle w:val="Textoindependiente2"/>
        <w:ind w:left="540"/>
        <w:rPr>
          <w:rFonts w:ascii="Times New Roman" w:hAnsi="Times New Roman"/>
          <w:szCs w:val="24"/>
        </w:rPr>
      </w:pPr>
    </w:p>
    <w:p w:rsidR="001B0219" w:rsidRPr="001001B3" w:rsidRDefault="001B0219" w:rsidP="001B0219">
      <w:pPr>
        <w:widowControl w:val="0"/>
        <w:jc w:val="both"/>
        <w:rPr>
          <w:snapToGrid w:val="0"/>
        </w:rPr>
      </w:pPr>
      <w:r w:rsidRPr="001001B3">
        <w:rPr>
          <w:snapToGrid w:val="0"/>
        </w:rPr>
        <w:t>En virtud de lo expuesto, este Organismo Supervisor ha dispuesto:</w:t>
      </w:r>
    </w:p>
    <w:p w:rsidR="001B0219" w:rsidRPr="001001B3" w:rsidRDefault="001B0219" w:rsidP="001B0219">
      <w:pPr>
        <w:widowControl w:val="0"/>
        <w:jc w:val="both"/>
        <w:rPr>
          <w:snapToGrid w:val="0"/>
        </w:rPr>
      </w:pPr>
    </w:p>
    <w:p w:rsidR="001B0219" w:rsidRDefault="0004459E" w:rsidP="001B0219">
      <w:pPr>
        <w:widowControl w:val="0"/>
        <w:numPr>
          <w:ilvl w:val="1"/>
          <w:numId w:val="1"/>
        </w:numPr>
        <w:ind w:left="567" w:hanging="567"/>
        <w:jc w:val="both"/>
      </w:pPr>
      <w:r>
        <w:rPr>
          <w:noProof/>
          <w:lang w:val="es-PE" w:eastAsia="es-PE"/>
        </w:rPr>
        <w:drawing>
          <wp:anchor distT="0" distB="0" distL="114300" distR="114300" simplePos="0" relativeHeight="251665408" behindDoc="0" locked="0" layoutInCell="1" allowOverlap="1" wp14:anchorId="0B250674" wp14:editId="26754E7C">
            <wp:simplePos x="0" y="0"/>
            <wp:positionH relativeFrom="page">
              <wp:align>left</wp:align>
            </wp:positionH>
            <wp:positionV relativeFrom="paragraph">
              <wp:posOffset>466090</wp:posOffset>
            </wp:positionV>
            <wp:extent cx="920750" cy="2733675"/>
            <wp:effectExtent l="0" t="0" r="0" b="952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8"/>
                    <a:srcRect r="8285" b="28607"/>
                    <a:stretch/>
                  </pic:blipFill>
                  <pic:spPr bwMode="auto">
                    <a:xfrm>
                      <a:off x="0" y="0"/>
                      <a:ext cx="920750" cy="2733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B0219" w:rsidRPr="001001B3">
        <w:rPr>
          <w:snapToGrid w:val="0"/>
        </w:rPr>
        <w:t xml:space="preserve">El </w:t>
      </w:r>
      <w:r w:rsidR="001B0219" w:rsidRPr="001001B3">
        <w:rPr>
          <w:lang w:eastAsia="es-ES"/>
        </w:rPr>
        <w:t>Comité Especial deberá cumplir con lo dispuesto por este Organismo Supervisor al absolver las observaciones indicadas en el numeral 2 del presente Pronunciamiento.</w:t>
      </w:r>
    </w:p>
    <w:p w:rsidR="0040658D" w:rsidRPr="001001B3" w:rsidRDefault="0040658D" w:rsidP="0040658D">
      <w:pPr>
        <w:widowControl w:val="0"/>
        <w:ind w:left="567"/>
        <w:jc w:val="both"/>
      </w:pPr>
    </w:p>
    <w:p w:rsidR="001B0219" w:rsidRPr="001001B3" w:rsidRDefault="001B0219" w:rsidP="001B0219">
      <w:pPr>
        <w:widowControl w:val="0"/>
        <w:numPr>
          <w:ilvl w:val="1"/>
          <w:numId w:val="1"/>
        </w:numPr>
        <w:ind w:left="567" w:hanging="567"/>
        <w:jc w:val="both"/>
      </w:pPr>
      <w:r w:rsidRPr="001001B3">
        <w:rPr>
          <w:iCs/>
        </w:rPr>
        <w:t>El Comité Especial deberá tener en cuenta lo indicado en el numeral 3 del presente Pronunciamiento a fin de efectuar las modificaciones a las Bases que hubiere a lugar, así como registrar en el SEACE la documentación solicitada.</w:t>
      </w:r>
    </w:p>
    <w:p w:rsidR="001B0219" w:rsidRPr="001001B3" w:rsidRDefault="001B0219" w:rsidP="001B0219">
      <w:pPr>
        <w:widowControl w:val="0"/>
        <w:ind w:left="567"/>
        <w:jc w:val="both"/>
      </w:pPr>
    </w:p>
    <w:p w:rsidR="001B0219" w:rsidRPr="001001B3" w:rsidRDefault="001B0219" w:rsidP="001B0219">
      <w:pPr>
        <w:widowControl w:val="0"/>
        <w:numPr>
          <w:ilvl w:val="1"/>
          <w:numId w:val="1"/>
        </w:numPr>
        <w:ind w:left="567" w:hanging="567"/>
        <w:jc w:val="both"/>
      </w:pPr>
      <w:r w:rsidRPr="001001B3">
        <w:rPr>
          <w:iCs/>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1B0219" w:rsidRPr="002E1C44" w:rsidRDefault="001B0219" w:rsidP="002E1C44">
      <w:pPr>
        <w:rPr>
          <w:lang w:val="es-ES"/>
        </w:rPr>
      </w:pPr>
    </w:p>
    <w:p w:rsidR="00945DAB" w:rsidRDefault="00945DAB" w:rsidP="00945DAB">
      <w:pPr>
        <w:widowControl w:val="0"/>
        <w:numPr>
          <w:ilvl w:val="1"/>
          <w:numId w:val="1"/>
        </w:numPr>
        <w:ind w:left="567" w:hanging="567"/>
        <w:jc w:val="both"/>
      </w:pPr>
      <w:r w:rsidRPr="00945DAB">
        <w:rPr>
          <w:color w:val="000000"/>
        </w:rPr>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886840">
        <w:rPr>
          <w:rStyle w:val="Refdenotaalpie"/>
          <w:rFonts w:eastAsia="Batang"/>
        </w:rPr>
        <w:footnoteReference w:id="1"/>
      </w:r>
      <w:r w:rsidRPr="00945DAB">
        <w:rPr>
          <w:color w:val="000000"/>
        </w:rPr>
        <w:t xml:space="preserve"> hasta antes de la presentación de propuestas, de acuerdo con lo previsto en el artículo 53 del Reglamento; asimismo, cabe señalar que a tenor del artículo 24 del Reglamento, entre la integración de Bases y la presentación de propuestas no podrá mediar menos de</w:t>
      </w:r>
      <w:r w:rsidR="006E6C8C">
        <w:rPr>
          <w:color w:val="000000"/>
        </w:rPr>
        <w:t xml:space="preserve"> cinco (5</w:t>
      </w:r>
      <w:r w:rsidRPr="00945DAB">
        <w:rPr>
          <w:color w:val="000000"/>
        </w:rPr>
        <w:t>) días hábiles, computados a partir del día siguiente de la publicación de las Bases integradas en el SEACE.</w:t>
      </w:r>
    </w:p>
    <w:p w:rsidR="00945DAB" w:rsidRPr="00945DAB" w:rsidRDefault="00945DAB" w:rsidP="00945DAB">
      <w:pPr>
        <w:widowControl w:val="0"/>
        <w:jc w:val="both"/>
      </w:pPr>
    </w:p>
    <w:p w:rsidR="001B0219" w:rsidRPr="001001B3" w:rsidRDefault="001B0219" w:rsidP="001B0219">
      <w:pPr>
        <w:widowControl w:val="0"/>
        <w:numPr>
          <w:ilvl w:val="1"/>
          <w:numId w:val="1"/>
        </w:numPr>
        <w:ind w:left="567" w:hanging="567"/>
        <w:jc w:val="both"/>
      </w:pPr>
      <w:r w:rsidRPr="001001B3">
        <w:rPr>
          <w:iCs/>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1B0219" w:rsidRPr="001001B3" w:rsidRDefault="001B0219" w:rsidP="001B0219">
      <w:pPr>
        <w:widowControl w:val="0"/>
        <w:ind w:left="567"/>
        <w:jc w:val="both"/>
      </w:pPr>
    </w:p>
    <w:p w:rsidR="001B0219" w:rsidRPr="001001B3" w:rsidRDefault="001B0219" w:rsidP="001B0219">
      <w:pPr>
        <w:widowControl w:val="0"/>
        <w:numPr>
          <w:ilvl w:val="1"/>
          <w:numId w:val="1"/>
        </w:numPr>
        <w:ind w:left="567" w:hanging="567"/>
        <w:jc w:val="both"/>
        <w:rPr>
          <w:iCs/>
        </w:rPr>
      </w:pPr>
      <w:r w:rsidRPr="001001B3">
        <w:rPr>
          <w:iCs/>
        </w:rPr>
        <w:t xml:space="preserve">Conforme al artículo 58° del Reglamento, compete exclusivamente al Comité Especial implementar estrictamente lo dispuesto por este Organismo Supervisor en el presente Pronunciamiento, bajo responsabilidad, no pudiendo continuarse con el </w:t>
      </w:r>
      <w:r w:rsidRPr="001001B3">
        <w:rPr>
          <w:iCs/>
        </w:rPr>
        <w:lastRenderedPageBreak/>
        <w:t>trámite del proceso en tanto las Bases no hayan sido integradas correctamente, bajo sanción de nulidad de todos los actos posteriores.</w:t>
      </w:r>
    </w:p>
    <w:p w:rsidR="001B0219" w:rsidRPr="001001B3" w:rsidRDefault="001B0219" w:rsidP="001B0219">
      <w:pPr>
        <w:widowControl w:val="0"/>
        <w:ind w:left="567"/>
        <w:jc w:val="both"/>
        <w:rPr>
          <w:iCs/>
        </w:rPr>
      </w:pPr>
    </w:p>
    <w:p w:rsidR="001B0219" w:rsidRPr="001001B3" w:rsidRDefault="001B0219" w:rsidP="001B0219">
      <w:pPr>
        <w:widowControl w:val="0"/>
        <w:numPr>
          <w:ilvl w:val="1"/>
          <w:numId w:val="1"/>
        </w:numPr>
        <w:ind w:left="567" w:hanging="567"/>
        <w:jc w:val="both"/>
        <w:rPr>
          <w:iCs/>
        </w:rPr>
      </w:pPr>
      <w:r w:rsidRPr="001001B3">
        <w:rPr>
          <w:iCs/>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1B0219" w:rsidRDefault="0004459E" w:rsidP="001B0219">
      <w:pPr>
        <w:widowControl w:val="0"/>
      </w:pPr>
      <w:r>
        <w:rPr>
          <w:noProof/>
          <w:lang w:val="es-PE" w:eastAsia="es-PE"/>
        </w:rPr>
        <w:drawing>
          <wp:anchor distT="0" distB="0" distL="114300" distR="114300" simplePos="0" relativeHeight="251669504" behindDoc="0" locked="0" layoutInCell="1" allowOverlap="1" wp14:anchorId="6DE10B7C" wp14:editId="6D827B39">
            <wp:simplePos x="0" y="0"/>
            <wp:positionH relativeFrom="leftMargin">
              <wp:posOffset>161290</wp:posOffset>
            </wp:positionH>
            <wp:positionV relativeFrom="paragraph">
              <wp:posOffset>85090</wp:posOffset>
            </wp:positionV>
            <wp:extent cx="962025" cy="1809750"/>
            <wp:effectExtent l="0" t="0" r="952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8"/>
                    <a:srcRect t="24130" r="4174" b="28607"/>
                    <a:stretch/>
                  </pic:blipFill>
                  <pic:spPr bwMode="auto">
                    <a:xfrm>
                      <a:off x="0" y="0"/>
                      <a:ext cx="962025" cy="18097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945DAB" w:rsidRPr="001001B3" w:rsidRDefault="00945DAB" w:rsidP="001B0219">
      <w:pPr>
        <w:widowControl w:val="0"/>
      </w:pPr>
    </w:p>
    <w:p w:rsidR="001B0219" w:rsidRPr="001001B3" w:rsidRDefault="001B0219" w:rsidP="001B0219">
      <w:pPr>
        <w:widowControl w:val="0"/>
      </w:pPr>
    </w:p>
    <w:p w:rsidR="001B0219" w:rsidRPr="001001B3" w:rsidRDefault="00945DAB" w:rsidP="001B0219">
      <w:pPr>
        <w:widowControl w:val="0"/>
        <w:ind w:left="3545" w:firstLine="709"/>
        <w:jc w:val="right"/>
        <w:rPr>
          <w:lang w:val="es-PE"/>
        </w:rPr>
      </w:pPr>
      <w:r>
        <w:rPr>
          <w:lang w:val="es-PE"/>
        </w:rPr>
        <w:t>J</w:t>
      </w:r>
      <w:r w:rsidR="00C73100">
        <w:rPr>
          <w:lang w:val="es-PE"/>
        </w:rPr>
        <w:t>esús María, 11</w:t>
      </w:r>
      <w:r w:rsidR="001B0219" w:rsidRPr="001001B3">
        <w:rPr>
          <w:lang w:val="es-PE"/>
        </w:rPr>
        <w:t xml:space="preserve"> de </w:t>
      </w:r>
      <w:r>
        <w:rPr>
          <w:lang w:val="es-PE"/>
        </w:rPr>
        <w:t>enero</w:t>
      </w:r>
      <w:r w:rsidR="00CA2F3D">
        <w:rPr>
          <w:lang w:val="es-PE"/>
        </w:rPr>
        <w:t xml:space="preserve"> de 2016</w:t>
      </w:r>
      <w:bookmarkStart w:id="0" w:name="_GoBack"/>
      <w:bookmarkEnd w:id="0"/>
    </w:p>
    <w:p w:rsidR="00945DAB" w:rsidRDefault="00945DAB" w:rsidP="004455D0">
      <w:pPr>
        <w:widowControl w:val="0"/>
        <w:rPr>
          <w:lang w:val="es-PE"/>
        </w:rPr>
      </w:pPr>
    </w:p>
    <w:p w:rsidR="002E1C44" w:rsidRPr="001001B3" w:rsidRDefault="002E1C44" w:rsidP="004455D0">
      <w:pPr>
        <w:widowControl w:val="0"/>
        <w:rPr>
          <w:lang w:val="es-PE"/>
        </w:rPr>
      </w:pPr>
    </w:p>
    <w:p w:rsidR="001B0219" w:rsidRPr="001001B3" w:rsidRDefault="001B0219" w:rsidP="001B0219">
      <w:pPr>
        <w:widowControl w:val="0"/>
        <w:ind w:left="3545" w:firstLine="709"/>
        <w:jc w:val="right"/>
        <w:rPr>
          <w:lang w:val="es-PE"/>
        </w:rPr>
      </w:pPr>
    </w:p>
    <w:p w:rsidR="001B0219" w:rsidRPr="001001B3" w:rsidRDefault="001B0219" w:rsidP="001B0219">
      <w:pPr>
        <w:widowControl w:val="0"/>
        <w:tabs>
          <w:tab w:val="left" w:pos="3293"/>
          <w:tab w:val="center" w:pos="4650"/>
        </w:tabs>
        <w:ind w:left="1080"/>
        <w:rPr>
          <w:b/>
          <w:bCs/>
          <w:lang w:val="es-ES_tradnl" w:eastAsia="es-ES"/>
        </w:rPr>
      </w:pPr>
      <w:r w:rsidRPr="001001B3">
        <w:rPr>
          <w:b/>
          <w:bCs/>
          <w:lang w:val="es-ES_tradnl" w:eastAsia="es-ES"/>
        </w:rPr>
        <w:t>Elaborado:</w:t>
      </w:r>
      <w:r w:rsidRPr="001001B3">
        <w:rPr>
          <w:b/>
          <w:bCs/>
          <w:lang w:val="es-ES_tradnl" w:eastAsia="es-ES"/>
        </w:rPr>
        <w:tab/>
        <w:t xml:space="preserve">María Alejandra Garrido </w:t>
      </w:r>
    </w:p>
    <w:p w:rsidR="001B0219" w:rsidRPr="001001B3" w:rsidRDefault="001B0219" w:rsidP="001B0219">
      <w:pPr>
        <w:widowControl w:val="0"/>
        <w:tabs>
          <w:tab w:val="left" w:pos="3293"/>
          <w:tab w:val="center" w:pos="4650"/>
        </w:tabs>
        <w:ind w:left="1080"/>
        <w:rPr>
          <w:b/>
          <w:bCs/>
          <w:lang w:val="es-ES_tradnl" w:eastAsia="es-ES"/>
        </w:rPr>
      </w:pPr>
      <w:r w:rsidRPr="001001B3">
        <w:rPr>
          <w:b/>
          <w:bCs/>
          <w:lang w:val="es-ES_tradnl" w:eastAsia="es-ES"/>
        </w:rPr>
        <w:t xml:space="preserve">Supervisado: </w:t>
      </w:r>
      <w:r w:rsidRPr="001001B3">
        <w:rPr>
          <w:b/>
          <w:bCs/>
          <w:lang w:val="es-ES_tradnl" w:eastAsia="es-ES"/>
        </w:rPr>
        <w:tab/>
      </w:r>
      <w:proofErr w:type="spellStart"/>
      <w:r w:rsidRPr="001001B3">
        <w:rPr>
          <w:b/>
          <w:bCs/>
          <w:lang w:val="es-ES_tradnl" w:eastAsia="es-ES"/>
        </w:rPr>
        <w:t>Elissa</w:t>
      </w:r>
      <w:proofErr w:type="spellEnd"/>
      <w:r w:rsidRPr="001001B3">
        <w:rPr>
          <w:b/>
          <w:bCs/>
          <w:lang w:val="es-ES_tradnl" w:eastAsia="es-ES"/>
        </w:rPr>
        <w:t xml:space="preserve"> </w:t>
      </w:r>
      <w:proofErr w:type="spellStart"/>
      <w:r w:rsidRPr="001001B3">
        <w:rPr>
          <w:b/>
          <w:bCs/>
          <w:lang w:val="es-ES_tradnl" w:eastAsia="es-ES"/>
        </w:rPr>
        <w:t>Lacca</w:t>
      </w:r>
      <w:proofErr w:type="spellEnd"/>
      <w:r w:rsidRPr="001001B3">
        <w:rPr>
          <w:b/>
          <w:bCs/>
          <w:lang w:val="es-ES_tradnl" w:eastAsia="es-ES"/>
        </w:rPr>
        <w:t xml:space="preserve"> Velasco</w:t>
      </w:r>
    </w:p>
    <w:p w:rsidR="001B0219" w:rsidRPr="001001B3" w:rsidRDefault="001B0219" w:rsidP="001B0219">
      <w:pPr>
        <w:widowControl w:val="0"/>
        <w:tabs>
          <w:tab w:val="left" w:pos="3293"/>
          <w:tab w:val="center" w:pos="4650"/>
        </w:tabs>
        <w:ind w:left="1080"/>
        <w:rPr>
          <w:b/>
          <w:bCs/>
          <w:lang w:val="es-ES_tradnl" w:eastAsia="es-ES"/>
        </w:rPr>
      </w:pPr>
      <w:r w:rsidRPr="001001B3">
        <w:rPr>
          <w:b/>
          <w:bCs/>
          <w:lang w:val="es-ES_tradnl" w:eastAsia="es-ES"/>
        </w:rPr>
        <w:t>Validado:</w:t>
      </w:r>
      <w:r w:rsidRPr="001001B3">
        <w:rPr>
          <w:b/>
          <w:bCs/>
          <w:lang w:val="es-ES_tradnl" w:eastAsia="es-ES"/>
        </w:rPr>
        <w:tab/>
        <w:t>Laura Gutiérrez Gonzales</w:t>
      </w:r>
    </w:p>
    <w:p w:rsidR="001B0219" w:rsidRPr="001001B3" w:rsidRDefault="001B0219" w:rsidP="001B0219">
      <w:pPr>
        <w:widowControl w:val="0"/>
        <w:jc w:val="both"/>
      </w:pPr>
    </w:p>
    <w:p w:rsidR="002A7633" w:rsidRPr="001001B3" w:rsidRDefault="005B0D60">
      <w:r w:rsidRPr="001001B3">
        <w:rPr>
          <w:noProof/>
          <w:color w:val="C00000"/>
          <w:lang w:val="es-PE" w:eastAsia="es-PE"/>
        </w:rPr>
        <w:drawing>
          <wp:anchor distT="0" distB="0" distL="114300" distR="114300" simplePos="0" relativeHeight="251659264" behindDoc="1" locked="0" layoutInCell="1" allowOverlap="1" wp14:anchorId="39A1E0A0" wp14:editId="12332069">
            <wp:simplePos x="0" y="0"/>
            <wp:positionH relativeFrom="column">
              <wp:posOffset>962680</wp:posOffset>
            </wp:positionH>
            <wp:positionV relativeFrom="paragraph">
              <wp:posOffset>144820</wp:posOffset>
            </wp:positionV>
            <wp:extent cx="2899410" cy="107505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1">
                      <a:extLst>
                        <a:ext uri="{28A0092B-C50C-407E-A947-70E740481C1C}">
                          <a14:useLocalDpi xmlns:a14="http://schemas.microsoft.com/office/drawing/2010/main" val="0"/>
                        </a:ext>
                      </a:extLst>
                    </a:blip>
                    <a:srcRect t="5208" r="7138" b="15625"/>
                    <a:stretch>
                      <a:fillRect/>
                    </a:stretch>
                  </pic:blipFill>
                  <pic:spPr bwMode="auto">
                    <a:xfrm>
                      <a:off x="0" y="0"/>
                      <a:ext cx="2899410" cy="107505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2A7633" w:rsidRPr="001001B3" w:rsidSect="001B0219">
      <w:headerReference w:type="default" r:id="rId12"/>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219" w:rsidRDefault="001B0219" w:rsidP="001B0219">
      <w:r>
        <w:separator/>
      </w:r>
    </w:p>
  </w:endnote>
  <w:endnote w:type="continuationSeparator" w:id="0">
    <w:p w:rsidR="001B0219" w:rsidRDefault="001B0219" w:rsidP="001B0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erpetua">
    <w:panose1 w:val="02020502060401020303"/>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219" w:rsidRDefault="001B0219" w:rsidP="001B0219">
      <w:r>
        <w:separator/>
      </w:r>
    </w:p>
  </w:footnote>
  <w:footnote w:type="continuationSeparator" w:id="0">
    <w:p w:rsidR="001B0219" w:rsidRDefault="001B0219" w:rsidP="001B0219">
      <w:r>
        <w:continuationSeparator/>
      </w:r>
    </w:p>
  </w:footnote>
  <w:footnote w:id="1">
    <w:p w:rsidR="00945DAB" w:rsidRPr="00C81E3F" w:rsidRDefault="00945DAB" w:rsidP="00945DAB">
      <w:pPr>
        <w:pStyle w:val="Textonotapie"/>
        <w:jc w:val="both"/>
        <w:rPr>
          <w:sz w:val="18"/>
          <w:szCs w:val="18"/>
        </w:rPr>
      </w:pPr>
      <w:r w:rsidRPr="00F64F34">
        <w:rPr>
          <w:rStyle w:val="Refdenotaalpie"/>
          <w:rFonts w:eastAsia="Batang"/>
          <w:sz w:val="18"/>
          <w:szCs w:val="18"/>
        </w:rPr>
        <w:footnoteRef/>
      </w:r>
      <w:r w:rsidRPr="00F64F34">
        <w:rPr>
          <w:color w:val="000000"/>
          <w:sz w:val="18"/>
          <w:szCs w:val="18"/>
        </w:rPr>
        <w:t>A través del Comunicado N° 003-2015-OSCE/PRE se señaló que los procesos que se convoquen a partir del 20 de octubre del 2015 contarán con la funcionalidad del registro de participantes electrónico.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194" w:rsidRPr="003D5012" w:rsidRDefault="004C126A" w:rsidP="003D5012">
    <w:pPr>
      <w:pStyle w:val="Encabezado"/>
      <w:framePr w:wrap="around" w:vAnchor="text" w:hAnchor="margin" w:xAlign="center" w:y="1"/>
      <w:rPr>
        <w:rStyle w:val="Nmerodepgina"/>
        <w:rFonts w:ascii="Times New Roman" w:hAnsi="Times New Roman"/>
        <w:sz w:val="20"/>
      </w:rPr>
    </w:pPr>
    <w:r w:rsidRPr="003D5012">
      <w:rPr>
        <w:rStyle w:val="Nmerodepgina"/>
        <w:rFonts w:ascii="Times New Roman" w:hAnsi="Times New Roman"/>
        <w:sz w:val="20"/>
      </w:rPr>
      <w:fldChar w:fldCharType="begin"/>
    </w:r>
    <w:r w:rsidRPr="003D5012">
      <w:rPr>
        <w:rStyle w:val="Nmerodepgina"/>
        <w:rFonts w:ascii="Times New Roman" w:hAnsi="Times New Roman"/>
        <w:sz w:val="20"/>
      </w:rPr>
      <w:instrText xml:space="preserve">PAGE  </w:instrText>
    </w:r>
    <w:r w:rsidRPr="003D5012">
      <w:rPr>
        <w:rStyle w:val="Nmerodepgina"/>
        <w:rFonts w:ascii="Times New Roman" w:hAnsi="Times New Roman"/>
        <w:sz w:val="20"/>
      </w:rPr>
      <w:fldChar w:fldCharType="separate"/>
    </w:r>
    <w:r w:rsidR="00CA2F3D">
      <w:rPr>
        <w:rStyle w:val="Nmerodepgina"/>
        <w:rFonts w:ascii="Times New Roman" w:hAnsi="Times New Roman"/>
        <w:noProof/>
        <w:sz w:val="20"/>
      </w:rPr>
      <w:t>4</w:t>
    </w:r>
    <w:r w:rsidRPr="003D5012">
      <w:rPr>
        <w:rStyle w:val="Nmerodepgina"/>
        <w:rFonts w:ascii="Times New Roman" w:hAnsi="Times New Roman"/>
        <w:sz w:val="20"/>
      </w:rPr>
      <w:fldChar w:fldCharType="end"/>
    </w:r>
  </w:p>
  <w:p w:rsidR="00DC6194" w:rsidRDefault="00CA2F3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F45A1"/>
    <w:multiLevelType w:val="hybridMultilevel"/>
    <w:tmpl w:val="C55022F6"/>
    <w:lvl w:ilvl="0" w:tplc="A956D1DA">
      <w:start w:val="3"/>
      <w:numFmt w:val="bullet"/>
      <w:lvlText w:val="-"/>
      <w:lvlJc w:val="left"/>
      <w:pPr>
        <w:ind w:left="1428" w:hanging="360"/>
      </w:pPr>
      <w:rPr>
        <w:rFonts w:ascii="Times New Roman" w:eastAsia="Times New Roman" w:hAnsi="Times New Roman" w:cs="Times New Roman" w:hint="default"/>
      </w:rPr>
    </w:lvl>
    <w:lvl w:ilvl="1" w:tplc="280A0003" w:tentative="1">
      <w:start w:val="1"/>
      <w:numFmt w:val="bullet"/>
      <w:lvlText w:val="o"/>
      <w:lvlJc w:val="left"/>
      <w:pPr>
        <w:ind w:left="2148" w:hanging="360"/>
      </w:pPr>
      <w:rPr>
        <w:rFonts w:ascii="Courier New" w:hAnsi="Courier New" w:cs="Courier New" w:hint="default"/>
      </w:rPr>
    </w:lvl>
    <w:lvl w:ilvl="2" w:tplc="280A0005" w:tentative="1">
      <w:start w:val="1"/>
      <w:numFmt w:val="bullet"/>
      <w:lvlText w:val=""/>
      <w:lvlJc w:val="left"/>
      <w:pPr>
        <w:ind w:left="2868" w:hanging="360"/>
      </w:pPr>
      <w:rPr>
        <w:rFonts w:ascii="Wingdings" w:hAnsi="Wingdings" w:hint="default"/>
      </w:rPr>
    </w:lvl>
    <w:lvl w:ilvl="3" w:tplc="280A0001" w:tentative="1">
      <w:start w:val="1"/>
      <w:numFmt w:val="bullet"/>
      <w:lvlText w:val=""/>
      <w:lvlJc w:val="left"/>
      <w:pPr>
        <w:ind w:left="3588" w:hanging="360"/>
      </w:pPr>
      <w:rPr>
        <w:rFonts w:ascii="Symbol" w:hAnsi="Symbol" w:hint="default"/>
      </w:rPr>
    </w:lvl>
    <w:lvl w:ilvl="4" w:tplc="280A0003" w:tentative="1">
      <w:start w:val="1"/>
      <w:numFmt w:val="bullet"/>
      <w:lvlText w:val="o"/>
      <w:lvlJc w:val="left"/>
      <w:pPr>
        <w:ind w:left="4308" w:hanging="360"/>
      </w:pPr>
      <w:rPr>
        <w:rFonts w:ascii="Courier New" w:hAnsi="Courier New" w:cs="Courier New" w:hint="default"/>
      </w:rPr>
    </w:lvl>
    <w:lvl w:ilvl="5" w:tplc="280A0005" w:tentative="1">
      <w:start w:val="1"/>
      <w:numFmt w:val="bullet"/>
      <w:lvlText w:val=""/>
      <w:lvlJc w:val="left"/>
      <w:pPr>
        <w:ind w:left="5028" w:hanging="360"/>
      </w:pPr>
      <w:rPr>
        <w:rFonts w:ascii="Wingdings" w:hAnsi="Wingdings" w:hint="default"/>
      </w:rPr>
    </w:lvl>
    <w:lvl w:ilvl="6" w:tplc="280A0001" w:tentative="1">
      <w:start w:val="1"/>
      <w:numFmt w:val="bullet"/>
      <w:lvlText w:val=""/>
      <w:lvlJc w:val="left"/>
      <w:pPr>
        <w:ind w:left="5748" w:hanging="360"/>
      </w:pPr>
      <w:rPr>
        <w:rFonts w:ascii="Symbol" w:hAnsi="Symbol" w:hint="default"/>
      </w:rPr>
    </w:lvl>
    <w:lvl w:ilvl="7" w:tplc="280A0003" w:tentative="1">
      <w:start w:val="1"/>
      <w:numFmt w:val="bullet"/>
      <w:lvlText w:val="o"/>
      <w:lvlJc w:val="left"/>
      <w:pPr>
        <w:ind w:left="6468" w:hanging="360"/>
      </w:pPr>
      <w:rPr>
        <w:rFonts w:ascii="Courier New" w:hAnsi="Courier New" w:cs="Courier New" w:hint="default"/>
      </w:rPr>
    </w:lvl>
    <w:lvl w:ilvl="8" w:tplc="280A0005" w:tentative="1">
      <w:start w:val="1"/>
      <w:numFmt w:val="bullet"/>
      <w:lvlText w:val=""/>
      <w:lvlJc w:val="left"/>
      <w:pPr>
        <w:ind w:left="7188" w:hanging="360"/>
      </w:pPr>
      <w:rPr>
        <w:rFonts w:ascii="Wingdings" w:hAnsi="Wingdings" w:hint="default"/>
      </w:rPr>
    </w:lvl>
  </w:abstractNum>
  <w:abstractNum w:abstractNumId="1">
    <w:nsid w:val="0F5602A0"/>
    <w:multiLevelType w:val="hybridMultilevel"/>
    <w:tmpl w:val="AD38EF36"/>
    <w:lvl w:ilvl="0" w:tplc="DEA4F962">
      <w:start w:val="14"/>
      <w:numFmt w:val="bullet"/>
      <w:lvlText w:val="-"/>
      <w:lvlJc w:val="left"/>
      <w:pPr>
        <w:ind w:left="720" w:hanging="360"/>
      </w:pPr>
      <w:rPr>
        <w:rFonts w:ascii="Times New Roman" w:eastAsia="Times New Roman" w:hAnsi="Times New Roman" w:cs="Times New Roman" w:hint="default"/>
        <w:i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0F7A745B"/>
    <w:multiLevelType w:val="multilevel"/>
    <w:tmpl w:val="BC0CC118"/>
    <w:lvl w:ilvl="0">
      <w:start w:val="3"/>
      <w:numFmt w:val="decimal"/>
      <w:lvlText w:val="%1."/>
      <w:lvlJc w:val="left"/>
      <w:pPr>
        <w:ind w:left="360" w:hanging="360"/>
      </w:pPr>
      <w:rPr>
        <w:rFonts w:hint="default"/>
        <w:b/>
      </w:rPr>
    </w:lvl>
    <w:lvl w:ilvl="1">
      <w:start w:val="1"/>
      <w:numFmt w:val="decimal"/>
      <w:lvlText w:val="%1.%2."/>
      <w:lvlJc w:val="left"/>
      <w:pPr>
        <w:ind w:left="360" w:hanging="360"/>
      </w:pPr>
      <w:rPr>
        <w:rFonts w:ascii="Times New Roman" w:hAnsi="Times New Roman" w:cs="Times New Roman" w:hint="default"/>
        <w:b/>
        <w:sz w:val="22"/>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38C7662C"/>
    <w:multiLevelType w:val="hybridMultilevel"/>
    <w:tmpl w:val="CFD6E250"/>
    <w:lvl w:ilvl="0" w:tplc="30C67426">
      <w:start w:val="1"/>
      <w:numFmt w:val="bullet"/>
      <w:lvlText w:val="-"/>
      <w:lvlJc w:val="left"/>
      <w:pPr>
        <w:ind w:left="720" w:hanging="360"/>
      </w:pPr>
      <w:rPr>
        <w:rFonts w:ascii="Tahoma" w:eastAsia="MS Mincho" w:hAnsi="Tahoma" w:cs="Tahoma"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4">
    <w:nsid w:val="489C53AF"/>
    <w:multiLevelType w:val="multilevel"/>
    <w:tmpl w:val="BBE24BE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DC24DB6"/>
    <w:multiLevelType w:val="multilevel"/>
    <w:tmpl w:val="E806E31C"/>
    <w:lvl w:ilvl="0">
      <w:start w:val="1"/>
      <w:numFmt w:val="decimal"/>
      <w:lvlText w:val="%1."/>
      <w:lvlJc w:val="left"/>
      <w:pPr>
        <w:tabs>
          <w:tab w:val="num" w:pos="360"/>
        </w:tabs>
        <w:ind w:left="360" w:hanging="360"/>
      </w:pPr>
      <w:rPr>
        <w:rFonts w:hint="default"/>
        <w:b/>
        <w:sz w:val="24"/>
        <w:szCs w:val="24"/>
        <w:vertAlign w:val="baseline"/>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6">
    <w:nsid w:val="4FD8596E"/>
    <w:multiLevelType w:val="multilevel"/>
    <w:tmpl w:val="020E36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0B749F5"/>
    <w:multiLevelType w:val="multilevel"/>
    <w:tmpl w:val="F25C75D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57C4DA1"/>
    <w:multiLevelType w:val="hybridMultilevel"/>
    <w:tmpl w:val="C04E19AE"/>
    <w:lvl w:ilvl="0" w:tplc="280A0001">
      <w:start w:val="1"/>
      <w:numFmt w:val="bullet"/>
      <w:lvlText w:val=""/>
      <w:lvlJc w:val="left"/>
      <w:pPr>
        <w:ind w:left="1428" w:hanging="360"/>
      </w:pPr>
      <w:rPr>
        <w:rFonts w:ascii="Symbol" w:hAnsi="Symbol" w:hint="default"/>
      </w:rPr>
    </w:lvl>
    <w:lvl w:ilvl="1" w:tplc="280A0003" w:tentative="1">
      <w:start w:val="1"/>
      <w:numFmt w:val="bullet"/>
      <w:lvlText w:val="o"/>
      <w:lvlJc w:val="left"/>
      <w:pPr>
        <w:ind w:left="2148" w:hanging="360"/>
      </w:pPr>
      <w:rPr>
        <w:rFonts w:ascii="Courier New" w:hAnsi="Courier New" w:cs="Courier New" w:hint="default"/>
      </w:rPr>
    </w:lvl>
    <w:lvl w:ilvl="2" w:tplc="280A0005" w:tentative="1">
      <w:start w:val="1"/>
      <w:numFmt w:val="bullet"/>
      <w:lvlText w:val=""/>
      <w:lvlJc w:val="left"/>
      <w:pPr>
        <w:ind w:left="2868" w:hanging="360"/>
      </w:pPr>
      <w:rPr>
        <w:rFonts w:ascii="Wingdings" w:hAnsi="Wingdings" w:hint="default"/>
      </w:rPr>
    </w:lvl>
    <w:lvl w:ilvl="3" w:tplc="280A0001" w:tentative="1">
      <w:start w:val="1"/>
      <w:numFmt w:val="bullet"/>
      <w:lvlText w:val=""/>
      <w:lvlJc w:val="left"/>
      <w:pPr>
        <w:ind w:left="3588" w:hanging="360"/>
      </w:pPr>
      <w:rPr>
        <w:rFonts w:ascii="Symbol" w:hAnsi="Symbol" w:hint="default"/>
      </w:rPr>
    </w:lvl>
    <w:lvl w:ilvl="4" w:tplc="280A0003" w:tentative="1">
      <w:start w:val="1"/>
      <w:numFmt w:val="bullet"/>
      <w:lvlText w:val="o"/>
      <w:lvlJc w:val="left"/>
      <w:pPr>
        <w:ind w:left="4308" w:hanging="360"/>
      </w:pPr>
      <w:rPr>
        <w:rFonts w:ascii="Courier New" w:hAnsi="Courier New" w:cs="Courier New" w:hint="default"/>
      </w:rPr>
    </w:lvl>
    <w:lvl w:ilvl="5" w:tplc="280A0005" w:tentative="1">
      <w:start w:val="1"/>
      <w:numFmt w:val="bullet"/>
      <w:lvlText w:val=""/>
      <w:lvlJc w:val="left"/>
      <w:pPr>
        <w:ind w:left="5028" w:hanging="360"/>
      </w:pPr>
      <w:rPr>
        <w:rFonts w:ascii="Wingdings" w:hAnsi="Wingdings" w:hint="default"/>
      </w:rPr>
    </w:lvl>
    <w:lvl w:ilvl="6" w:tplc="280A0001" w:tentative="1">
      <w:start w:val="1"/>
      <w:numFmt w:val="bullet"/>
      <w:lvlText w:val=""/>
      <w:lvlJc w:val="left"/>
      <w:pPr>
        <w:ind w:left="5748" w:hanging="360"/>
      </w:pPr>
      <w:rPr>
        <w:rFonts w:ascii="Symbol" w:hAnsi="Symbol" w:hint="default"/>
      </w:rPr>
    </w:lvl>
    <w:lvl w:ilvl="7" w:tplc="280A0003" w:tentative="1">
      <w:start w:val="1"/>
      <w:numFmt w:val="bullet"/>
      <w:lvlText w:val="o"/>
      <w:lvlJc w:val="left"/>
      <w:pPr>
        <w:ind w:left="6468" w:hanging="360"/>
      </w:pPr>
      <w:rPr>
        <w:rFonts w:ascii="Courier New" w:hAnsi="Courier New" w:cs="Courier New" w:hint="default"/>
      </w:rPr>
    </w:lvl>
    <w:lvl w:ilvl="8" w:tplc="280A0005" w:tentative="1">
      <w:start w:val="1"/>
      <w:numFmt w:val="bullet"/>
      <w:lvlText w:val=""/>
      <w:lvlJc w:val="left"/>
      <w:pPr>
        <w:ind w:left="7188" w:hanging="360"/>
      </w:pPr>
      <w:rPr>
        <w:rFonts w:ascii="Wingdings" w:hAnsi="Wingdings" w:hint="default"/>
      </w:rPr>
    </w:lvl>
  </w:abstractNum>
  <w:abstractNum w:abstractNumId="9">
    <w:nsid w:val="5C7F4890"/>
    <w:multiLevelType w:val="multilevel"/>
    <w:tmpl w:val="3BF45368"/>
    <w:lvl w:ilvl="0">
      <w:start w:val="5"/>
      <w:numFmt w:val="none"/>
      <w:lvlText w:val="4."/>
      <w:lvlJc w:val="left"/>
      <w:pPr>
        <w:ind w:left="360" w:hanging="360"/>
      </w:pPr>
      <w:rPr>
        <w:rFonts w:hint="default"/>
      </w:rPr>
    </w:lvl>
    <w:lvl w:ilvl="1">
      <w:start w:val="1"/>
      <w:numFmt w:val="decimal"/>
      <w:lvlText w:val="%14.%2."/>
      <w:lvlJc w:val="left"/>
      <w:pPr>
        <w:ind w:left="532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4C0771A"/>
    <w:multiLevelType w:val="multilevel"/>
    <w:tmpl w:val="709EEE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3F72052"/>
    <w:multiLevelType w:val="multilevel"/>
    <w:tmpl w:val="60CAA4EE"/>
    <w:lvl w:ilvl="0">
      <w:start w:val="1"/>
      <w:numFmt w:val="decimal"/>
      <w:lvlText w:val="%1."/>
      <w:lvlJc w:val="left"/>
      <w:pPr>
        <w:ind w:left="720" w:hanging="360"/>
      </w:pPr>
    </w:lvl>
    <w:lvl w:ilvl="1">
      <w:start w:val="5"/>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2">
    <w:nsid w:val="799C24A6"/>
    <w:multiLevelType w:val="hybridMultilevel"/>
    <w:tmpl w:val="61740B66"/>
    <w:lvl w:ilvl="0" w:tplc="280A000B">
      <w:start w:val="1"/>
      <w:numFmt w:val="bullet"/>
      <w:lvlText w:val=""/>
      <w:lvlJc w:val="left"/>
      <w:pPr>
        <w:ind w:left="1429" w:hanging="360"/>
      </w:pPr>
      <w:rPr>
        <w:rFonts w:ascii="Wingdings" w:hAnsi="Wingdings"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num w:numId="1">
    <w:abstractNumId w:val="9"/>
  </w:num>
  <w:num w:numId="2">
    <w:abstractNumId w:val="5"/>
  </w:num>
  <w:num w:numId="3">
    <w:abstractNumId w:val="12"/>
  </w:num>
  <w:num w:numId="4">
    <w:abstractNumId w:val="0"/>
  </w:num>
  <w:num w:numId="5">
    <w:abstractNumId w:val="8"/>
  </w:num>
  <w:num w:numId="6">
    <w:abstractNumId w:val="2"/>
  </w:num>
  <w:num w:numId="7">
    <w:abstractNumId w:val="3"/>
  </w:num>
  <w:num w:numId="8">
    <w:abstractNumId w:val="7"/>
  </w:num>
  <w:num w:numId="9">
    <w:abstractNumId w:val="11"/>
  </w:num>
  <w:num w:numId="10">
    <w:abstractNumId w:val="4"/>
  </w:num>
  <w:num w:numId="11">
    <w:abstractNumId w:val="6"/>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495"/>
    <w:rsid w:val="0004459E"/>
    <w:rsid w:val="000F7291"/>
    <w:rsid w:val="001001B3"/>
    <w:rsid w:val="00183906"/>
    <w:rsid w:val="001B0219"/>
    <w:rsid w:val="002052A9"/>
    <w:rsid w:val="00213822"/>
    <w:rsid w:val="00261D70"/>
    <w:rsid w:val="00262734"/>
    <w:rsid w:val="002815EF"/>
    <w:rsid w:val="002A7633"/>
    <w:rsid w:val="002E1C44"/>
    <w:rsid w:val="002F195C"/>
    <w:rsid w:val="00321D0C"/>
    <w:rsid w:val="00321E4C"/>
    <w:rsid w:val="00351495"/>
    <w:rsid w:val="00354562"/>
    <w:rsid w:val="003628B3"/>
    <w:rsid w:val="00386245"/>
    <w:rsid w:val="00390585"/>
    <w:rsid w:val="0040365E"/>
    <w:rsid w:val="0040658D"/>
    <w:rsid w:val="004455D0"/>
    <w:rsid w:val="00455646"/>
    <w:rsid w:val="00471E8D"/>
    <w:rsid w:val="0048525A"/>
    <w:rsid w:val="0049346D"/>
    <w:rsid w:val="004A2D3F"/>
    <w:rsid w:val="004C126A"/>
    <w:rsid w:val="004C6001"/>
    <w:rsid w:val="004E2DC8"/>
    <w:rsid w:val="004E7966"/>
    <w:rsid w:val="005051D5"/>
    <w:rsid w:val="00512324"/>
    <w:rsid w:val="00513036"/>
    <w:rsid w:val="00573D6F"/>
    <w:rsid w:val="005850C3"/>
    <w:rsid w:val="0058648F"/>
    <w:rsid w:val="005B0D60"/>
    <w:rsid w:val="005B5F22"/>
    <w:rsid w:val="005F4780"/>
    <w:rsid w:val="00600439"/>
    <w:rsid w:val="00606017"/>
    <w:rsid w:val="00637978"/>
    <w:rsid w:val="0064204A"/>
    <w:rsid w:val="0067545F"/>
    <w:rsid w:val="0068327D"/>
    <w:rsid w:val="00694353"/>
    <w:rsid w:val="006E6C8C"/>
    <w:rsid w:val="00795566"/>
    <w:rsid w:val="007A69CF"/>
    <w:rsid w:val="0083352C"/>
    <w:rsid w:val="00857075"/>
    <w:rsid w:val="008728A3"/>
    <w:rsid w:val="00877546"/>
    <w:rsid w:val="00890061"/>
    <w:rsid w:val="00890C26"/>
    <w:rsid w:val="008C55A3"/>
    <w:rsid w:val="00901CD4"/>
    <w:rsid w:val="00925B36"/>
    <w:rsid w:val="00945DAB"/>
    <w:rsid w:val="009912C8"/>
    <w:rsid w:val="0099442F"/>
    <w:rsid w:val="009F0E72"/>
    <w:rsid w:val="00A02A02"/>
    <w:rsid w:val="00A10737"/>
    <w:rsid w:val="00A226D5"/>
    <w:rsid w:val="00AB2C04"/>
    <w:rsid w:val="00AC5B54"/>
    <w:rsid w:val="00AF5568"/>
    <w:rsid w:val="00B05548"/>
    <w:rsid w:val="00B72438"/>
    <w:rsid w:val="00B773CF"/>
    <w:rsid w:val="00B86773"/>
    <w:rsid w:val="00BD0205"/>
    <w:rsid w:val="00C17B6E"/>
    <w:rsid w:val="00C73100"/>
    <w:rsid w:val="00CA2F3D"/>
    <w:rsid w:val="00CC3B16"/>
    <w:rsid w:val="00CC59DC"/>
    <w:rsid w:val="00CE7819"/>
    <w:rsid w:val="00D43F0E"/>
    <w:rsid w:val="00D55065"/>
    <w:rsid w:val="00DA0AA2"/>
    <w:rsid w:val="00DD2066"/>
    <w:rsid w:val="00DD7A74"/>
    <w:rsid w:val="00DF3CC8"/>
    <w:rsid w:val="00E2682B"/>
    <w:rsid w:val="00E80B32"/>
    <w:rsid w:val="00E84FAF"/>
    <w:rsid w:val="00E85976"/>
    <w:rsid w:val="00E91251"/>
    <w:rsid w:val="00F1229A"/>
    <w:rsid w:val="00F14C15"/>
    <w:rsid w:val="00F16B97"/>
    <w:rsid w:val="00F21C6B"/>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02304F-43CF-4FB2-9E3E-F8DC8DDA7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219"/>
    <w:pPr>
      <w:spacing w:after="0" w:line="240" w:lineRule="auto"/>
    </w:pPr>
    <w:rPr>
      <w:rFonts w:ascii="Times New Roman" w:eastAsia="Times New Roman" w:hAnsi="Times New Roman" w:cs="Times New Roman"/>
      <w:sz w:val="24"/>
      <w:szCs w:val="24"/>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Sangra3detindependiente">
    <w:name w:val="WW-Sangría 3 de t. independiente"/>
    <w:basedOn w:val="Normal"/>
    <w:rsid w:val="001B0219"/>
    <w:pPr>
      <w:widowControl w:val="0"/>
      <w:suppressAutoHyphens/>
      <w:ind w:left="426" w:firstLine="1"/>
      <w:jc w:val="both"/>
    </w:pPr>
    <w:rPr>
      <w:rFonts w:eastAsia="MS Mincho"/>
      <w:lang w:val="es-ES_tradnl" w:eastAsia="es-PE"/>
    </w:rPr>
  </w:style>
  <w:style w:type="paragraph" w:styleId="NormalWeb">
    <w:name w:val="Normal (Web)"/>
    <w:basedOn w:val="Normal"/>
    <w:rsid w:val="001B0219"/>
    <w:pPr>
      <w:spacing w:before="100" w:beforeAutospacing="1" w:after="100" w:afterAutospacing="1"/>
    </w:pPr>
    <w:rPr>
      <w:color w:val="000000"/>
      <w:lang w:val="es-ES" w:eastAsia="es-ES"/>
    </w:rPr>
  </w:style>
  <w:style w:type="character" w:styleId="Refdenotaalpie">
    <w:name w:val="footnote reference"/>
    <w:aliases w:val="16 Point,Superscript 6 Point,FC,referencia nota al pie,CVR Ref. de nota al pie"/>
    <w:unhideWhenUsed/>
    <w:rsid w:val="001B0219"/>
    <w:rPr>
      <w:vertAlign w:val="superscript"/>
    </w:rPr>
  </w:style>
  <w:style w:type="paragraph" w:customStyle="1" w:styleId="WW-Textoindependiente2">
    <w:name w:val="WW-Texto independiente 2"/>
    <w:basedOn w:val="Normal"/>
    <w:uiPriority w:val="99"/>
    <w:rsid w:val="001B0219"/>
    <w:pPr>
      <w:jc w:val="both"/>
    </w:pPr>
    <w:rPr>
      <w:rFonts w:ascii="Arial" w:hAnsi="Arial"/>
      <w:snapToGrid w:val="0"/>
      <w:lang w:val="es-ES"/>
    </w:rPr>
  </w:style>
  <w:style w:type="paragraph" w:styleId="Prrafodelista">
    <w:name w:val="List Paragraph"/>
    <w:aliases w:val="Titulo de Fígura,TITULO A,Titulo parrafo,Punto,TITULO,Imagen 01.,Iz - Párrafo de lista,Sivsa Parrafo,Párrafo de lista2,Párrafo de lista4,Párrafo de lista21,Cuadro 2-1,Conclusiones"/>
    <w:basedOn w:val="Normal"/>
    <w:link w:val="PrrafodelistaCar"/>
    <w:uiPriority w:val="34"/>
    <w:qFormat/>
    <w:rsid w:val="001B0219"/>
    <w:pPr>
      <w:ind w:left="720"/>
      <w:contextualSpacing/>
    </w:pPr>
  </w:style>
  <w:style w:type="paragraph" w:styleId="Textoindependiente2">
    <w:name w:val="Body Text 2"/>
    <w:basedOn w:val="Normal"/>
    <w:link w:val="Textoindependiente2Car"/>
    <w:rsid w:val="001B0219"/>
    <w:pPr>
      <w:widowControl w:val="0"/>
      <w:jc w:val="both"/>
    </w:pPr>
    <w:rPr>
      <w:rFonts w:ascii="Arial" w:hAnsi="Arial"/>
      <w:snapToGrid w:val="0"/>
      <w:szCs w:val="20"/>
      <w:lang w:val="x-none"/>
    </w:rPr>
  </w:style>
  <w:style w:type="character" w:customStyle="1" w:styleId="Textoindependiente2Car">
    <w:name w:val="Texto independiente 2 Car"/>
    <w:basedOn w:val="Fuentedeprrafopredeter"/>
    <w:link w:val="Textoindependiente2"/>
    <w:rsid w:val="001B0219"/>
    <w:rPr>
      <w:rFonts w:ascii="Arial" w:eastAsia="Times New Roman" w:hAnsi="Arial" w:cs="Times New Roman"/>
      <w:snapToGrid w:val="0"/>
      <w:sz w:val="24"/>
      <w:szCs w:val="20"/>
      <w:lang w:val="x-none" w:eastAsia="es-MX"/>
    </w:rPr>
  </w:style>
  <w:style w:type="paragraph" w:styleId="Textonotapie">
    <w:name w:val="footnote text"/>
    <w:aliases w:val=" Car2, Car2 Car Car Car Car Car, Car1 Car, Car2 Car Car,Car,Car2 Car Car Car Car Car,Car2 Car,Car2,Car1 Car Car Car Car, Car1 Car Car Car Car Car Car,Car1 Car,Car1,Car1 Car Car Car Car Car Car, Car1 Car Car Car, Car3, Car2 Car, Car1, Car"/>
    <w:basedOn w:val="Normal"/>
    <w:link w:val="TextonotapieCar"/>
    <w:unhideWhenUsed/>
    <w:qFormat/>
    <w:rsid w:val="001B0219"/>
    <w:rPr>
      <w:sz w:val="20"/>
      <w:szCs w:val="20"/>
    </w:rPr>
  </w:style>
  <w:style w:type="character" w:customStyle="1" w:styleId="TextonotapieCar">
    <w:name w:val="Texto nota pie Car"/>
    <w:aliases w:val=" Car2 Car1, Car2 Car Car Car Car Car Car, Car1 Car Car, Car2 Car Car Car,Car Car,Car2 Car Car Car Car Car Car,Car2 Car Car,Car2 Car1,Car1 Car Car Car Car Car, Car1 Car Car Car Car Car Car Car,Car1 Car Car,Car1 Car1, Car3 Car, Car Car"/>
    <w:basedOn w:val="Fuentedeprrafopredeter"/>
    <w:link w:val="Textonotapie"/>
    <w:rsid w:val="001B0219"/>
    <w:rPr>
      <w:rFonts w:ascii="Times New Roman" w:eastAsia="Times New Roman" w:hAnsi="Times New Roman" w:cs="Times New Roman"/>
      <w:sz w:val="20"/>
      <w:szCs w:val="20"/>
      <w:lang w:val="es-MX" w:eastAsia="es-MX"/>
    </w:rPr>
  </w:style>
  <w:style w:type="paragraph" w:customStyle="1" w:styleId="Normaltimes">
    <w:name w:val="Normal+times"/>
    <w:basedOn w:val="Normal"/>
    <w:link w:val="NormaltimesCar"/>
    <w:rsid w:val="001B0219"/>
    <w:rPr>
      <w:szCs w:val="20"/>
    </w:rPr>
  </w:style>
  <w:style w:type="character" w:customStyle="1" w:styleId="NormaltimesCar">
    <w:name w:val="Normal+times Car"/>
    <w:link w:val="Normaltimes"/>
    <w:rsid w:val="001B0219"/>
    <w:rPr>
      <w:rFonts w:ascii="Times New Roman" w:eastAsia="Times New Roman" w:hAnsi="Times New Roman" w:cs="Times New Roman"/>
      <w:sz w:val="24"/>
      <w:szCs w:val="20"/>
      <w:lang w:val="es-MX" w:eastAsia="es-MX"/>
    </w:rPr>
  </w:style>
  <w:style w:type="paragraph" w:styleId="Textoindependiente">
    <w:name w:val="Body Text"/>
    <w:basedOn w:val="Normal"/>
    <w:link w:val="TextoindependienteCar"/>
    <w:uiPriority w:val="99"/>
    <w:unhideWhenUsed/>
    <w:rsid w:val="001B0219"/>
    <w:pPr>
      <w:spacing w:after="120"/>
    </w:pPr>
  </w:style>
  <w:style w:type="character" w:customStyle="1" w:styleId="TextoindependienteCar">
    <w:name w:val="Texto independiente Car"/>
    <w:basedOn w:val="Fuentedeprrafopredeter"/>
    <w:link w:val="Textoindependiente"/>
    <w:uiPriority w:val="99"/>
    <w:rsid w:val="001B0219"/>
    <w:rPr>
      <w:rFonts w:ascii="Times New Roman" w:eastAsia="Times New Roman" w:hAnsi="Times New Roman" w:cs="Times New Roman"/>
      <w:sz w:val="24"/>
      <w:szCs w:val="24"/>
      <w:lang w:val="es-MX" w:eastAsia="es-MX"/>
    </w:rPr>
  </w:style>
  <w:style w:type="character" w:customStyle="1" w:styleId="PrrafodelistaCar">
    <w:name w:val="Párrafo de lista Car"/>
    <w:aliases w:val="Titulo de Fígura Car,TITULO A Car,Titulo parrafo Car,Punto Car,TITULO Car,Imagen 01. Car,Iz - Párrafo de lista Car,Sivsa Parrafo Car,Párrafo de lista2 Car,Párrafo de lista4 Car,Párrafo de lista21 Car,Cuadro 2-1 Car,Conclusiones Car"/>
    <w:link w:val="Prrafodelista"/>
    <w:uiPriority w:val="34"/>
    <w:rsid w:val="001B0219"/>
    <w:rPr>
      <w:rFonts w:ascii="Times New Roman" w:eastAsia="Times New Roman" w:hAnsi="Times New Roman" w:cs="Times New Roman"/>
      <w:sz w:val="24"/>
      <w:szCs w:val="24"/>
      <w:lang w:val="es-MX" w:eastAsia="es-MX"/>
    </w:rPr>
  </w:style>
  <w:style w:type="paragraph" w:styleId="Encabezado">
    <w:name w:val="header"/>
    <w:aliases w:val="h,maria"/>
    <w:basedOn w:val="Normal"/>
    <w:link w:val="EncabezadoCar"/>
    <w:unhideWhenUsed/>
    <w:rsid w:val="001B0219"/>
    <w:pPr>
      <w:tabs>
        <w:tab w:val="center" w:pos="4320"/>
        <w:tab w:val="right" w:pos="8640"/>
      </w:tabs>
      <w:spacing w:after="160" w:line="276" w:lineRule="auto"/>
    </w:pPr>
    <w:rPr>
      <w:rFonts w:ascii="Perpetua" w:eastAsia="Batang" w:hAnsi="Perpetua"/>
      <w:color w:val="000000"/>
      <w:sz w:val="22"/>
      <w:szCs w:val="20"/>
      <w:lang w:val="x-none" w:eastAsia="x-none"/>
    </w:rPr>
  </w:style>
  <w:style w:type="character" w:customStyle="1" w:styleId="EncabezadoCar">
    <w:name w:val="Encabezado Car"/>
    <w:aliases w:val="h Car,maria Car"/>
    <w:basedOn w:val="Fuentedeprrafopredeter"/>
    <w:link w:val="Encabezado"/>
    <w:rsid w:val="001B0219"/>
    <w:rPr>
      <w:rFonts w:ascii="Perpetua" w:eastAsia="Batang" w:hAnsi="Perpetua" w:cs="Times New Roman"/>
      <w:color w:val="000000"/>
      <w:szCs w:val="20"/>
      <w:lang w:val="x-none" w:eastAsia="x-none"/>
    </w:rPr>
  </w:style>
  <w:style w:type="character" w:styleId="Hipervnculo">
    <w:name w:val="Hyperlink"/>
    <w:uiPriority w:val="99"/>
    <w:unhideWhenUsed/>
    <w:rsid w:val="001B0219"/>
    <w:rPr>
      <w:color w:val="CC9900"/>
      <w:u w:val="single"/>
    </w:rPr>
  </w:style>
  <w:style w:type="paragraph" w:customStyle="1" w:styleId="Prrafodelista1">
    <w:name w:val="Párrafo de lista1"/>
    <w:basedOn w:val="Normal"/>
    <w:link w:val="ListParagraphChar"/>
    <w:rsid w:val="001B0219"/>
    <w:pPr>
      <w:spacing w:after="200" w:line="276" w:lineRule="auto"/>
      <w:ind w:left="708"/>
    </w:pPr>
    <w:rPr>
      <w:rFonts w:ascii="Calibri" w:hAnsi="Calibri"/>
      <w:sz w:val="20"/>
      <w:szCs w:val="20"/>
      <w:lang w:val="x-none" w:eastAsia="es-PE"/>
    </w:rPr>
  </w:style>
  <w:style w:type="character" w:customStyle="1" w:styleId="ListParagraphChar">
    <w:name w:val="List Paragraph Char"/>
    <w:link w:val="Prrafodelista1"/>
    <w:locked/>
    <w:rsid w:val="001B0219"/>
    <w:rPr>
      <w:rFonts w:ascii="Calibri" w:eastAsia="Times New Roman" w:hAnsi="Calibri" w:cs="Times New Roman"/>
      <w:sz w:val="20"/>
      <w:szCs w:val="20"/>
      <w:lang w:val="x-none" w:eastAsia="es-PE"/>
    </w:rPr>
  </w:style>
  <w:style w:type="character" w:customStyle="1" w:styleId="SinespaciadoCar">
    <w:name w:val="Sin espaciado Car"/>
    <w:link w:val="Sinespaciado"/>
    <w:uiPriority w:val="1"/>
    <w:locked/>
    <w:rsid w:val="001B0219"/>
    <w:rPr>
      <w:lang w:val="es-ES"/>
    </w:rPr>
  </w:style>
  <w:style w:type="paragraph" w:styleId="Sinespaciado">
    <w:name w:val="No Spacing"/>
    <w:link w:val="SinespaciadoCar"/>
    <w:uiPriority w:val="1"/>
    <w:qFormat/>
    <w:rsid w:val="001B0219"/>
    <w:pPr>
      <w:spacing w:after="0" w:line="240" w:lineRule="auto"/>
    </w:pPr>
    <w:rPr>
      <w:lang w:val="es-ES"/>
    </w:rPr>
  </w:style>
  <w:style w:type="character" w:styleId="Nmerodepgina">
    <w:name w:val="page number"/>
    <w:basedOn w:val="Fuentedeprrafopredeter"/>
    <w:rsid w:val="001B0219"/>
  </w:style>
  <w:style w:type="paragraph" w:styleId="Textodeglobo">
    <w:name w:val="Balloon Text"/>
    <w:basedOn w:val="Normal"/>
    <w:link w:val="TextodegloboCar"/>
    <w:uiPriority w:val="99"/>
    <w:semiHidden/>
    <w:unhideWhenUsed/>
    <w:rsid w:val="00B7243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72438"/>
    <w:rPr>
      <w:rFonts w:ascii="Segoe UI" w:eastAsia="Times New Roman" w:hAnsi="Segoe UI" w:cs="Segoe UI"/>
      <w:sz w:val="18"/>
      <w:szCs w:val="18"/>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75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7255E0-E7C7-41D2-895F-588A9E3FF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1712</Words>
  <Characters>9418</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Alejandra Garrido Recalde</dc:creator>
  <cp:keywords/>
  <dc:description/>
  <cp:lastModifiedBy>Maria Alejandra Garrido Recalde</cp:lastModifiedBy>
  <cp:revision>34</cp:revision>
  <cp:lastPrinted>2016-01-11T18:25:00Z</cp:lastPrinted>
  <dcterms:created xsi:type="dcterms:W3CDTF">2016-01-11T17:31:00Z</dcterms:created>
  <dcterms:modified xsi:type="dcterms:W3CDTF">2016-01-19T16:45:00Z</dcterms:modified>
</cp:coreProperties>
</file>