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D44" w:rsidRPr="008B4D44" w:rsidRDefault="008B4D44" w:rsidP="008B4D44">
      <w:pPr>
        <w:spacing w:after="0" w:line="240" w:lineRule="auto"/>
        <w:rPr>
          <w:rFonts w:ascii="Times New Roman" w:eastAsia="Times New Roman" w:hAnsi="Times New Roman" w:cs="Times New Roman"/>
          <w:b/>
          <w:sz w:val="24"/>
          <w:szCs w:val="24"/>
          <w:highlight w:val="yellow"/>
          <w:u w:val="single"/>
          <w:lang w:val="es-ES" w:eastAsia="es-MX"/>
        </w:rPr>
      </w:pPr>
    </w:p>
    <w:p w:rsidR="008B4D44" w:rsidRPr="008B4D44" w:rsidRDefault="00D9444C" w:rsidP="008B4D44">
      <w:pPr>
        <w:spacing w:after="0" w:line="240" w:lineRule="auto"/>
        <w:jc w:val="center"/>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b/>
          <w:sz w:val="24"/>
          <w:szCs w:val="24"/>
          <w:u w:val="single"/>
          <w:lang w:val="es-ES" w:eastAsia="es-MX"/>
        </w:rPr>
        <w:t>PRONUNCIAMIENTO Nº 146</w:t>
      </w:r>
      <w:r w:rsidR="008B4D44" w:rsidRPr="008B4D44">
        <w:rPr>
          <w:rFonts w:ascii="Times New Roman" w:eastAsia="Times New Roman" w:hAnsi="Times New Roman" w:cs="Times New Roman"/>
          <w:b/>
          <w:sz w:val="24"/>
          <w:szCs w:val="24"/>
          <w:u w:val="single"/>
          <w:lang w:val="es-ES" w:eastAsia="es-MX"/>
        </w:rPr>
        <w:t>-201</w:t>
      </w:r>
      <w:r w:rsidR="008B4D44">
        <w:rPr>
          <w:rFonts w:ascii="Times New Roman" w:eastAsia="Times New Roman" w:hAnsi="Times New Roman" w:cs="Times New Roman"/>
          <w:b/>
          <w:sz w:val="24"/>
          <w:szCs w:val="24"/>
          <w:u w:val="single"/>
          <w:lang w:val="es-ES" w:eastAsia="es-MX"/>
        </w:rPr>
        <w:t>5</w:t>
      </w:r>
      <w:r w:rsidR="008B4D44" w:rsidRPr="008B4D44">
        <w:rPr>
          <w:rFonts w:ascii="Times New Roman" w:eastAsia="Times New Roman" w:hAnsi="Times New Roman" w:cs="Times New Roman"/>
          <w:b/>
          <w:sz w:val="24"/>
          <w:szCs w:val="24"/>
          <w:u w:val="single"/>
          <w:lang w:val="es-ES" w:eastAsia="es-MX"/>
        </w:rPr>
        <w:t>/DSU</w:t>
      </w:r>
    </w:p>
    <w:p w:rsidR="008B4D44" w:rsidRPr="008B4D44" w:rsidRDefault="008B4D44" w:rsidP="008B4D44">
      <w:pPr>
        <w:spacing w:after="0" w:line="240" w:lineRule="auto"/>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sz w:val="24"/>
          <w:szCs w:val="24"/>
          <w:lang w:val="es-ES" w:eastAsia="es-MX"/>
        </w:rPr>
        <w:tab/>
      </w:r>
    </w:p>
    <w:p w:rsidR="008B4D44" w:rsidRPr="008B4D44" w:rsidRDefault="008B4D44" w:rsidP="008B4D4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sz w:val="24"/>
          <w:szCs w:val="24"/>
          <w:lang w:val="es-ES" w:eastAsia="es-MX"/>
        </w:rPr>
        <w:t>Entidad:</w:t>
      </w:r>
      <w:r w:rsidRPr="008B4D44">
        <w:rPr>
          <w:rFonts w:ascii="Times New Roman" w:eastAsia="Times New Roman" w:hAnsi="Times New Roman" w:cs="Times New Roman"/>
          <w:sz w:val="24"/>
          <w:szCs w:val="24"/>
          <w:lang w:val="es-ES" w:eastAsia="es-MX"/>
        </w:rPr>
        <w:tab/>
      </w:r>
      <w:r w:rsidRPr="008B4D44">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Presidencia del Consejo de Ministros</w:t>
      </w:r>
    </w:p>
    <w:p w:rsidR="008B4D44" w:rsidRPr="008B4D44" w:rsidRDefault="008B4D44" w:rsidP="008B4D4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8B4D44" w:rsidRPr="008B4D44" w:rsidRDefault="008B4D44" w:rsidP="008B4D4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sz w:val="24"/>
          <w:szCs w:val="24"/>
          <w:lang w:val="es-ES" w:eastAsia="es-MX"/>
        </w:rPr>
        <w:t>Referencia:</w:t>
      </w:r>
      <w:r w:rsidRPr="008B4D44">
        <w:rPr>
          <w:rFonts w:ascii="Times New Roman" w:eastAsia="Times New Roman" w:hAnsi="Times New Roman" w:cs="Times New Roman"/>
          <w:sz w:val="24"/>
          <w:szCs w:val="24"/>
          <w:lang w:val="es-ES" w:eastAsia="es-MX"/>
        </w:rPr>
        <w:tab/>
      </w:r>
      <w:r w:rsidRPr="008B4D44">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Concurso</w:t>
      </w:r>
      <w:r w:rsidRPr="008B4D44">
        <w:rPr>
          <w:rFonts w:ascii="Times New Roman" w:eastAsia="Times New Roman" w:hAnsi="Times New Roman" w:cs="Times New Roman"/>
          <w:sz w:val="24"/>
          <w:szCs w:val="24"/>
          <w:lang w:val="es-ES" w:eastAsia="es-MX"/>
        </w:rPr>
        <w:t xml:space="preserve"> Públic</w:t>
      </w:r>
      <w:r>
        <w:rPr>
          <w:rFonts w:ascii="Times New Roman" w:eastAsia="Times New Roman" w:hAnsi="Times New Roman" w:cs="Times New Roman"/>
          <w:sz w:val="24"/>
          <w:szCs w:val="24"/>
          <w:lang w:val="es-ES" w:eastAsia="es-MX"/>
        </w:rPr>
        <w:t>o</w:t>
      </w:r>
      <w:r w:rsidRPr="008B4D44">
        <w:rPr>
          <w:rFonts w:ascii="Times New Roman" w:eastAsia="Times New Roman" w:hAnsi="Times New Roman" w:cs="Times New Roman"/>
          <w:sz w:val="24"/>
          <w:szCs w:val="24"/>
          <w:lang w:val="es-ES" w:eastAsia="es-MX"/>
        </w:rPr>
        <w:t xml:space="preserve"> Nº 00</w:t>
      </w:r>
      <w:r>
        <w:rPr>
          <w:rFonts w:ascii="Times New Roman" w:eastAsia="Times New Roman" w:hAnsi="Times New Roman" w:cs="Times New Roman"/>
          <w:sz w:val="24"/>
          <w:szCs w:val="24"/>
          <w:lang w:val="es-ES" w:eastAsia="es-MX"/>
        </w:rPr>
        <w:t>5</w:t>
      </w:r>
      <w:r w:rsidRPr="008B4D44">
        <w:rPr>
          <w:rFonts w:ascii="Times New Roman" w:eastAsia="Times New Roman" w:hAnsi="Times New Roman" w:cs="Times New Roman"/>
          <w:bCs/>
          <w:sz w:val="24"/>
          <w:szCs w:val="24"/>
          <w:lang w:val="es-ES" w:eastAsia="es-MX"/>
        </w:rPr>
        <w:t>-2014-</w:t>
      </w:r>
      <w:r>
        <w:rPr>
          <w:rFonts w:ascii="Times New Roman" w:eastAsia="Times New Roman" w:hAnsi="Times New Roman" w:cs="Times New Roman"/>
          <w:bCs/>
          <w:sz w:val="24"/>
          <w:szCs w:val="24"/>
          <w:lang w:val="es-ES" w:eastAsia="es-MX"/>
        </w:rPr>
        <w:t>PCM</w:t>
      </w:r>
      <w:r w:rsidRPr="008B4D44">
        <w:rPr>
          <w:rFonts w:ascii="Times New Roman" w:eastAsia="Times New Roman" w:hAnsi="Times New Roman" w:cs="Times New Roman"/>
          <w:sz w:val="24"/>
          <w:szCs w:val="24"/>
          <w:lang w:val="es-ES" w:eastAsia="es-MX"/>
        </w:rPr>
        <w:t>, convocad</w:t>
      </w:r>
      <w:r>
        <w:rPr>
          <w:rFonts w:ascii="Times New Roman" w:eastAsia="Times New Roman" w:hAnsi="Times New Roman" w:cs="Times New Roman"/>
          <w:sz w:val="24"/>
          <w:szCs w:val="24"/>
          <w:lang w:val="es-ES" w:eastAsia="es-MX"/>
        </w:rPr>
        <w:t>o</w:t>
      </w:r>
      <w:r w:rsidRPr="008B4D44">
        <w:rPr>
          <w:rFonts w:ascii="Times New Roman" w:eastAsia="Times New Roman" w:hAnsi="Times New Roman" w:cs="Times New Roman"/>
          <w:sz w:val="24"/>
          <w:szCs w:val="24"/>
          <w:lang w:val="es-ES" w:eastAsia="es-MX"/>
        </w:rPr>
        <w:t xml:space="preserve"> para la “Contratación del Servicio de Telefonía Móvil</w:t>
      </w:r>
      <w:r>
        <w:rPr>
          <w:rFonts w:ascii="Times New Roman" w:eastAsia="Times New Roman" w:hAnsi="Times New Roman" w:cs="Times New Roman"/>
          <w:sz w:val="24"/>
          <w:szCs w:val="24"/>
          <w:lang w:val="es-ES" w:eastAsia="es-MX"/>
        </w:rPr>
        <w:t xml:space="preserve"> y Plan de Datos Corporativo</w:t>
      </w:r>
      <w:r w:rsidRPr="008B4D44">
        <w:rPr>
          <w:rFonts w:ascii="Times New Roman" w:eastAsia="Times New Roman" w:hAnsi="Times New Roman" w:cs="Times New Roman"/>
          <w:sz w:val="24"/>
          <w:szCs w:val="24"/>
          <w:lang w:val="es-ES" w:eastAsia="es-MX"/>
        </w:rPr>
        <w:t xml:space="preserve"> para </w:t>
      </w:r>
      <w:r>
        <w:rPr>
          <w:rFonts w:ascii="Times New Roman" w:eastAsia="Times New Roman" w:hAnsi="Times New Roman" w:cs="Times New Roman"/>
          <w:sz w:val="24"/>
          <w:szCs w:val="24"/>
          <w:lang w:val="es-ES" w:eastAsia="es-MX"/>
        </w:rPr>
        <w:t>la Presidencia del Consejo de Ministros</w:t>
      </w:r>
      <w:r w:rsidRPr="008B4D44">
        <w:rPr>
          <w:rFonts w:ascii="Times New Roman" w:eastAsia="Times New Roman" w:hAnsi="Times New Roman" w:cs="Times New Roman"/>
          <w:sz w:val="24"/>
          <w:szCs w:val="24"/>
          <w:lang w:val="es-ES" w:eastAsia="es-MX"/>
        </w:rPr>
        <w:t>”.</w:t>
      </w:r>
    </w:p>
    <w:p w:rsidR="008B4D44" w:rsidRPr="008B4D44" w:rsidRDefault="008B4D44" w:rsidP="008B4D44">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8B4D44" w:rsidRPr="008B4D44" w:rsidRDefault="008B4D44" w:rsidP="008B4D44">
      <w:pPr>
        <w:spacing w:after="0" w:line="240" w:lineRule="auto"/>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sz w:val="24"/>
          <w:szCs w:val="24"/>
          <w:lang w:val="es-ES" w:eastAsia="es-MX"/>
        </w:rPr>
        <w:t xml:space="preserve"> </w:t>
      </w:r>
    </w:p>
    <w:p w:rsidR="008B4D44" w:rsidRPr="008B4D44" w:rsidRDefault="008B4D44" w:rsidP="008B4D44">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ANTECEDENTES</w:t>
      </w:r>
    </w:p>
    <w:p w:rsidR="008B4D44" w:rsidRPr="008B4D44" w:rsidRDefault="008B4D44" w:rsidP="008B4D44">
      <w:pPr>
        <w:spacing w:after="0" w:line="240" w:lineRule="auto"/>
        <w:rPr>
          <w:rFonts w:ascii="Times New Roman" w:eastAsia="Times New Roman" w:hAnsi="Times New Roman" w:cs="Times New Roman"/>
          <w:sz w:val="24"/>
          <w:szCs w:val="24"/>
          <w:lang w:val="es-ES" w:eastAsia="es-MX"/>
        </w:rPr>
      </w:pPr>
    </w:p>
    <w:p w:rsidR="008B4D44" w:rsidRPr="008B4D44" w:rsidRDefault="008B4D44" w:rsidP="008B4D44">
      <w:pPr>
        <w:spacing w:after="0" w:line="240" w:lineRule="auto"/>
        <w:jc w:val="both"/>
        <w:rPr>
          <w:rFonts w:ascii="Times New Roman" w:eastAsia="Times New Roman" w:hAnsi="Times New Roman" w:cs="Times New Roman"/>
          <w:sz w:val="24"/>
          <w:szCs w:val="24"/>
          <w:lang w:val="es-ES_tradnl" w:eastAsia="es-ES"/>
        </w:rPr>
      </w:pPr>
      <w:r w:rsidRPr="008B4D44">
        <w:rPr>
          <w:rFonts w:ascii="Times New Roman" w:eastAsia="Times New Roman" w:hAnsi="Times New Roman" w:cs="Times New Roman"/>
          <w:sz w:val="24"/>
          <w:szCs w:val="24"/>
          <w:lang w:eastAsia="es-ES"/>
        </w:rPr>
        <w:t>Mediante Oficio Nº 001-</w:t>
      </w:r>
      <w:r>
        <w:rPr>
          <w:rFonts w:ascii="Times New Roman" w:eastAsia="Times New Roman" w:hAnsi="Times New Roman" w:cs="Times New Roman"/>
          <w:sz w:val="24"/>
          <w:szCs w:val="24"/>
          <w:lang w:eastAsia="es-ES"/>
        </w:rPr>
        <w:t>2015-PCM/C.E. CP Nº 005-2014-PCM</w:t>
      </w:r>
      <w:r w:rsidRPr="008B4D44">
        <w:rPr>
          <w:rFonts w:ascii="Times New Roman" w:eastAsia="Times New Roman" w:hAnsi="Times New Roman" w:cs="Times New Roman"/>
          <w:sz w:val="24"/>
          <w:szCs w:val="24"/>
          <w:lang w:eastAsia="es-ES"/>
        </w:rPr>
        <w:t xml:space="preserve">, recibido con fecha </w:t>
      </w:r>
      <w:r>
        <w:rPr>
          <w:rFonts w:ascii="Times New Roman" w:eastAsia="Times New Roman" w:hAnsi="Times New Roman" w:cs="Times New Roman"/>
          <w:sz w:val="24"/>
          <w:szCs w:val="24"/>
          <w:lang w:eastAsia="es-ES"/>
        </w:rPr>
        <w:t>22</w:t>
      </w:r>
      <w:r w:rsidRPr="008B4D44">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ENE</w:t>
      </w:r>
      <w:r w:rsidRPr="008B4D44">
        <w:rPr>
          <w:rFonts w:ascii="Times New Roman" w:eastAsia="Times New Roman" w:hAnsi="Times New Roman" w:cs="Times New Roman"/>
          <w:sz w:val="24"/>
          <w:szCs w:val="24"/>
          <w:lang w:eastAsia="es-ES"/>
        </w:rPr>
        <w:t>.201</w:t>
      </w:r>
      <w:r>
        <w:rPr>
          <w:rFonts w:ascii="Times New Roman" w:eastAsia="Times New Roman" w:hAnsi="Times New Roman" w:cs="Times New Roman"/>
          <w:sz w:val="24"/>
          <w:szCs w:val="24"/>
          <w:lang w:eastAsia="es-ES"/>
        </w:rPr>
        <w:t>5</w:t>
      </w:r>
      <w:r w:rsidRPr="008B4D44">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subsanado mediante Oficio Nº 002-2015-PCM/C.E. CP Nº 005-2014-PCM, recibido con fecha 26.ENE.2015,</w:t>
      </w:r>
      <w:r w:rsidRPr="008B4D44">
        <w:rPr>
          <w:rFonts w:ascii="Times New Roman" w:eastAsia="Times New Roman" w:hAnsi="Times New Roman" w:cs="Times New Roman"/>
          <w:sz w:val="24"/>
          <w:szCs w:val="24"/>
          <w:lang w:eastAsia="es-ES"/>
        </w:rPr>
        <w:t xml:space="preserve"> el Presidente </w:t>
      </w:r>
      <w:r w:rsidRPr="008B4D44">
        <w:rPr>
          <w:rFonts w:ascii="Times New Roman" w:eastAsia="Times New Roman" w:hAnsi="Times New Roman" w:cs="Times New Roman"/>
          <w:sz w:val="24"/>
          <w:szCs w:val="24"/>
          <w:lang w:val="es-ES" w:eastAsia="es-ES"/>
        </w:rPr>
        <w:t xml:space="preserve">del Comité Especial a cargo </w:t>
      </w:r>
      <w:r w:rsidRPr="008B4D44">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las </w:t>
      </w:r>
      <w:r w:rsidR="00071F2E">
        <w:rPr>
          <w:rFonts w:ascii="Times New Roman" w:eastAsia="Times New Roman" w:hAnsi="Times New Roman" w:cs="Times New Roman"/>
          <w:sz w:val="24"/>
          <w:szCs w:val="24"/>
          <w:lang w:eastAsia="es-ES"/>
        </w:rPr>
        <w:t>once</w:t>
      </w:r>
      <w:r w:rsidRPr="008B4D44">
        <w:rPr>
          <w:rFonts w:ascii="Times New Roman" w:eastAsia="Times New Roman" w:hAnsi="Times New Roman" w:cs="Times New Roman"/>
          <w:sz w:val="24"/>
          <w:szCs w:val="24"/>
          <w:lang w:eastAsia="es-ES"/>
        </w:rPr>
        <w:t xml:space="preserve"> (</w:t>
      </w:r>
      <w:r w:rsidR="00071F2E">
        <w:rPr>
          <w:rFonts w:ascii="Times New Roman" w:eastAsia="Times New Roman" w:hAnsi="Times New Roman" w:cs="Times New Roman"/>
          <w:sz w:val="24"/>
          <w:szCs w:val="24"/>
          <w:lang w:eastAsia="es-ES"/>
        </w:rPr>
        <w:t>11</w:t>
      </w:r>
      <w:r w:rsidRPr="008B4D44">
        <w:rPr>
          <w:rFonts w:ascii="Times New Roman" w:eastAsia="Times New Roman" w:hAnsi="Times New Roman" w:cs="Times New Roman"/>
          <w:sz w:val="24"/>
          <w:szCs w:val="24"/>
          <w:lang w:eastAsia="es-ES"/>
        </w:rPr>
        <w:t xml:space="preserve">) observaciones formuladas por el participante </w:t>
      </w:r>
      <w:r w:rsidRPr="008B4D44">
        <w:rPr>
          <w:rFonts w:ascii="Times New Roman" w:eastAsia="Times New Roman" w:hAnsi="Times New Roman" w:cs="Times New Roman"/>
          <w:b/>
          <w:sz w:val="24"/>
          <w:szCs w:val="24"/>
          <w:lang w:eastAsia="es-ES"/>
        </w:rPr>
        <w:t xml:space="preserve">AMÉRICA MÓVIL PERÚ S.A.C., </w:t>
      </w:r>
      <w:r w:rsidRPr="008B4D44">
        <w:rPr>
          <w:rFonts w:ascii="Times New Roman" w:eastAsia="Times New Roman" w:hAnsi="Times New Roman" w:cs="Times New Roman"/>
          <w:sz w:val="24"/>
          <w:szCs w:val="24"/>
          <w:lang w:eastAsia="es-ES"/>
        </w:rPr>
        <w:t xml:space="preserve">así como el respectivo informe técnico, </w:t>
      </w:r>
      <w:r w:rsidRPr="008B4D44">
        <w:rPr>
          <w:rFonts w:ascii="Times New Roman" w:eastAsia="Times New Roman" w:hAnsi="Times New Roman" w:cs="Times New Roman"/>
          <w:sz w:val="24"/>
          <w:szCs w:val="24"/>
          <w:lang w:val="es-ES" w:eastAsia="es-ES"/>
        </w:rPr>
        <w:t>en cumplimiento de lo dispuesto por el artículo 28º</w:t>
      </w:r>
      <w:r w:rsidRPr="008B4D44">
        <w:rPr>
          <w:rFonts w:ascii="Times New Roman" w:eastAsia="Times New Roman" w:hAnsi="Times New Roman" w:cs="Times New Roman"/>
          <w:sz w:val="24"/>
          <w:szCs w:val="24"/>
          <w:lang w:val="es-ES" w:eastAsia="es-MX"/>
        </w:rPr>
        <w:t xml:space="preserve"> del Decreto Legislativo Nº 1017, </w:t>
      </w:r>
      <w:r w:rsidRPr="008B4D44">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8B4D44" w:rsidRPr="008B4D44" w:rsidRDefault="008B4D44" w:rsidP="008B4D44">
      <w:pPr>
        <w:spacing w:after="0" w:line="240" w:lineRule="auto"/>
        <w:jc w:val="both"/>
        <w:rPr>
          <w:rFonts w:ascii="Times New Roman" w:eastAsia="Times New Roman" w:hAnsi="Times New Roman" w:cs="Times New Roman"/>
          <w:sz w:val="24"/>
          <w:szCs w:val="24"/>
          <w:lang w:val="es-ES_tradnl" w:eastAsia="es-ES"/>
        </w:rPr>
      </w:pPr>
    </w:p>
    <w:p w:rsidR="008B4D44" w:rsidRPr="008B4D44" w:rsidRDefault="00A736CD" w:rsidP="008B4D44">
      <w:pPr>
        <w:widowControl w:val="0"/>
        <w:spacing w:after="0" w:line="240" w:lineRule="auto"/>
        <w:ind w:left="1" w:firstLine="1"/>
        <w:jc w:val="both"/>
        <w:rPr>
          <w:rFonts w:ascii="Times New Roman" w:eastAsia="Times New Roman" w:hAnsi="Times New Roman" w:cs="Times New Roman"/>
          <w:sz w:val="24"/>
          <w:szCs w:val="24"/>
          <w:lang w:val="es-ES_tradnl" w:eastAsia="es-MX"/>
        </w:rPr>
      </w:pPr>
      <w:r>
        <w:rPr>
          <w:rFonts w:ascii="Times New Roman" w:eastAsia="Times New Roman" w:hAnsi="Times New Roman"/>
          <w:noProof/>
          <w:sz w:val="24"/>
          <w:szCs w:val="24"/>
          <w:lang w:eastAsia="es-PE"/>
        </w:rPr>
        <w:drawing>
          <wp:anchor distT="0" distB="0" distL="114300" distR="114300" simplePos="0" relativeHeight="251675648" behindDoc="0" locked="0" layoutInCell="1" allowOverlap="1" wp14:anchorId="214908A9" wp14:editId="09DE0E1E">
            <wp:simplePos x="0" y="0"/>
            <wp:positionH relativeFrom="column">
              <wp:posOffset>-1040669</wp:posOffset>
            </wp:positionH>
            <wp:positionV relativeFrom="paragraph">
              <wp:posOffset>763629</wp:posOffset>
            </wp:positionV>
            <wp:extent cx="971550" cy="3533775"/>
            <wp:effectExtent l="0" t="0" r="0"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8B4D44" w:rsidRPr="008B4D44">
        <w:rPr>
          <w:rFonts w:ascii="Times New Roman" w:eastAsia="Times New Roman" w:hAnsi="Times New Roman" w:cs="Times New Roman"/>
          <w:sz w:val="24"/>
          <w:szCs w:val="24"/>
          <w:lang w:eastAsia="es-ES"/>
        </w:rPr>
        <w:t xml:space="preserve">Al respecto, </w:t>
      </w:r>
      <w:r w:rsidR="008B4D44" w:rsidRPr="008B4D44">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008B4D44" w:rsidRPr="008B4D44">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8B4D44" w:rsidRPr="008B4D44" w:rsidRDefault="008B4D44" w:rsidP="008B4D44">
      <w:pPr>
        <w:widowControl w:val="0"/>
        <w:suppressAutoHyphens/>
        <w:spacing w:after="0" w:line="240" w:lineRule="auto"/>
        <w:jc w:val="both"/>
        <w:rPr>
          <w:rFonts w:ascii="Times New Roman" w:eastAsia="Calibri" w:hAnsi="Times New Roman" w:cs="Times New Roman"/>
          <w:sz w:val="24"/>
          <w:szCs w:val="24"/>
          <w:lang w:val="es-ES_tradnl" w:eastAsia="es-PE"/>
        </w:rPr>
      </w:pPr>
    </w:p>
    <w:p w:rsidR="008B4D44" w:rsidRPr="008B4D44" w:rsidRDefault="008B4D44" w:rsidP="008B4D44">
      <w:pPr>
        <w:widowControl w:val="0"/>
        <w:suppressAutoHyphens/>
        <w:spacing w:after="0" w:line="240" w:lineRule="auto"/>
        <w:jc w:val="both"/>
        <w:rPr>
          <w:rFonts w:ascii="Times New Roman" w:eastAsia="MS Mincho" w:hAnsi="Times New Roman" w:cs="Times New Roman"/>
          <w:sz w:val="24"/>
          <w:szCs w:val="24"/>
          <w:lang w:eastAsia="es-PE"/>
        </w:rPr>
      </w:pPr>
      <w:r w:rsidRPr="008B4D44">
        <w:rPr>
          <w:rFonts w:ascii="Times New Roman" w:eastAsia="Calibri" w:hAnsi="Times New Roman" w:cs="Times New Roman"/>
          <w:sz w:val="24"/>
          <w:szCs w:val="24"/>
          <w:lang w:eastAsia="es-PE"/>
        </w:rPr>
        <w:t xml:space="preserve">En relación con lo anterior, </w:t>
      </w:r>
      <w:r w:rsidRPr="008B4D44">
        <w:rPr>
          <w:rFonts w:ascii="Times New Roman" w:eastAsia="MS Mincho" w:hAnsi="Times New Roman" w:cs="Times New Roman"/>
          <w:sz w:val="24"/>
          <w:szCs w:val="24"/>
          <w:lang w:eastAsia="es-PE"/>
        </w:rPr>
        <w:t>este Organismo Supervisor no se pronunciará respecto de la</w:t>
      </w:r>
      <w:r w:rsidR="001C1CA6">
        <w:rPr>
          <w:rFonts w:ascii="Times New Roman" w:eastAsia="MS Mincho" w:hAnsi="Times New Roman" w:cs="Times New Roman"/>
          <w:sz w:val="24"/>
          <w:szCs w:val="24"/>
          <w:lang w:eastAsia="es-PE"/>
        </w:rPr>
        <w:t>s</w:t>
      </w:r>
      <w:r w:rsidRPr="008B4D44">
        <w:rPr>
          <w:rFonts w:ascii="Times New Roman" w:eastAsia="MS Mincho" w:hAnsi="Times New Roman" w:cs="Times New Roman"/>
          <w:sz w:val="24"/>
          <w:szCs w:val="24"/>
          <w:lang w:eastAsia="es-PE"/>
        </w:rPr>
        <w:t xml:space="preserve"> Observaci</w:t>
      </w:r>
      <w:r w:rsidR="001C1CA6">
        <w:rPr>
          <w:rFonts w:ascii="Times New Roman" w:eastAsia="MS Mincho" w:hAnsi="Times New Roman" w:cs="Times New Roman"/>
          <w:sz w:val="24"/>
          <w:szCs w:val="24"/>
          <w:lang w:eastAsia="es-PE"/>
        </w:rPr>
        <w:t>ones</w:t>
      </w:r>
      <w:r w:rsidRPr="008B4D44">
        <w:rPr>
          <w:rFonts w:ascii="Times New Roman" w:eastAsia="MS Mincho" w:hAnsi="Times New Roman" w:cs="Times New Roman"/>
          <w:sz w:val="24"/>
          <w:szCs w:val="24"/>
          <w:lang w:eastAsia="es-PE"/>
        </w:rPr>
        <w:t xml:space="preserve"> </w:t>
      </w:r>
      <w:r w:rsidR="001C1CA6">
        <w:rPr>
          <w:rFonts w:ascii="Times New Roman" w:eastAsia="Calibri" w:hAnsi="Times New Roman" w:cs="Times New Roman"/>
          <w:sz w:val="24"/>
          <w:szCs w:val="24"/>
          <w:lang w:eastAsia="es-PE"/>
        </w:rPr>
        <w:t>Nº 3, Nº 4, Nº 5, Nº 6, Nº 7, Nº 8 y Nº 9</w:t>
      </w:r>
      <w:r w:rsidRPr="008B4D44">
        <w:rPr>
          <w:rFonts w:ascii="Times New Roman" w:eastAsia="Calibri" w:hAnsi="Times New Roman" w:cs="Times New Roman"/>
          <w:sz w:val="24"/>
          <w:szCs w:val="24"/>
          <w:lang w:eastAsia="es-PE"/>
        </w:rPr>
        <w:t xml:space="preserve">, </w:t>
      </w:r>
      <w:r w:rsidRPr="008B4D44">
        <w:rPr>
          <w:rFonts w:ascii="Times New Roman" w:eastAsia="MS Mincho" w:hAnsi="Times New Roman" w:cs="Times New Roman"/>
          <w:sz w:val="24"/>
          <w:szCs w:val="24"/>
          <w:lang w:eastAsia="es-PE"/>
        </w:rPr>
        <w:t>puesto que ésta</w:t>
      </w:r>
      <w:r w:rsidR="001C1CA6">
        <w:rPr>
          <w:rFonts w:ascii="Times New Roman" w:eastAsia="MS Mincho" w:hAnsi="Times New Roman" w:cs="Times New Roman"/>
          <w:sz w:val="24"/>
          <w:szCs w:val="24"/>
          <w:lang w:eastAsia="es-PE"/>
        </w:rPr>
        <w:t>s</w:t>
      </w:r>
      <w:r w:rsidRPr="008B4D44">
        <w:rPr>
          <w:rFonts w:ascii="Times New Roman" w:eastAsia="MS Mincho" w:hAnsi="Times New Roman" w:cs="Times New Roman"/>
          <w:sz w:val="24"/>
          <w:szCs w:val="24"/>
          <w:lang w:eastAsia="es-PE"/>
        </w:rPr>
        <w:t xml:space="preserve"> ha</w:t>
      </w:r>
      <w:r w:rsidR="001C1CA6">
        <w:rPr>
          <w:rFonts w:ascii="Times New Roman" w:eastAsia="MS Mincho" w:hAnsi="Times New Roman" w:cs="Times New Roman"/>
          <w:sz w:val="24"/>
          <w:szCs w:val="24"/>
          <w:lang w:eastAsia="es-PE"/>
        </w:rPr>
        <w:t>n</w:t>
      </w:r>
      <w:r w:rsidRPr="008B4D44">
        <w:rPr>
          <w:rFonts w:ascii="Times New Roman" w:eastAsia="MS Mincho" w:hAnsi="Times New Roman" w:cs="Times New Roman"/>
          <w:sz w:val="24"/>
          <w:szCs w:val="24"/>
          <w:lang w:eastAsia="es-PE"/>
        </w:rPr>
        <w:t xml:space="preserve"> sido acogida</w:t>
      </w:r>
      <w:r w:rsidR="001C1CA6">
        <w:rPr>
          <w:rFonts w:ascii="Times New Roman" w:eastAsia="MS Mincho" w:hAnsi="Times New Roman" w:cs="Times New Roman"/>
          <w:sz w:val="24"/>
          <w:szCs w:val="24"/>
          <w:lang w:eastAsia="es-PE"/>
        </w:rPr>
        <w:t>s</w:t>
      </w:r>
      <w:r w:rsidRPr="008B4D44">
        <w:rPr>
          <w:rFonts w:ascii="Times New Roman" w:eastAsia="MS Mincho" w:hAnsi="Times New Roman" w:cs="Times New Roman"/>
          <w:sz w:val="24"/>
          <w:szCs w:val="24"/>
          <w:lang w:eastAsia="es-PE"/>
        </w:rPr>
        <w:t xml:space="preserve"> por el Comité Especial y</w:t>
      </w:r>
      <w:r w:rsidR="00425A15">
        <w:rPr>
          <w:rFonts w:ascii="Times New Roman" w:eastAsia="MS Mincho" w:hAnsi="Times New Roman" w:cs="Times New Roman"/>
          <w:sz w:val="24"/>
          <w:szCs w:val="24"/>
          <w:lang w:eastAsia="es-PE"/>
        </w:rPr>
        <w:t>/o se tratan de solicitudes de precisión, supuestos no previstos en la norma citada para la emisión de pronunciamiento</w:t>
      </w:r>
      <w:r w:rsidRPr="008B4D44">
        <w:rPr>
          <w:rFonts w:ascii="Times New Roman" w:eastAsia="Calibri" w:hAnsi="Times New Roman" w:cs="Times New Roman"/>
          <w:sz w:val="24"/>
          <w:szCs w:val="24"/>
          <w:lang w:eastAsia="es-PE"/>
        </w:rPr>
        <w:t>; sin perjuicio de las observaciones de oficio que puedan realizarse sobre aspectos relevantes de las Bases, al amparo de lo previsto por el inciso a) del artículo 58° de la Ley.</w:t>
      </w:r>
    </w:p>
    <w:p w:rsidR="0011319A" w:rsidRDefault="0011319A"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3B2288" w:rsidRPr="008B4D44" w:rsidRDefault="003B2288" w:rsidP="008B4D44">
      <w:pPr>
        <w:widowControl w:val="0"/>
        <w:suppressAutoHyphens/>
        <w:spacing w:after="0" w:line="240" w:lineRule="auto"/>
        <w:jc w:val="both"/>
        <w:rPr>
          <w:rFonts w:ascii="Times New Roman" w:eastAsia="Calibri" w:hAnsi="Times New Roman" w:cs="Times New Roman"/>
          <w:sz w:val="24"/>
          <w:szCs w:val="24"/>
          <w:lang w:eastAsia="es-PE"/>
        </w:rPr>
      </w:pPr>
    </w:p>
    <w:p w:rsidR="008B4D44" w:rsidRPr="008B4D44" w:rsidRDefault="008B4D44" w:rsidP="008B4D44">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lastRenderedPageBreak/>
        <w:t>OBSERVACIONES</w:t>
      </w:r>
    </w:p>
    <w:p w:rsidR="008B4D44" w:rsidRPr="008B4D44" w:rsidRDefault="008B4D44" w:rsidP="008B4D44">
      <w:pPr>
        <w:widowControl w:val="0"/>
        <w:spacing w:after="0" w:line="240" w:lineRule="auto"/>
        <w:ind w:left="567"/>
        <w:jc w:val="both"/>
        <w:rPr>
          <w:rFonts w:ascii="Times New Roman" w:eastAsia="Times New Roman" w:hAnsi="Times New Roman" w:cs="Times New Roman"/>
          <w:b/>
          <w:sz w:val="24"/>
          <w:szCs w:val="24"/>
          <w:lang w:val="es-ES" w:eastAsia="es-MX"/>
        </w:rPr>
      </w:pPr>
    </w:p>
    <w:p w:rsidR="008B4D44" w:rsidRPr="008B4D44" w:rsidRDefault="008B4D44" w:rsidP="008B4D44">
      <w:pPr>
        <w:widowControl w:val="0"/>
        <w:tabs>
          <w:tab w:val="left" w:pos="4111"/>
        </w:tabs>
        <w:spacing w:after="0" w:line="240" w:lineRule="auto"/>
        <w:ind w:left="3969" w:hanging="3969"/>
        <w:jc w:val="both"/>
        <w:rPr>
          <w:rFonts w:ascii="Times New Roman" w:eastAsia="Times New Roman" w:hAnsi="Times New Roman" w:cs="Times New Roman"/>
          <w:b/>
          <w:sz w:val="24"/>
          <w:szCs w:val="24"/>
          <w:lang w:eastAsia="es-ES"/>
        </w:rPr>
      </w:pPr>
      <w:r w:rsidRPr="008B4D44">
        <w:rPr>
          <w:rFonts w:ascii="Times New Roman" w:eastAsia="Times New Roman" w:hAnsi="Times New Roman" w:cs="Times New Roman"/>
          <w:b/>
          <w:sz w:val="24"/>
          <w:szCs w:val="24"/>
          <w:lang w:eastAsia="es-MX"/>
        </w:rPr>
        <w:t>Observante:</w:t>
      </w:r>
      <w:r w:rsidRPr="008B4D44">
        <w:rPr>
          <w:rFonts w:ascii="Times New Roman" w:eastAsia="Times New Roman" w:hAnsi="Times New Roman" w:cs="Times New Roman"/>
          <w:b/>
          <w:sz w:val="24"/>
          <w:szCs w:val="24"/>
          <w:lang w:eastAsia="es-MX"/>
        </w:rPr>
        <w:tab/>
      </w:r>
      <w:r w:rsidRPr="008B4D44">
        <w:rPr>
          <w:rFonts w:ascii="Times New Roman" w:eastAsia="Times New Roman" w:hAnsi="Times New Roman" w:cs="Times New Roman"/>
          <w:b/>
          <w:sz w:val="24"/>
          <w:szCs w:val="24"/>
          <w:lang w:eastAsia="es-ES"/>
        </w:rPr>
        <w:t>AMÉRCIA MÓVIL PERÚ S.A.C</w:t>
      </w:r>
      <w:r w:rsidR="001C3517">
        <w:rPr>
          <w:rFonts w:ascii="Times New Roman" w:eastAsia="Times New Roman" w:hAnsi="Times New Roman" w:cs="Times New Roman"/>
          <w:b/>
          <w:sz w:val="24"/>
          <w:szCs w:val="24"/>
          <w:lang w:eastAsia="es-ES"/>
        </w:rPr>
        <w:t>.</w:t>
      </w:r>
    </w:p>
    <w:p w:rsidR="008B4D44" w:rsidRPr="008B4D44" w:rsidRDefault="008B4D44" w:rsidP="008B4D44">
      <w:pPr>
        <w:widowControl w:val="0"/>
        <w:tabs>
          <w:tab w:val="left" w:pos="567"/>
        </w:tabs>
        <w:spacing w:after="0" w:line="240" w:lineRule="auto"/>
        <w:jc w:val="both"/>
        <w:rPr>
          <w:rFonts w:ascii="Times New Roman" w:eastAsia="Times New Roman" w:hAnsi="Times New Roman" w:cs="Times New Roman"/>
          <w:snapToGrid w:val="0"/>
          <w:sz w:val="24"/>
          <w:szCs w:val="24"/>
          <w:lang w:eastAsia="es-MX"/>
        </w:rPr>
      </w:pPr>
    </w:p>
    <w:p w:rsidR="008B4D44" w:rsidRPr="008B4D44" w:rsidRDefault="008B4D44" w:rsidP="001C5F2E">
      <w:pPr>
        <w:widowControl w:val="0"/>
        <w:tabs>
          <w:tab w:val="left" w:pos="3969"/>
        </w:tabs>
        <w:spacing w:after="0" w:line="240" w:lineRule="auto"/>
        <w:ind w:left="4950" w:hanging="4950"/>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Observaci</w:t>
      </w:r>
      <w:r w:rsidR="00425A15">
        <w:rPr>
          <w:rFonts w:ascii="Times New Roman" w:eastAsia="Times New Roman" w:hAnsi="Times New Roman" w:cs="Times New Roman"/>
          <w:b/>
          <w:sz w:val="24"/>
          <w:szCs w:val="24"/>
          <w:lang w:val="es-ES" w:eastAsia="es-MX"/>
        </w:rPr>
        <w:t>ón</w:t>
      </w:r>
      <w:r w:rsidRPr="008B4D44">
        <w:rPr>
          <w:rFonts w:ascii="Times New Roman" w:eastAsia="Times New Roman" w:hAnsi="Times New Roman" w:cs="Times New Roman"/>
          <w:b/>
          <w:sz w:val="24"/>
          <w:szCs w:val="24"/>
          <w:lang w:val="es-ES" w:eastAsia="es-MX"/>
        </w:rPr>
        <w:t xml:space="preserve"> Nº </w:t>
      </w:r>
      <w:r w:rsidR="001C5F2E">
        <w:rPr>
          <w:rFonts w:ascii="Times New Roman" w:eastAsia="Times New Roman" w:hAnsi="Times New Roman" w:cs="Times New Roman"/>
          <w:b/>
          <w:sz w:val="24"/>
          <w:szCs w:val="24"/>
          <w:lang w:val="es-ES" w:eastAsia="es-MX"/>
        </w:rPr>
        <w:t>1</w:t>
      </w:r>
      <w:r w:rsidRPr="008B4D44">
        <w:rPr>
          <w:rFonts w:ascii="Times New Roman" w:eastAsia="Times New Roman" w:hAnsi="Times New Roman" w:cs="Times New Roman"/>
          <w:b/>
          <w:sz w:val="24"/>
          <w:szCs w:val="24"/>
          <w:lang w:val="es-ES" w:eastAsia="es-MX"/>
        </w:rPr>
        <w:t xml:space="preserve">                    </w:t>
      </w:r>
      <w:r w:rsidRPr="008B4D44">
        <w:rPr>
          <w:rFonts w:ascii="Times New Roman" w:eastAsia="Times New Roman" w:hAnsi="Times New Roman" w:cs="Times New Roman"/>
          <w:b/>
          <w:sz w:val="24"/>
          <w:szCs w:val="24"/>
          <w:lang w:val="es-ES" w:eastAsia="es-MX"/>
        </w:rPr>
        <w:tab/>
        <w:t xml:space="preserve">Contra </w:t>
      </w:r>
      <w:r w:rsidR="0015071D">
        <w:rPr>
          <w:rFonts w:ascii="Times New Roman" w:eastAsia="Times New Roman" w:hAnsi="Times New Roman" w:cs="Times New Roman"/>
          <w:b/>
          <w:sz w:val="24"/>
          <w:szCs w:val="24"/>
          <w:lang w:val="es-ES" w:eastAsia="es-MX"/>
        </w:rPr>
        <w:t xml:space="preserve">el servicio de cobertura </w:t>
      </w:r>
      <w:proofErr w:type="spellStart"/>
      <w:r w:rsidR="0015071D">
        <w:rPr>
          <w:rFonts w:ascii="Times New Roman" w:eastAsia="Times New Roman" w:hAnsi="Times New Roman" w:cs="Times New Roman"/>
          <w:b/>
          <w:sz w:val="24"/>
          <w:szCs w:val="24"/>
          <w:lang w:val="es-ES" w:eastAsia="es-MX"/>
        </w:rPr>
        <w:t>indoor</w:t>
      </w:r>
      <w:proofErr w:type="spellEnd"/>
    </w:p>
    <w:p w:rsidR="001C5F2E" w:rsidRDefault="001C5F2E"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2573AC" w:rsidRDefault="00425A15"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w:t>
      </w:r>
      <w:r w:rsidR="001C5F2E">
        <w:rPr>
          <w:rFonts w:ascii="Times New Roman" w:eastAsia="Times New Roman" w:hAnsi="Times New Roman" w:cs="Times New Roman"/>
          <w:sz w:val="24"/>
          <w:szCs w:val="24"/>
          <w:lang w:val="es-ES" w:eastAsia="es-MX"/>
        </w:rPr>
        <w:t xml:space="preserve"> participante </w:t>
      </w:r>
      <w:r w:rsidR="002573AC">
        <w:rPr>
          <w:rFonts w:ascii="Times New Roman" w:eastAsia="Times New Roman" w:hAnsi="Times New Roman" w:cs="Times New Roman"/>
          <w:sz w:val="24"/>
          <w:szCs w:val="24"/>
          <w:lang w:val="es-ES" w:eastAsia="es-MX"/>
        </w:rPr>
        <w:t xml:space="preserve">cuestiona que el contratista deba garantizar el servicio interno y la cobertura </w:t>
      </w:r>
      <w:proofErr w:type="spellStart"/>
      <w:r w:rsidR="002573AC">
        <w:rPr>
          <w:rFonts w:ascii="Times New Roman" w:eastAsia="Times New Roman" w:hAnsi="Times New Roman" w:cs="Times New Roman"/>
          <w:sz w:val="24"/>
          <w:szCs w:val="24"/>
          <w:lang w:val="es-ES" w:eastAsia="es-MX"/>
        </w:rPr>
        <w:t>indoor</w:t>
      </w:r>
      <w:proofErr w:type="spellEnd"/>
      <w:r w:rsidR="002573AC">
        <w:rPr>
          <w:rFonts w:ascii="Times New Roman" w:eastAsia="Times New Roman" w:hAnsi="Times New Roman" w:cs="Times New Roman"/>
          <w:sz w:val="24"/>
          <w:szCs w:val="24"/>
          <w:lang w:val="es-ES" w:eastAsia="es-MX"/>
        </w:rPr>
        <w:t xml:space="preserve"> en toda la sede principal de la Entidad y sus locales remotos, por los siguientes motivos:</w:t>
      </w:r>
    </w:p>
    <w:p w:rsidR="002573AC" w:rsidRDefault="002573AC"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1C5F2E" w:rsidRDefault="002573AC" w:rsidP="002573AC">
      <w:pPr>
        <w:pStyle w:val="Prrafodelista"/>
        <w:widowControl w:val="0"/>
        <w:numPr>
          <w:ilvl w:val="0"/>
          <w:numId w:val="4"/>
        </w:numPr>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R</w:t>
      </w:r>
      <w:r w:rsidR="007B5AA0" w:rsidRPr="002573AC">
        <w:rPr>
          <w:rFonts w:ascii="Times New Roman" w:eastAsia="Times New Roman" w:hAnsi="Times New Roman" w:cs="Times New Roman"/>
          <w:sz w:val="24"/>
          <w:szCs w:val="24"/>
          <w:lang w:val="es-ES" w:eastAsia="es-MX"/>
        </w:rPr>
        <w:t xml:space="preserve">esultaría poco razonable </w:t>
      </w:r>
      <w:r>
        <w:rPr>
          <w:rFonts w:ascii="Times New Roman" w:eastAsia="Times New Roman" w:hAnsi="Times New Roman" w:cs="Times New Roman"/>
          <w:sz w:val="24"/>
          <w:szCs w:val="24"/>
          <w:lang w:val="es-ES" w:eastAsia="es-MX"/>
        </w:rPr>
        <w:t>tal exigencia</w:t>
      </w:r>
      <w:r w:rsidR="007B5AA0" w:rsidRPr="002573AC">
        <w:rPr>
          <w:rFonts w:ascii="Times New Roman" w:eastAsia="Times New Roman" w:hAnsi="Times New Roman" w:cs="Times New Roman"/>
          <w:sz w:val="24"/>
          <w:szCs w:val="24"/>
          <w:lang w:val="es-ES" w:eastAsia="es-MX"/>
        </w:rPr>
        <w:t xml:space="preserve">, toda vez que la cobertura requerida a nivel nacional es </w:t>
      </w:r>
      <w:r>
        <w:rPr>
          <w:rFonts w:ascii="Times New Roman" w:eastAsia="Times New Roman" w:hAnsi="Times New Roman" w:cs="Times New Roman"/>
          <w:sz w:val="24"/>
          <w:szCs w:val="24"/>
          <w:lang w:val="es-ES" w:eastAsia="es-MX"/>
        </w:rPr>
        <w:t>aquella</w:t>
      </w:r>
      <w:r w:rsidR="007B5AA0" w:rsidRPr="002573AC">
        <w:rPr>
          <w:rFonts w:ascii="Times New Roman" w:eastAsia="Times New Roman" w:hAnsi="Times New Roman" w:cs="Times New Roman"/>
          <w:sz w:val="24"/>
          <w:szCs w:val="24"/>
          <w:lang w:val="es-ES" w:eastAsia="es-MX"/>
        </w:rPr>
        <w:t xml:space="preserve"> que los operadores de telecomunicaciones proveen conforme las exigencias mí</w:t>
      </w:r>
      <w:r w:rsidR="001C3517">
        <w:rPr>
          <w:rFonts w:ascii="Times New Roman" w:eastAsia="Times New Roman" w:hAnsi="Times New Roman" w:cs="Times New Roman"/>
          <w:sz w:val="24"/>
          <w:szCs w:val="24"/>
          <w:lang w:val="es-ES" w:eastAsia="es-MX"/>
        </w:rPr>
        <w:t xml:space="preserve">nimas establecidas por OSIPTEL. </w:t>
      </w:r>
      <w:r>
        <w:rPr>
          <w:rFonts w:ascii="Times New Roman" w:eastAsia="Times New Roman" w:hAnsi="Times New Roman" w:cs="Times New Roman"/>
          <w:sz w:val="24"/>
          <w:szCs w:val="24"/>
          <w:lang w:val="es-ES" w:eastAsia="es-MX"/>
        </w:rPr>
        <w:t>Asimismo</w:t>
      </w:r>
      <w:r w:rsidR="007B5AA0" w:rsidRPr="002573AC">
        <w:rPr>
          <w:rFonts w:ascii="Times New Roman" w:eastAsia="Times New Roman" w:hAnsi="Times New Roman" w:cs="Times New Roman"/>
          <w:sz w:val="24"/>
          <w:szCs w:val="24"/>
          <w:lang w:val="es-ES" w:eastAsia="es-MX"/>
        </w:rPr>
        <w:t xml:space="preserve">, resultaría desproporcionado, teniendo en cuenta que la implementación de cobertura </w:t>
      </w:r>
      <w:proofErr w:type="spellStart"/>
      <w:r w:rsidR="007B5AA0" w:rsidRPr="002573AC">
        <w:rPr>
          <w:rFonts w:ascii="Times New Roman" w:eastAsia="Times New Roman" w:hAnsi="Times New Roman" w:cs="Times New Roman"/>
          <w:sz w:val="24"/>
          <w:szCs w:val="24"/>
          <w:lang w:val="es-ES" w:eastAsia="es-MX"/>
        </w:rPr>
        <w:t>indoor</w:t>
      </w:r>
      <w:proofErr w:type="spellEnd"/>
      <w:r w:rsidR="007B5AA0" w:rsidRPr="002573AC">
        <w:rPr>
          <w:rFonts w:ascii="Times New Roman" w:eastAsia="Times New Roman" w:hAnsi="Times New Roman" w:cs="Times New Roman"/>
          <w:sz w:val="24"/>
          <w:szCs w:val="24"/>
          <w:lang w:val="es-ES" w:eastAsia="es-MX"/>
        </w:rPr>
        <w:t xml:space="preserve"> en las instalaciones señaladas por la Entidad incrementaría el costo del servicio.</w:t>
      </w:r>
    </w:p>
    <w:p w:rsidR="002573AC" w:rsidRPr="002573AC" w:rsidRDefault="002573AC" w:rsidP="002573AC">
      <w:pPr>
        <w:widowControl w:val="0"/>
        <w:tabs>
          <w:tab w:val="left" w:pos="5103"/>
        </w:tabs>
        <w:spacing w:after="0" w:line="240" w:lineRule="auto"/>
        <w:ind w:left="360"/>
        <w:jc w:val="both"/>
        <w:rPr>
          <w:rFonts w:ascii="Times New Roman" w:eastAsia="Times New Roman" w:hAnsi="Times New Roman" w:cs="Times New Roman"/>
          <w:sz w:val="24"/>
          <w:szCs w:val="24"/>
          <w:lang w:val="es-ES" w:eastAsia="es-MX"/>
        </w:rPr>
      </w:pPr>
    </w:p>
    <w:p w:rsidR="007B5AA0" w:rsidRPr="002573AC" w:rsidRDefault="002573AC" w:rsidP="008B4D44">
      <w:pPr>
        <w:pStyle w:val="Prrafodelista"/>
        <w:widowControl w:val="0"/>
        <w:numPr>
          <w:ilvl w:val="0"/>
          <w:numId w:val="4"/>
        </w:numPr>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La implementación de la cobertura </w:t>
      </w:r>
      <w:proofErr w:type="spellStart"/>
      <w:r>
        <w:rPr>
          <w:rFonts w:ascii="Times New Roman" w:eastAsia="Times New Roman" w:hAnsi="Times New Roman" w:cs="Times New Roman"/>
          <w:sz w:val="24"/>
          <w:szCs w:val="24"/>
          <w:lang w:val="es-ES" w:eastAsia="es-MX"/>
        </w:rPr>
        <w:t>indoor</w:t>
      </w:r>
      <w:proofErr w:type="spellEnd"/>
      <w:r>
        <w:rPr>
          <w:rFonts w:ascii="Times New Roman" w:eastAsia="Times New Roman" w:hAnsi="Times New Roman" w:cs="Times New Roman"/>
          <w:sz w:val="24"/>
          <w:szCs w:val="24"/>
          <w:lang w:val="es-ES" w:eastAsia="es-MX"/>
        </w:rPr>
        <w:t xml:space="preserve"> involucraría</w:t>
      </w:r>
      <w:r w:rsidR="007B5AA0" w:rsidRPr="002573AC">
        <w:rPr>
          <w:rFonts w:ascii="Times New Roman" w:eastAsia="Times New Roman" w:hAnsi="Times New Roman" w:cs="Times New Roman"/>
          <w:sz w:val="24"/>
          <w:szCs w:val="24"/>
          <w:lang w:val="es-ES" w:eastAsia="es-MX"/>
        </w:rPr>
        <w:t xml:space="preserve"> la realización de trabajos de instalación de equipos de telecomunicaciones especializados en la optimización de cobertura y cableado de fibra óptica para el funcionamiento de dichos equipos, así como la adquisición de equipos especializados, siendo que todo ello </w:t>
      </w:r>
      <w:r w:rsidRPr="002573AC">
        <w:rPr>
          <w:rFonts w:ascii="Times New Roman" w:eastAsia="Times New Roman" w:hAnsi="Times New Roman" w:cs="Times New Roman"/>
          <w:sz w:val="24"/>
          <w:szCs w:val="24"/>
          <w:lang w:val="es-ES" w:eastAsia="es-MX"/>
        </w:rPr>
        <w:t>representaría un costo que no habría s</w:t>
      </w:r>
      <w:r w:rsidR="00D20D1E">
        <w:rPr>
          <w:rFonts w:ascii="Times New Roman" w:eastAsia="Times New Roman" w:hAnsi="Times New Roman" w:cs="Times New Roman"/>
          <w:sz w:val="24"/>
          <w:szCs w:val="24"/>
          <w:lang w:val="es-ES" w:eastAsia="es-MX"/>
        </w:rPr>
        <w:t xml:space="preserve">ido cotizado por los postores y que haría exceder </w:t>
      </w:r>
      <w:r w:rsidRPr="002573AC">
        <w:rPr>
          <w:rFonts w:ascii="Times New Roman" w:eastAsia="Times New Roman" w:hAnsi="Times New Roman" w:cs="Times New Roman"/>
          <w:sz w:val="24"/>
          <w:szCs w:val="24"/>
          <w:lang w:val="es-ES" w:eastAsia="es-MX"/>
        </w:rPr>
        <w:t xml:space="preserve">el monto </w:t>
      </w:r>
      <w:r w:rsidR="00D20D1E">
        <w:rPr>
          <w:rFonts w:ascii="Times New Roman" w:eastAsia="Times New Roman" w:hAnsi="Times New Roman" w:cs="Times New Roman"/>
          <w:sz w:val="24"/>
          <w:szCs w:val="24"/>
          <w:lang w:val="es-ES" w:eastAsia="es-MX"/>
        </w:rPr>
        <w:t>establecido como</w:t>
      </w:r>
      <w:r w:rsidRPr="002573AC">
        <w:rPr>
          <w:rFonts w:ascii="Times New Roman" w:eastAsia="Times New Roman" w:hAnsi="Times New Roman" w:cs="Times New Roman"/>
          <w:sz w:val="24"/>
          <w:szCs w:val="24"/>
          <w:lang w:val="es-ES" w:eastAsia="es-MX"/>
        </w:rPr>
        <w:t xml:space="preserve"> valor referencial. </w:t>
      </w:r>
    </w:p>
    <w:p w:rsidR="002573AC" w:rsidRDefault="002573AC"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2573AC" w:rsidRDefault="002573AC"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En ese sentido, solicita que se precise que la cobertura requerida a nivel nacional es la que el operador de telecomunicaciones provee conforme las exigencias mínimas por OSIPTEL</w:t>
      </w:r>
      <w:r w:rsidR="00A8260F">
        <w:rPr>
          <w:rFonts w:ascii="Times New Roman" w:eastAsia="Times New Roman" w:hAnsi="Times New Roman" w:cs="Times New Roman"/>
          <w:sz w:val="24"/>
          <w:szCs w:val="24"/>
          <w:lang w:val="es-ES" w:eastAsia="es-MX"/>
        </w:rPr>
        <w:t xml:space="preserve"> y que cualquier</w:t>
      </w:r>
      <w:r>
        <w:rPr>
          <w:rFonts w:ascii="Times New Roman" w:eastAsia="Times New Roman" w:hAnsi="Times New Roman" w:cs="Times New Roman"/>
          <w:sz w:val="24"/>
          <w:szCs w:val="24"/>
          <w:lang w:val="es-ES" w:eastAsia="es-MX"/>
        </w:rPr>
        <w:t xml:space="preserve"> solicitud de cotización de implementación y/u optimización de cobertura </w:t>
      </w:r>
      <w:proofErr w:type="spellStart"/>
      <w:r>
        <w:rPr>
          <w:rFonts w:ascii="Times New Roman" w:eastAsia="Times New Roman" w:hAnsi="Times New Roman" w:cs="Times New Roman"/>
          <w:sz w:val="24"/>
          <w:szCs w:val="24"/>
          <w:lang w:val="es-ES" w:eastAsia="es-MX"/>
        </w:rPr>
        <w:t>indoor</w:t>
      </w:r>
      <w:proofErr w:type="spellEnd"/>
      <w:r>
        <w:rPr>
          <w:rFonts w:ascii="Times New Roman" w:eastAsia="Times New Roman" w:hAnsi="Times New Roman" w:cs="Times New Roman"/>
          <w:sz w:val="24"/>
          <w:szCs w:val="24"/>
          <w:lang w:val="es-ES" w:eastAsia="es-MX"/>
        </w:rPr>
        <w:t xml:space="preserve"> </w:t>
      </w:r>
      <w:r w:rsidR="00A8260F">
        <w:rPr>
          <w:rFonts w:ascii="Times New Roman" w:eastAsia="Times New Roman" w:hAnsi="Times New Roman" w:cs="Times New Roman"/>
          <w:sz w:val="24"/>
          <w:szCs w:val="24"/>
          <w:lang w:val="es-ES" w:eastAsia="es-MX"/>
        </w:rPr>
        <w:t xml:space="preserve">sea </w:t>
      </w:r>
      <w:r>
        <w:rPr>
          <w:rFonts w:ascii="Times New Roman" w:eastAsia="Times New Roman" w:hAnsi="Times New Roman" w:cs="Times New Roman"/>
          <w:sz w:val="24"/>
          <w:szCs w:val="24"/>
          <w:lang w:val="es-ES" w:eastAsia="es-MX"/>
        </w:rPr>
        <w:t xml:space="preserve">asumida por la Entidad. </w:t>
      </w:r>
    </w:p>
    <w:p w:rsidR="007F4BE3" w:rsidRDefault="00A736CD"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73600" behindDoc="0" locked="0" layoutInCell="1" allowOverlap="1" wp14:anchorId="3F3C8C82" wp14:editId="10E72382">
            <wp:simplePos x="0" y="0"/>
            <wp:positionH relativeFrom="column">
              <wp:posOffset>-1017126</wp:posOffset>
            </wp:positionH>
            <wp:positionV relativeFrom="paragraph">
              <wp:posOffset>80705</wp:posOffset>
            </wp:positionV>
            <wp:extent cx="971550" cy="3533775"/>
            <wp:effectExtent l="0" t="0" r="0"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3517" w:rsidRPr="008B4D44" w:rsidRDefault="001C3517" w:rsidP="001C3517">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b/>
          <w:sz w:val="24"/>
          <w:szCs w:val="24"/>
          <w:lang w:val="es-ES" w:eastAsia="es-MX"/>
        </w:rPr>
        <w:t>Pronunciamiento</w:t>
      </w:r>
    </w:p>
    <w:p w:rsidR="001C3517" w:rsidRDefault="001C3517"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0D413C" w:rsidRPr="000D413C" w:rsidRDefault="000D413C" w:rsidP="000D413C">
      <w:pPr>
        <w:spacing w:after="0" w:line="240" w:lineRule="auto"/>
        <w:jc w:val="both"/>
        <w:rPr>
          <w:rFonts w:ascii="Times New Roman" w:eastAsia="Times New Roman" w:hAnsi="Times New Roman"/>
          <w:sz w:val="24"/>
          <w:szCs w:val="24"/>
          <w:lang w:val="es-ES" w:eastAsia="es-MX"/>
        </w:rPr>
      </w:pPr>
      <w:r w:rsidRPr="000D413C">
        <w:rPr>
          <w:rFonts w:ascii="Times New Roman" w:eastAsia="Times New Roman" w:hAnsi="Times New Roman"/>
          <w:sz w:val="24"/>
          <w:szCs w:val="24"/>
          <w:lang w:val="es-ES" w:eastAsia="es-MX"/>
        </w:rPr>
        <w:t xml:space="preserve">De la revisión del Capítulo III de la Sección Específica de las Bases se </w:t>
      </w:r>
      <w:r w:rsidR="00425A15">
        <w:rPr>
          <w:rFonts w:ascii="Times New Roman" w:eastAsia="Times New Roman" w:hAnsi="Times New Roman"/>
          <w:sz w:val="24"/>
          <w:szCs w:val="24"/>
          <w:lang w:val="es-ES" w:eastAsia="es-MX"/>
        </w:rPr>
        <w:t xml:space="preserve">aprecia el siguiente </w:t>
      </w:r>
      <w:r w:rsidR="003B2288">
        <w:rPr>
          <w:rFonts w:ascii="Times New Roman" w:eastAsia="Times New Roman" w:hAnsi="Times New Roman"/>
          <w:sz w:val="24"/>
          <w:szCs w:val="24"/>
          <w:lang w:val="es-ES" w:eastAsia="es-MX"/>
        </w:rPr>
        <w:t>requerimiento</w:t>
      </w:r>
      <w:r w:rsidRPr="000D413C">
        <w:rPr>
          <w:rFonts w:ascii="Times New Roman" w:eastAsia="Times New Roman" w:hAnsi="Times New Roman"/>
          <w:sz w:val="24"/>
          <w:szCs w:val="24"/>
          <w:lang w:val="es-ES" w:eastAsia="es-MX"/>
        </w:rPr>
        <w:t xml:space="preserve">: </w:t>
      </w:r>
    </w:p>
    <w:p w:rsidR="001C3517" w:rsidRDefault="001C3517"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1C3517" w:rsidRDefault="000D413C" w:rsidP="001C3517">
      <w:pPr>
        <w:widowControl w:val="0"/>
        <w:spacing w:after="0" w:line="240" w:lineRule="auto"/>
        <w:ind w:left="4950" w:hanging="4950"/>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i/>
          <w:sz w:val="24"/>
          <w:szCs w:val="24"/>
          <w:lang w:val="es-ES" w:eastAsia="es-MX"/>
        </w:rPr>
        <w:t>“3. Descripción del Servicio a realizar (especificaciones técnicas del servicio)</w:t>
      </w:r>
    </w:p>
    <w:p w:rsidR="000D413C" w:rsidRDefault="000D413C" w:rsidP="001C3517">
      <w:pPr>
        <w:widowControl w:val="0"/>
        <w:spacing w:after="0" w:line="240" w:lineRule="auto"/>
        <w:ind w:left="4950" w:hanging="4950"/>
        <w:jc w:val="both"/>
        <w:rPr>
          <w:rFonts w:ascii="Times New Roman" w:eastAsia="Times New Roman" w:hAnsi="Times New Roman" w:cs="Times New Roman"/>
          <w:i/>
          <w:sz w:val="24"/>
          <w:szCs w:val="24"/>
          <w:lang w:val="es-ES" w:eastAsia="es-MX"/>
        </w:rPr>
      </w:pPr>
    </w:p>
    <w:p w:rsidR="000D413C" w:rsidRDefault="000D413C" w:rsidP="001C3517">
      <w:pPr>
        <w:widowControl w:val="0"/>
        <w:spacing w:after="0" w:line="240" w:lineRule="auto"/>
        <w:ind w:left="4950" w:hanging="4950"/>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3.1 Equipos de comunicación -  características</w:t>
      </w:r>
    </w:p>
    <w:p w:rsidR="000D413C" w:rsidRDefault="000D413C" w:rsidP="001C3517">
      <w:pPr>
        <w:widowControl w:val="0"/>
        <w:spacing w:after="0" w:line="240" w:lineRule="auto"/>
        <w:ind w:left="4950" w:hanging="4950"/>
        <w:jc w:val="both"/>
        <w:rPr>
          <w:rFonts w:ascii="Times New Roman" w:eastAsia="Times New Roman" w:hAnsi="Times New Roman" w:cs="Times New Roman"/>
          <w:i/>
          <w:sz w:val="24"/>
          <w:szCs w:val="24"/>
          <w:lang w:val="es-ES" w:eastAsia="es-MX"/>
        </w:rPr>
      </w:pPr>
    </w:p>
    <w:p w:rsidR="000D413C" w:rsidRDefault="000D413C" w:rsidP="000D413C">
      <w:pPr>
        <w:pStyle w:val="Prrafodelista"/>
        <w:widowControl w:val="0"/>
        <w:numPr>
          <w:ilvl w:val="0"/>
          <w:numId w:val="6"/>
        </w:num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El contratista garantizará el servicio interno y la cobertura </w:t>
      </w:r>
      <w:proofErr w:type="spellStart"/>
      <w:r>
        <w:rPr>
          <w:rFonts w:ascii="Times New Roman" w:eastAsia="Times New Roman" w:hAnsi="Times New Roman" w:cs="Times New Roman"/>
          <w:i/>
          <w:sz w:val="24"/>
          <w:szCs w:val="24"/>
          <w:lang w:val="es-ES" w:eastAsia="es-MX"/>
        </w:rPr>
        <w:t>indoor</w:t>
      </w:r>
      <w:proofErr w:type="spellEnd"/>
      <w:r>
        <w:rPr>
          <w:rFonts w:ascii="Times New Roman" w:eastAsia="Times New Roman" w:hAnsi="Times New Roman" w:cs="Times New Roman"/>
          <w:i/>
          <w:sz w:val="24"/>
          <w:szCs w:val="24"/>
          <w:lang w:val="es-ES" w:eastAsia="es-MX"/>
        </w:rPr>
        <w:t xml:space="preserve"> en toda la Sede Principal del PCM y locales remotos, para ello de ser necesario instalará la infraestructura pertinente (celdas, </w:t>
      </w:r>
      <w:proofErr w:type="spellStart"/>
      <w:r>
        <w:rPr>
          <w:rFonts w:ascii="Times New Roman" w:eastAsia="Times New Roman" w:hAnsi="Times New Roman" w:cs="Times New Roman"/>
          <w:i/>
          <w:sz w:val="24"/>
          <w:szCs w:val="24"/>
          <w:lang w:val="es-ES" w:eastAsia="es-MX"/>
        </w:rPr>
        <w:t>nanoceldas</w:t>
      </w:r>
      <w:proofErr w:type="spellEnd"/>
      <w:r>
        <w:rPr>
          <w:rFonts w:ascii="Times New Roman" w:eastAsia="Times New Roman" w:hAnsi="Times New Roman" w:cs="Times New Roman"/>
          <w:i/>
          <w:sz w:val="24"/>
          <w:szCs w:val="24"/>
          <w:lang w:val="es-ES" w:eastAsia="es-MX"/>
        </w:rPr>
        <w:t>, repetidoras, etc.) la cual no tendrá costo para la PCM. El contratista tendrá un plazo máximo de 60 días calendarios para instalar dicha infraestructura en la Sede Principal y 25 días adicionales para los locales externos. El servicio de telefonía móvil brindado por el Contratista deberá garantizar la señal 3G, 2G. El servicio deberá garantizarse en las siguientes instalaciones del PCM:</w:t>
      </w:r>
    </w:p>
    <w:p w:rsidR="000D413C" w:rsidRDefault="000D413C" w:rsidP="000D413C">
      <w:pPr>
        <w:widowControl w:val="0"/>
        <w:spacing w:after="0" w:line="240" w:lineRule="auto"/>
        <w:jc w:val="both"/>
        <w:rPr>
          <w:rFonts w:ascii="Times New Roman" w:eastAsia="Times New Roman" w:hAnsi="Times New Roman" w:cs="Times New Roman"/>
          <w:i/>
          <w:sz w:val="24"/>
          <w:szCs w:val="24"/>
          <w:lang w:val="es-ES" w:eastAsia="es-MX"/>
        </w:rPr>
      </w:pP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Sede Palacio</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lastRenderedPageBreak/>
        <w:t xml:space="preserve">Jr. </w:t>
      </w:r>
      <w:proofErr w:type="spellStart"/>
      <w:r>
        <w:rPr>
          <w:rFonts w:ascii="Times New Roman" w:eastAsia="Times New Roman" w:hAnsi="Times New Roman" w:cs="Times New Roman"/>
          <w:i/>
          <w:sz w:val="24"/>
          <w:szCs w:val="24"/>
          <w:lang w:val="es-ES" w:eastAsia="es-MX"/>
        </w:rPr>
        <w:t>Carabaya</w:t>
      </w:r>
      <w:proofErr w:type="spellEnd"/>
      <w:r>
        <w:rPr>
          <w:rFonts w:ascii="Times New Roman" w:eastAsia="Times New Roman" w:hAnsi="Times New Roman" w:cs="Times New Roman"/>
          <w:i/>
          <w:sz w:val="24"/>
          <w:szCs w:val="24"/>
          <w:lang w:val="es-ES" w:eastAsia="es-MX"/>
        </w:rPr>
        <w:t xml:space="preserve"> cdra. 1 -  Lima (Palacio de Gobierno área de la PCM)</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Sede Petroperú</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Av. </w:t>
      </w:r>
      <w:proofErr w:type="spellStart"/>
      <w:r>
        <w:rPr>
          <w:rFonts w:ascii="Times New Roman" w:eastAsia="Times New Roman" w:hAnsi="Times New Roman" w:cs="Times New Roman"/>
          <w:i/>
          <w:sz w:val="24"/>
          <w:szCs w:val="24"/>
          <w:lang w:val="es-ES" w:eastAsia="es-MX"/>
        </w:rPr>
        <w:t>Canaval</w:t>
      </w:r>
      <w:proofErr w:type="spellEnd"/>
      <w:r>
        <w:rPr>
          <w:rFonts w:ascii="Times New Roman" w:eastAsia="Times New Roman" w:hAnsi="Times New Roman" w:cs="Times New Roman"/>
          <w:i/>
          <w:sz w:val="24"/>
          <w:szCs w:val="24"/>
          <w:lang w:val="es-ES" w:eastAsia="es-MX"/>
        </w:rPr>
        <w:t xml:space="preserve"> y </w:t>
      </w:r>
      <w:proofErr w:type="spellStart"/>
      <w:r>
        <w:rPr>
          <w:rFonts w:ascii="Times New Roman" w:eastAsia="Times New Roman" w:hAnsi="Times New Roman" w:cs="Times New Roman"/>
          <w:i/>
          <w:sz w:val="24"/>
          <w:szCs w:val="24"/>
          <w:lang w:val="es-ES" w:eastAsia="es-MX"/>
        </w:rPr>
        <w:t>Moreyra</w:t>
      </w:r>
      <w:proofErr w:type="spellEnd"/>
      <w:r>
        <w:rPr>
          <w:rFonts w:ascii="Times New Roman" w:eastAsia="Times New Roman" w:hAnsi="Times New Roman" w:cs="Times New Roman"/>
          <w:i/>
          <w:sz w:val="24"/>
          <w:szCs w:val="24"/>
          <w:lang w:val="es-ES" w:eastAsia="es-MX"/>
        </w:rPr>
        <w:t xml:space="preserve"> 150 -  San Isidro</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Sede Cuzco</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Jr. Cuzco Nº 121 – Lima</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Sede </w:t>
      </w:r>
      <w:proofErr w:type="spellStart"/>
      <w:r>
        <w:rPr>
          <w:rFonts w:ascii="Times New Roman" w:eastAsia="Times New Roman" w:hAnsi="Times New Roman" w:cs="Times New Roman"/>
          <w:i/>
          <w:sz w:val="24"/>
          <w:szCs w:val="24"/>
          <w:lang w:val="es-ES" w:eastAsia="es-MX"/>
        </w:rPr>
        <w:t>Camaná</w:t>
      </w:r>
      <w:proofErr w:type="spellEnd"/>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Jr. </w:t>
      </w:r>
      <w:proofErr w:type="spellStart"/>
      <w:r>
        <w:rPr>
          <w:rFonts w:ascii="Times New Roman" w:eastAsia="Times New Roman" w:hAnsi="Times New Roman" w:cs="Times New Roman"/>
          <w:i/>
          <w:sz w:val="24"/>
          <w:szCs w:val="24"/>
          <w:lang w:val="es-ES" w:eastAsia="es-MX"/>
        </w:rPr>
        <w:t>Camaná</w:t>
      </w:r>
      <w:proofErr w:type="spellEnd"/>
      <w:r>
        <w:rPr>
          <w:rFonts w:ascii="Times New Roman" w:eastAsia="Times New Roman" w:hAnsi="Times New Roman" w:cs="Times New Roman"/>
          <w:i/>
          <w:sz w:val="24"/>
          <w:szCs w:val="24"/>
          <w:lang w:val="es-ES" w:eastAsia="es-MX"/>
        </w:rPr>
        <w:t xml:space="preserve"> Nº 421 </w:t>
      </w:r>
      <w:proofErr w:type="spellStart"/>
      <w:r>
        <w:rPr>
          <w:rFonts w:ascii="Times New Roman" w:eastAsia="Times New Roman" w:hAnsi="Times New Roman" w:cs="Times New Roman"/>
          <w:i/>
          <w:sz w:val="24"/>
          <w:szCs w:val="24"/>
          <w:lang w:val="es-ES" w:eastAsia="es-MX"/>
        </w:rPr>
        <w:t>Tda</w:t>
      </w:r>
      <w:proofErr w:type="spellEnd"/>
      <w:r>
        <w:rPr>
          <w:rFonts w:ascii="Times New Roman" w:eastAsia="Times New Roman" w:hAnsi="Times New Roman" w:cs="Times New Roman"/>
          <w:i/>
          <w:sz w:val="24"/>
          <w:szCs w:val="24"/>
          <w:lang w:val="es-ES" w:eastAsia="es-MX"/>
        </w:rPr>
        <w:t>. 199, esquina con Jr. Ica nº 199 Lima</w:t>
      </w: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p>
    <w:p w:rsidR="000D413C" w:rsidRDefault="000D413C"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Sede </w:t>
      </w:r>
      <w:proofErr w:type="spellStart"/>
      <w:r>
        <w:rPr>
          <w:rFonts w:ascii="Times New Roman" w:eastAsia="Times New Roman" w:hAnsi="Times New Roman" w:cs="Times New Roman"/>
          <w:i/>
          <w:sz w:val="24"/>
          <w:szCs w:val="24"/>
          <w:lang w:val="es-ES" w:eastAsia="es-MX"/>
        </w:rPr>
        <w:t>Piñeyro</w:t>
      </w:r>
      <w:proofErr w:type="spellEnd"/>
      <w:r>
        <w:rPr>
          <w:rFonts w:ascii="Times New Roman" w:eastAsia="Times New Roman" w:hAnsi="Times New Roman" w:cs="Times New Roman"/>
          <w:i/>
          <w:sz w:val="24"/>
          <w:szCs w:val="24"/>
          <w:lang w:val="es-ES" w:eastAsia="es-MX"/>
        </w:rPr>
        <w:t xml:space="preserve"> </w:t>
      </w:r>
    </w:p>
    <w:p w:rsidR="004E7E0D" w:rsidRDefault="004E7E0D"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Jr. </w:t>
      </w:r>
      <w:proofErr w:type="spellStart"/>
      <w:r>
        <w:rPr>
          <w:rFonts w:ascii="Times New Roman" w:eastAsia="Times New Roman" w:hAnsi="Times New Roman" w:cs="Times New Roman"/>
          <w:i/>
          <w:sz w:val="24"/>
          <w:szCs w:val="24"/>
          <w:lang w:val="es-ES" w:eastAsia="es-MX"/>
        </w:rPr>
        <w:t>Julian</w:t>
      </w:r>
      <w:proofErr w:type="spellEnd"/>
      <w:r>
        <w:rPr>
          <w:rFonts w:ascii="Times New Roman" w:eastAsia="Times New Roman" w:hAnsi="Times New Roman" w:cs="Times New Roman"/>
          <w:i/>
          <w:sz w:val="24"/>
          <w:szCs w:val="24"/>
          <w:lang w:val="es-ES" w:eastAsia="es-MX"/>
        </w:rPr>
        <w:t xml:space="preserve"> </w:t>
      </w:r>
      <w:proofErr w:type="spellStart"/>
      <w:r>
        <w:rPr>
          <w:rFonts w:ascii="Times New Roman" w:eastAsia="Times New Roman" w:hAnsi="Times New Roman" w:cs="Times New Roman"/>
          <w:i/>
          <w:sz w:val="24"/>
          <w:szCs w:val="24"/>
          <w:lang w:val="es-ES" w:eastAsia="es-MX"/>
        </w:rPr>
        <w:t>Piñeyro</w:t>
      </w:r>
      <w:proofErr w:type="spellEnd"/>
      <w:r>
        <w:rPr>
          <w:rFonts w:ascii="Times New Roman" w:eastAsia="Times New Roman" w:hAnsi="Times New Roman" w:cs="Times New Roman"/>
          <w:i/>
          <w:sz w:val="24"/>
          <w:szCs w:val="24"/>
          <w:lang w:val="es-ES" w:eastAsia="es-MX"/>
        </w:rPr>
        <w:t xml:space="preserve"> 290 – Lima</w:t>
      </w:r>
    </w:p>
    <w:p w:rsidR="004E7E0D" w:rsidRDefault="004E7E0D" w:rsidP="000D413C">
      <w:pPr>
        <w:widowControl w:val="0"/>
        <w:spacing w:after="0" w:line="240" w:lineRule="auto"/>
        <w:ind w:left="709"/>
        <w:jc w:val="both"/>
        <w:rPr>
          <w:rFonts w:ascii="Times New Roman" w:eastAsia="Times New Roman" w:hAnsi="Times New Roman" w:cs="Times New Roman"/>
          <w:i/>
          <w:sz w:val="24"/>
          <w:szCs w:val="24"/>
          <w:lang w:val="es-ES" w:eastAsia="es-MX"/>
        </w:rPr>
      </w:pPr>
    </w:p>
    <w:p w:rsidR="004E7E0D" w:rsidRDefault="004E7E0D"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Sede ONGEI</w:t>
      </w:r>
    </w:p>
    <w:p w:rsidR="004E7E0D" w:rsidRDefault="004E7E0D" w:rsidP="000D413C">
      <w:pPr>
        <w:widowControl w:val="0"/>
        <w:spacing w:after="0" w:line="240" w:lineRule="auto"/>
        <w:ind w:left="709"/>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Calle Francisco de Toledo 219 – Urbanización la </w:t>
      </w:r>
      <w:proofErr w:type="spellStart"/>
      <w:r>
        <w:rPr>
          <w:rFonts w:ascii="Times New Roman" w:eastAsia="Times New Roman" w:hAnsi="Times New Roman" w:cs="Times New Roman"/>
          <w:i/>
          <w:sz w:val="24"/>
          <w:szCs w:val="24"/>
          <w:lang w:val="es-ES" w:eastAsia="es-MX"/>
        </w:rPr>
        <w:t>Virreyna</w:t>
      </w:r>
      <w:proofErr w:type="spellEnd"/>
      <w:r>
        <w:rPr>
          <w:rFonts w:ascii="Times New Roman" w:eastAsia="Times New Roman" w:hAnsi="Times New Roman" w:cs="Times New Roman"/>
          <w:i/>
          <w:sz w:val="24"/>
          <w:szCs w:val="24"/>
          <w:lang w:val="es-ES" w:eastAsia="es-MX"/>
        </w:rPr>
        <w:t>, Surco</w:t>
      </w:r>
    </w:p>
    <w:p w:rsidR="001C3517" w:rsidRDefault="001C3517"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5F3229" w:rsidRPr="005F3229" w:rsidRDefault="005F3229" w:rsidP="005F3229">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5F3229">
        <w:rPr>
          <w:rFonts w:ascii="Times New Roman" w:eastAsia="Times New Roman" w:hAnsi="Times New Roman" w:cs="Times New Roman"/>
          <w:sz w:val="24"/>
          <w:szCs w:val="24"/>
          <w:lang w:val="es-ES" w:eastAsia="es-MX"/>
        </w:rPr>
        <w:t>En el pliego de absolución de observaciones, el Comité Especial señaló lo siguiente:</w:t>
      </w:r>
    </w:p>
    <w:p w:rsidR="001C3517" w:rsidRPr="005F3229" w:rsidRDefault="001C3517"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1C3517" w:rsidRDefault="005F3229" w:rsidP="004E7E0D">
      <w:pPr>
        <w:widowControl w:val="0"/>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“No se </w:t>
      </w:r>
      <w:r w:rsidR="00CB1FD7">
        <w:rPr>
          <w:rFonts w:ascii="Times New Roman" w:eastAsia="Times New Roman" w:hAnsi="Times New Roman" w:cs="Times New Roman"/>
          <w:i/>
          <w:sz w:val="24"/>
          <w:szCs w:val="24"/>
          <w:lang w:val="es-ES" w:eastAsia="es-MX"/>
        </w:rPr>
        <w:t xml:space="preserve">acoge la observación debido a que la sede principal y las sedes remotas se encuentran en Lima Metropolitana. Así mismo la PCM es una entidad que promueve, coordina y articula políticas nacionales con las Entidades del Estado, la Sociedad Civil y el Sector Privado”. </w:t>
      </w:r>
    </w:p>
    <w:p w:rsidR="001C3517" w:rsidRDefault="001C3517" w:rsidP="003B2288">
      <w:pPr>
        <w:widowControl w:val="0"/>
        <w:spacing w:after="0" w:line="240" w:lineRule="auto"/>
        <w:jc w:val="both"/>
        <w:rPr>
          <w:rFonts w:ascii="Times New Roman" w:eastAsia="Times New Roman" w:hAnsi="Times New Roman" w:cs="Times New Roman"/>
          <w:b/>
          <w:sz w:val="24"/>
          <w:szCs w:val="24"/>
          <w:lang w:val="es-ES" w:eastAsia="es-MX"/>
        </w:rPr>
      </w:pPr>
    </w:p>
    <w:p w:rsidR="009162F7" w:rsidRDefault="009162F7" w:rsidP="009162F7">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9162F7">
        <w:rPr>
          <w:rFonts w:ascii="Times New Roman" w:eastAsia="Times New Roman" w:hAnsi="Times New Roman" w:cs="Times New Roman"/>
          <w:sz w:val="24"/>
          <w:szCs w:val="24"/>
          <w:lang w:val="es-ES" w:eastAsia="es-MX"/>
        </w:rPr>
        <w:t xml:space="preserve">Por su parte, </w:t>
      </w:r>
      <w:r w:rsidR="00E02E6E">
        <w:rPr>
          <w:rFonts w:ascii="Times New Roman" w:eastAsia="Times New Roman" w:hAnsi="Times New Roman" w:cs="Times New Roman"/>
          <w:sz w:val="24"/>
          <w:szCs w:val="24"/>
          <w:lang w:val="es-ES" w:eastAsia="es-MX"/>
        </w:rPr>
        <w:t>en el Informe Nº 005-2015-PCM/OS/WWGJ remitido por la Entidad con ocasión de la solicitud de elevación de Observaciones, el área usuaria señaló lo siguiente</w:t>
      </w:r>
      <w:r>
        <w:rPr>
          <w:rFonts w:ascii="Times New Roman" w:eastAsia="Times New Roman" w:hAnsi="Times New Roman" w:cs="Times New Roman"/>
          <w:sz w:val="24"/>
          <w:szCs w:val="24"/>
          <w:lang w:val="es-ES" w:eastAsia="es-MX"/>
        </w:rPr>
        <w:t>:</w:t>
      </w:r>
    </w:p>
    <w:p w:rsidR="009162F7" w:rsidRDefault="009162F7" w:rsidP="009162F7">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9162F7" w:rsidRDefault="00A736CD" w:rsidP="009162F7">
      <w:pPr>
        <w:widowControl w:val="0"/>
        <w:tabs>
          <w:tab w:val="left" w:pos="5103"/>
        </w:tabs>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71552" behindDoc="0" locked="0" layoutInCell="1" allowOverlap="1" wp14:anchorId="308B1A73" wp14:editId="63826DB0">
            <wp:simplePos x="0" y="0"/>
            <wp:positionH relativeFrom="column">
              <wp:posOffset>-999286</wp:posOffset>
            </wp:positionH>
            <wp:positionV relativeFrom="paragraph">
              <wp:posOffset>107950</wp:posOffset>
            </wp:positionV>
            <wp:extent cx="971550" cy="3533775"/>
            <wp:effectExtent l="0" t="0" r="0"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9162F7">
        <w:rPr>
          <w:rFonts w:ascii="Times New Roman" w:eastAsia="Times New Roman" w:hAnsi="Times New Roman" w:cs="Times New Roman"/>
          <w:i/>
          <w:sz w:val="24"/>
          <w:szCs w:val="24"/>
          <w:lang w:val="es-ES" w:eastAsia="es-MX"/>
        </w:rPr>
        <w:t>“</w:t>
      </w:r>
      <w:r w:rsidR="00E02E6E">
        <w:rPr>
          <w:rFonts w:ascii="Times New Roman" w:eastAsia="Times New Roman" w:hAnsi="Times New Roman" w:cs="Times New Roman"/>
          <w:i/>
          <w:sz w:val="24"/>
          <w:szCs w:val="24"/>
          <w:lang w:val="es-ES" w:eastAsia="es-MX"/>
        </w:rPr>
        <w:t xml:space="preserve">En respuesta a lo indicado por el proveedor, nuestra oficina precisada claramente en los requerimientos técnicos mínimos la cobertura INDOOR es un requisito esencial y relevante para la adecuada prestación del servicio garantizando la calidad de las comunicaciones en nuestra entidad. </w:t>
      </w:r>
    </w:p>
    <w:p w:rsidR="00E02E6E" w:rsidRDefault="00E02E6E" w:rsidP="009162F7">
      <w:pPr>
        <w:widowControl w:val="0"/>
        <w:tabs>
          <w:tab w:val="left" w:pos="5103"/>
        </w:tabs>
        <w:spacing w:after="0" w:line="240" w:lineRule="auto"/>
        <w:jc w:val="both"/>
        <w:rPr>
          <w:rFonts w:ascii="Times New Roman" w:eastAsia="Times New Roman" w:hAnsi="Times New Roman" w:cs="Times New Roman"/>
          <w:i/>
          <w:sz w:val="24"/>
          <w:szCs w:val="24"/>
          <w:lang w:val="es-ES" w:eastAsia="es-MX"/>
        </w:rPr>
      </w:pPr>
    </w:p>
    <w:p w:rsidR="00E02E6E" w:rsidRDefault="00E02E6E" w:rsidP="009162F7">
      <w:pPr>
        <w:widowControl w:val="0"/>
        <w:tabs>
          <w:tab w:val="left" w:pos="5103"/>
        </w:tabs>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w:t>
      </w:r>
    </w:p>
    <w:p w:rsidR="00E02E6E" w:rsidRDefault="00E02E6E" w:rsidP="009162F7">
      <w:pPr>
        <w:widowControl w:val="0"/>
        <w:tabs>
          <w:tab w:val="left" w:pos="5103"/>
        </w:tabs>
        <w:spacing w:after="0" w:line="240" w:lineRule="auto"/>
        <w:jc w:val="both"/>
        <w:rPr>
          <w:rFonts w:ascii="Times New Roman" w:eastAsia="Times New Roman" w:hAnsi="Times New Roman" w:cs="Times New Roman"/>
          <w:i/>
          <w:sz w:val="24"/>
          <w:szCs w:val="24"/>
          <w:lang w:val="es-ES" w:eastAsia="es-MX"/>
        </w:rPr>
      </w:pPr>
    </w:p>
    <w:p w:rsidR="00E02E6E" w:rsidRPr="009162F7" w:rsidRDefault="00E02E6E" w:rsidP="009162F7">
      <w:pPr>
        <w:widowControl w:val="0"/>
        <w:tabs>
          <w:tab w:val="left" w:pos="5103"/>
        </w:tabs>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 recomienda no acoger la observación p</w:t>
      </w:r>
      <w:r w:rsidR="003B2288">
        <w:rPr>
          <w:rFonts w:ascii="Times New Roman" w:eastAsia="Times New Roman" w:hAnsi="Times New Roman" w:cs="Times New Roman"/>
          <w:i/>
          <w:sz w:val="24"/>
          <w:szCs w:val="24"/>
          <w:lang w:val="es-ES" w:eastAsia="es-MX"/>
        </w:rPr>
        <w:t>u</w:t>
      </w:r>
      <w:r>
        <w:rPr>
          <w:rFonts w:ascii="Times New Roman" w:eastAsia="Times New Roman" w:hAnsi="Times New Roman" w:cs="Times New Roman"/>
          <w:i/>
          <w:sz w:val="24"/>
          <w:szCs w:val="24"/>
          <w:lang w:val="es-ES" w:eastAsia="es-MX"/>
        </w:rPr>
        <w:t xml:space="preserve">esto que este requerimiento garantiza la calidad de las comunicaciones debido a los continuos problemas de señal que actualmente tienen las empresas proveedoras de este servicio, puesto que no se está contraviniendo ninguna norma y/o principio vigente, solo satisface los requerimientos básicos de la entidad”. </w:t>
      </w:r>
    </w:p>
    <w:p w:rsidR="001C3517" w:rsidRPr="009162F7" w:rsidRDefault="001C3517"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C7066E" w:rsidRPr="001901F4" w:rsidRDefault="00C7066E" w:rsidP="00C7066E">
      <w:pPr>
        <w:tabs>
          <w:tab w:val="left" w:pos="3969"/>
        </w:tabs>
        <w:spacing w:after="0" w:line="240" w:lineRule="auto"/>
        <w:jc w:val="both"/>
        <w:rPr>
          <w:rFonts w:ascii="Times New Roman" w:eastAsia="Times New Roman" w:hAnsi="Times New Roman" w:cs="Times New Roman"/>
          <w:sz w:val="24"/>
          <w:szCs w:val="24"/>
          <w:lang w:val="es-ES" w:eastAsia="es-MX"/>
        </w:rPr>
      </w:pPr>
      <w:r w:rsidRPr="001901F4">
        <w:rPr>
          <w:rFonts w:ascii="Times New Roman" w:eastAsia="Times New Roman" w:hAnsi="Times New Roman" w:cs="Times New Roman"/>
          <w:sz w:val="24"/>
          <w:szCs w:val="24"/>
          <w:lang w:val="es-ES" w:eastAsia="es-MX"/>
        </w:rPr>
        <w:t xml:space="preserve">Sobre el particular, cabe precisar que de acuerdo a lo dispuesto en el artículo 13 de </w:t>
      </w:r>
      <w:smartTag w:uri="urn:schemas-microsoft-com:office:smarttags" w:element="PersonName">
        <w:smartTagPr>
          <w:attr w:name="ProductID" w:val="la Ley"/>
        </w:smartTagPr>
        <w:r w:rsidRPr="001901F4">
          <w:rPr>
            <w:rFonts w:ascii="Times New Roman" w:eastAsia="Times New Roman" w:hAnsi="Times New Roman" w:cs="Times New Roman"/>
            <w:sz w:val="24"/>
            <w:szCs w:val="24"/>
            <w:lang w:val="es-ES" w:eastAsia="es-MX"/>
          </w:rPr>
          <w:t>la Ley</w:t>
        </w:r>
      </w:smartTag>
      <w:r w:rsidRPr="001901F4">
        <w:rPr>
          <w:rFonts w:ascii="Times New Roman" w:eastAsia="Times New Roman" w:hAnsi="Times New Roman" w:cs="Times New Roman"/>
          <w:sz w:val="24"/>
          <w:szCs w:val="24"/>
          <w:lang w:val="es-ES" w:eastAsia="es-MX"/>
        </w:rPr>
        <w:t xml:space="preserve">, concordado con el artículo 11 del Reglamento, es facultad de </w:t>
      </w:r>
      <w:smartTag w:uri="urn:schemas-microsoft-com:office:smarttags" w:element="PersonName">
        <w:smartTagPr>
          <w:attr w:name="ProductID" w:val="la Entidad"/>
        </w:smartTagPr>
        <w:r w:rsidRPr="001901F4">
          <w:rPr>
            <w:rFonts w:ascii="Times New Roman" w:eastAsia="Times New Roman" w:hAnsi="Times New Roman" w:cs="Times New Roman"/>
            <w:sz w:val="24"/>
            <w:szCs w:val="24"/>
            <w:lang w:val="es-ES" w:eastAsia="es-MX"/>
          </w:rPr>
          <w:t>la Entidad</w:t>
        </w:r>
      </w:smartTag>
      <w:r w:rsidRPr="001901F4">
        <w:rPr>
          <w:rFonts w:ascii="Times New Roman" w:eastAsia="Times New Roman" w:hAnsi="Times New Roman" w:cs="Times New Roman"/>
          <w:sz w:val="24"/>
          <w:szCs w:val="24"/>
          <w:lang w:val="es-ES" w:eastAsia="es-MX"/>
        </w:rPr>
        <w:t xml:space="preserve"> determinar, </w:t>
      </w:r>
      <w:r w:rsidRPr="001901F4">
        <w:rPr>
          <w:rFonts w:ascii="Times New Roman" w:eastAsia="Times New Roman" w:hAnsi="Times New Roman" w:cs="Times New Roman"/>
          <w:sz w:val="24"/>
          <w:szCs w:val="24"/>
          <w:u w:val="single"/>
          <w:lang w:val="es-ES" w:eastAsia="es-MX"/>
        </w:rPr>
        <w:t>sobre la base de sus propias necesidades</w:t>
      </w:r>
      <w:r w:rsidRPr="001901F4">
        <w:rPr>
          <w:rFonts w:ascii="Times New Roman" w:eastAsia="Times New Roman" w:hAnsi="Times New Roman" w:cs="Times New Roman"/>
          <w:sz w:val="24"/>
          <w:szCs w:val="24"/>
          <w:lang w:val="es-ES" w:eastAsia="es-MX"/>
        </w:rPr>
        <w:t xml:space="preserve">, las características, requerimientos y especificaciones técnicas de los bienes, servicios u obras que desea adquirir y/o contratar, </w:t>
      </w:r>
      <w:r w:rsidRPr="001901F4">
        <w:rPr>
          <w:rFonts w:ascii="Times New Roman" w:eastAsia="Times New Roman" w:hAnsi="Times New Roman" w:cs="Times New Roman"/>
          <w:sz w:val="24"/>
          <w:szCs w:val="24"/>
          <w:u w:val="single"/>
          <w:lang w:val="es-ES" w:eastAsia="es-MX"/>
        </w:rPr>
        <w:t>los que deberán incidir sobre los objetivos, funciones y operatividad de aquellos</w:t>
      </w:r>
      <w:r w:rsidRPr="001901F4">
        <w:rPr>
          <w:rFonts w:ascii="Times New Roman" w:eastAsia="Times New Roman" w:hAnsi="Times New Roman" w:cs="Times New Roman"/>
          <w:sz w:val="24"/>
          <w:szCs w:val="24"/>
          <w:lang w:val="es-ES" w:eastAsia="es-MX"/>
        </w:rPr>
        <w:t>.</w:t>
      </w:r>
    </w:p>
    <w:p w:rsidR="00C7066E" w:rsidRDefault="00C7066E" w:rsidP="00C7066E">
      <w:pPr>
        <w:tabs>
          <w:tab w:val="left" w:pos="3969"/>
        </w:tabs>
        <w:spacing w:after="0" w:line="240" w:lineRule="auto"/>
        <w:jc w:val="both"/>
        <w:rPr>
          <w:rFonts w:ascii="Times New Roman" w:eastAsia="Times New Roman" w:hAnsi="Times New Roman" w:cs="Times New Roman"/>
          <w:sz w:val="24"/>
          <w:szCs w:val="24"/>
          <w:lang w:val="es-ES" w:eastAsia="es-MX"/>
        </w:rPr>
      </w:pPr>
    </w:p>
    <w:p w:rsidR="003B2288" w:rsidRPr="001901F4" w:rsidRDefault="003B2288" w:rsidP="00C7066E">
      <w:pPr>
        <w:tabs>
          <w:tab w:val="left" w:pos="3969"/>
        </w:tabs>
        <w:spacing w:after="0" w:line="240" w:lineRule="auto"/>
        <w:jc w:val="both"/>
        <w:rPr>
          <w:rFonts w:ascii="Times New Roman" w:eastAsia="Times New Roman" w:hAnsi="Times New Roman" w:cs="Times New Roman"/>
          <w:sz w:val="24"/>
          <w:szCs w:val="24"/>
          <w:lang w:val="es-ES" w:eastAsia="es-MX"/>
        </w:rPr>
      </w:pPr>
    </w:p>
    <w:p w:rsidR="00C7066E" w:rsidRDefault="00C7066E" w:rsidP="00C7066E">
      <w:pPr>
        <w:widowControl w:val="0"/>
        <w:tabs>
          <w:tab w:val="left" w:pos="5103"/>
        </w:tabs>
        <w:spacing w:after="0" w:line="240" w:lineRule="auto"/>
        <w:jc w:val="both"/>
        <w:rPr>
          <w:rFonts w:ascii="Times New Roman" w:eastAsia="Times New Roman" w:hAnsi="Times New Roman" w:cs="Times New Roman"/>
          <w:snapToGrid w:val="0"/>
          <w:sz w:val="24"/>
          <w:szCs w:val="24"/>
          <w:lang w:eastAsia="es-MX"/>
        </w:rPr>
      </w:pPr>
      <w:r w:rsidRPr="001901F4">
        <w:rPr>
          <w:rFonts w:ascii="Times New Roman" w:eastAsia="Times New Roman" w:hAnsi="Times New Roman" w:cs="Times New Roman"/>
          <w:snapToGrid w:val="0"/>
          <w:sz w:val="24"/>
          <w:szCs w:val="24"/>
          <w:lang w:val="es-ES" w:eastAsia="es-MX"/>
        </w:rPr>
        <w:lastRenderedPageBreak/>
        <w:t>De este modo</w:t>
      </w:r>
      <w:r w:rsidRPr="001901F4">
        <w:rPr>
          <w:rFonts w:ascii="Times New Roman" w:eastAsia="Times New Roman" w:hAnsi="Times New Roman" w:cs="Times New Roman"/>
          <w:snapToGrid w:val="0"/>
          <w:sz w:val="24"/>
          <w:szCs w:val="24"/>
          <w:lang w:eastAsia="es-MX"/>
        </w:rPr>
        <w:t xml:space="preserve">, los requisitos técnicos mínimos cumplen con la función de asegurar a la Entidad que el postor ofertará lo mínimo necesario para cubrir adecuadamente la operatividad y funcionalidad </w:t>
      </w:r>
      <w:r>
        <w:rPr>
          <w:rFonts w:ascii="Times New Roman" w:eastAsia="Times New Roman" w:hAnsi="Times New Roman" w:cs="Times New Roman"/>
          <w:snapToGrid w:val="0"/>
          <w:sz w:val="24"/>
          <w:szCs w:val="24"/>
          <w:lang w:eastAsia="es-MX"/>
        </w:rPr>
        <w:t>del servicio requerido</w:t>
      </w:r>
      <w:r w:rsidRPr="001901F4">
        <w:rPr>
          <w:rFonts w:ascii="Times New Roman" w:eastAsia="Times New Roman" w:hAnsi="Times New Roman" w:cs="Times New Roman"/>
          <w:snapToGrid w:val="0"/>
          <w:sz w:val="24"/>
          <w:szCs w:val="24"/>
          <w:lang w:eastAsia="es-MX"/>
        </w:rPr>
        <w:t>.</w:t>
      </w:r>
    </w:p>
    <w:p w:rsidR="00C7066E" w:rsidRDefault="00C7066E" w:rsidP="00C7066E">
      <w:pPr>
        <w:widowControl w:val="0"/>
        <w:tabs>
          <w:tab w:val="left" w:pos="5103"/>
        </w:tabs>
        <w:spacing w:after="0" w:line="240" w:lineRule="auto"/>
        <w:jc w:val="both"/>
        <w:rPr>
          <w:rFonts w:ascii="Times New Roman" w:eastAsia="Times New Roman" w:hAnsi="Times New Roman" w:cs="Times New Roman"/>
          <w:snapToGrid w:val="0"/>
          <w:sz w:val="24"/>
          <w:szCs w:val="24"/>
          <w:lang w:eastAsia="es-MX"/>
        </w:rPr>
      </w:pPr>
    </w:p>
    <w:p w:rsidR="00C7066E" w:rsidRPr="00CD528C" w:rsidRDefault="00C7066E" w:rsidP="00C7066E">
      <w:pPr>
        <w:pStyle w:val="Default"/>
        <w:jc w:val="both"/>
        <w:rPr>
          <w:rFonts w:eastAsia="MS Mincho"/>
          <w:color w:val="auto"/>
          <w:lang w:val="es-ES"/>
        </w:rPr>
      </w:pPr>
      <w:r>
        <w:rPr>
          <w:rFonts w:eastAsia="MS Mincho"/>
          <w:color w:val="auto"/>
          <w:lang w:val="es-ES"/>
        </w:rPr>
        <w:t>Asimismo</w:t>
      </w:r>
      <w:r w:rsidRPr="00CD528C">
        <w:rPr>
          <w:rFonts w:eastAsia="MS Mincho"/>
          <w:color w:val="auto"/>
          <w:lang w:val="es-ES"/>
        </w:rPr>
        <w:t>, de acuerdo con el artículo 27 de la Ley, concordado</w:t>
      </w:r>
      <w:r>
        <w:rPr>
          <w:rFonts w:eastAsia="MS Mincho"/>
          <w:color w:val="auto"/>
          <w:lang w:val="es-ES"/>
        </w:rPr>
        <w:t xml:space="preserve"> </w:t>
      </w:r>
      <w:r w:rsidRPr="00CD528C">
        <w:rPr>
          <w:rFonts w:eastAsia="MS Mincho"/>
          <w:color w:val="auto"/>
          <w:lang w:val="es-ES"/>
        </w:rPr>
        <w:t xml:space="preserve">con </w:t>
      </w:r>
      <w:r>
        <w:rPr>
          <w:rFonts w:eastAsia="MS Mincho"/>
          <w:color w:val="auto"/>
          <w:lang w:val="es-ES"/>
        </w:rPr>
        <w:t>el</w:t>
      </w:r>
      <w:r w:rsidRPr="00CD528C">
        <w:rPr>
          <w:rFonts w:eastAsia="MS Mincho"/>
          <w:color w:val="auto"/>
          <w:lang w:val="es-ES"/>
        </w:rPr>
        <w:t xml:space="preserve"> artículo 13 del Reglamento, la definición del valor referencial es una facultad de la Entidad, sin mayor restricción que la de contemplar la totalidad de los costos que inciden en el precio final de lo requerido, cuidando además que con ello no se dirija la contratación hacia determinado bien, marca, modelo o proveedor.</w:t>
      </w:r>
    </w:p>
    <w:p w:rsidR="00C7066E" w:rsidRPr="00B917C3" w:rsidRDefault="00C7066E" w:rsidP="00C7066E">
      <w:pPr>
        <w:spacing w:after="0" w:line="240" w:lineRule="auto"/>
        <w:jc w:val="both"/>
        <w:rPr>
          <w:rFonts w:ascii="Times New Roman" w:eastAsia="Times New Roman" w:hAnsi="Times New Roman" w:cs="Times New Roman"/>
          <w:noProof/>
          <w:sz w:val="24"/>
          <w:szCs w:val="24"/>
          <w:lang w:val="es-ES" w:eastAsia="es-PE"/>
        </w:rPr>
      </w:pPr>
    </w:p>
    <w:p w:rsidR="00C7066E" w:rsidRPr="001901F4" w:rsidRDefault="00C7066E" w:rsidP="00C7066E">
      <w:pPr>
        <w:widowControl w:val="0"/>
        <w:tabs>
          <w:tab w:val="left" w:pos="5103"/>
        </w:tabs>
        <w:spacing w:after="0" w:line="240" w:lineRule="auto"/>
        <w:jc w:val="both"/>
        <w:rPr>
          <w:rFonts w:ascii="Times New Roman" w:eastAsia="Times New Roman" w:hAnsi="Times New Roman" w:cs="Times New Roman"/>
          <w:sz w:val="24"/>
          <w:szCs w:val="24"/>
          <w:lang w:val="es-MX" w:eastAsia="es-MX"/>
        </w:rPr>
      </w:pPr>
      <w:r w:rsidRPr="001901F4">
        <w:rPr>
          <w:rFonts w:ascii="Times New Roman" w:eastAsia="Times New Roman" w:hAnsi="Times New Roman" w:cs="Times New Roman"/>
          <w:noProof/>
          <w:sz w:val="24"/>
          <w:szCs w:val="24"/>
          <w:lang w:eastAsia="es-PE"/>
        </w:rPr>
        <w:t xml:space="preserve">En ese sentido, </w:t>
      </w:r>
      <w:r w:rsidRPr="001901F4">
        <w:rPr>
          <w:rFonts w:ascii="Times New Roman" w:eastAsia="Times New Roman" w:hAnsi="Times New Roman" w:cs="Times New Roman"/>
          <w:sz w:val="24"/>
          <w:szCs w:val="24"/>
          <w:lang w:val="es-ES" w:eastAsia="es-MX"/>
        </w:rPr>
        <w:t xml:space="preserve">considerando que </w:t>
      </w:r>
      <w:r w:rsidRPr="001901F4">
        <w:rPr>
          <w:rFonts w:ascii="Times New Roman" w:eastAsia="Times New Roman" w:hAnsi="Times New Roman" w:cs="Times New Roman"/>
          <w:sz w:val="24"/>
          <w:szCs w:val="24"/>
          <w:lang w:val="es-MX" w:eastAsia="es-MX"/>
        </w:rPr>
        <w:t>la determinación de los requerimientos técnicos mínimos</w:t>
      </w:r>
      <w:r>
        <w:rPr>
          <w:rFonts w:ascii="Times New Roman" w:eastAsia="Times New Roman" w:hAnsi="Times New Roman" w:cs="Times New Roman"/>
          <w:sz w:val="24"/>
          <w:szCs w:val="24"/>
          <w:lang w:val="es-MX" w:eastAsia="es-MX"/>
        </w:rPr>
        <w:t xml:space="preserve"> y el valor referencial</w:t>
      </w:r>
      <w:r w:rsidRPr="001901F4">
        <w:rPr>
          <w:rFonts w:ascii="Times New Roman" w:eastAsia="Times New Roman" w:hAnsi="Times New Roman" w:cs="Times New Roman"/>
          <w:sz w:val="24"/>
          <w:szCs w:val="24"/>
          <w:lang w:val="es-MX" w:eastAsia="es-MX"/>
        </w:rPr>
        <w:t xml:space="preserve"> es</w:t>
      </w:r>
      <w:r w:rsidR="00737A1C">
        <w:rPr>
          <w:rFonts w:ascii="Times New Roman" w:eastAsia="Times New Roman" w:hAnsi="Times New Roman" w:cs="Times New Roman"/>
          <w:sz w:val="24"/>
          <w:szCs w:val="24"/>
          <w:lang w:val="es-MX" w:eastAsia="es-MX"/>
        </w:rPr>
        <w:t xml:space="preserve"> responsabilidad de la Entidad,</w:t>
      </w:r>
      <w:r>
        <w:rPr>
          <w:rFonts w:ascii="Times New Roman" w:eastAsia="Times New Roman" w:hAnsi="Times New Roman" w:cs="Times New Roman"/>
          <w:sz w:val="24"/>
          <w:szCs w:val="24"/>
          <w:lang w:val="es-MX" w:eastAsia="es-MX"/>
        </w:rPr>
        <w:t xml:space="preserve"> </w:t>
      </w:r>
      <w:r w:rsidRPr="001901F4">
        <w:rPr>
          <w:rFonts w:ascii="Times New Roman" w:eastAsia="Times New Roman" w:hAnsi="Times New Roman" w:cs="Times New Roman"/>
          <w:sz w:val="24"/>
          <w:szCs w:val="24"/>
          <w:lang w:val="es-MX" w:eastAsia="es-MX"/>
        </w:rPr>
        <w:t xml:space="preserve">y </w:t>
      </w:r>
      <w:r w:rsidR="003B2288">
        <w:rPr>
          <w:rFonts w:ascii="Times New Roman" w:eastAsia="Times New Roman" w:hAnsi="Times New Roman" w:cs="Times New Roman"/>
          <w:sz w:val="24"/>
          <w:szCs w:val="24"/>
          <w:lang w:val="es-MX" w:eastAsia="es-MX"/>
        </w:rPr>
        <w:t>que en el resumen ejecutivo ha declarado que existe pluralidad de proveedores en la capacidad de cumplir con su requerimiento</w:t>
      </w:r>
      <w:r w:rsidRPr="001901F4">
        <w:rPr>
          <w:rFonts w:ascii="Times New Roman" w:eastAsia="Times New Roman" w:hAnsi="Times New Roman" w:cs="Times New Roman"/>
          <w:sz w:val="24"/>
          <w:szCs w:val="24"/>
          <w:lang w:val="es-MX" w:eastAsia="es-MX"/>
        </w:rPr>
        <w:t xml:space="preserve">, este Organismo Supervisor ha decidido </w:t>
      </w:r>
      <w:r w:rsidRPr="001901F4">
        <w:rPr>
          <w:rFonts w:ascii="Times New Roman" w:eastAsia="Times New Roman" w:hAnsi="Times New Roman" w:cs="Times New Roman"/>
          <w:b/>
          <w:sz w:val="24"/>
          <w:szCs w:val="24"/>
          <w:lang w:val="es-MX" w:eastAsia="es-MX"/>
        </w:rPr>
        <w:t xml:space="preserve">NO ACOGER </w:t>
      </w:r>
      <w:r w:rsidRPr="001901F4">
        <w:rPr>
          <w:rFonts w:ascii="Times New Roman" w:eastAsia="Times New Roman" w:hAnsi="Times New Roman" w:cs="Times New Roman"/>
          <w:sz w:val="24"/>
          <w:szCs w:val="24"/>
          <w:lang w:val="es-MX" w:eastAsia="es-MX"/>
        </w:rPr>
        <w:t>la</w:t>
      </w:r>
      <w:r>
        <w:rPr>
          <w:rFonts w:ascii="Times New Roman" w:eastAsia="Times New Roman" w:hAnsi="Times New Roman" w:cs="Times New Roman"/>
          <w:sz w:val="24"/>
          <w:szCs w:val="24"/>
          <w:lang w:val="es-MX" w:eastAsia="es-MX"/>
        </w:rPr>
        <w:t>s</w:t>
      </w:r>
      <w:r w:rsidRPr="001901F4">
        <w:rPr>
          <w:rFonts w:ascii="Times New Roman" w:eastAsia="Times New Roman" w:hAnsi="Times New Roman" w:cs="Times New Roman"/>
          <w:sz w:val="24"/>
          <w:szCs w:val="24"/>
          <w:lang w:val="es-MX" w:eastAsia="es-MX"/>
        </w:rPr>
        <w:t xml:space="preserve"> observaci</w:t>
      </w:r>
      <w:r>
        <w:rPr>
          <w:rFonts w:ascii="Times New Roman" w:eastAsia="Times New Roman" w:hAnsi="Times New Roman" w:cs="Times New Roman"/>
          <w:sz w:val="24"/>
          <w:szCs w:val="24"/>
          <w:lang w:val="es-MX" w:eastAsia="es-MX"/>
        </w:rPr>
        <w:t>ones</w:t>
      </w:r>
      <w:r w:rsidRPr="001901F4">
        <w:rPr>
          <w:rFonts w:ascii="Times New Roman" w:eastAsia="Times New Roman" w:hAnsi="Times New Roman" w:cs="Times New Roman"/>
          <w:sz w:val="24"/>
          <w:szCs w:val="24"/>
          <w:lang w:val="es-MX" w:eastAsia="es-MX"/>
        </w:rPr>
        <w:t xml:space="preserve"> Nº </w:t>
      </w:r>
      <w:r w:rsidR="00C6162E">
        <w:rPr>
          <w:rFonts w:ascii="Times New Roman" w:eastAsia="Times New Roman" w:hAnsi="Times New Roman" w:cs="Times New Roman"/>
          <w:sz w:val="24"/>
          <w:szCs w:val="24"/>
          <w:lang w:val="es-MX" w:eastAsia="es-MX"/>
        </w:rPr>
        <w:t>1</w:t>
      </w:r>
      <w:r>
        <w:rPr>
          <w:rFonts w:ascii="Times New Roman" w:eastAsia="Times New Roman" w:hAnsi="Times New Roman" w:cs="Times New Roman"/>
          <w:sz w:val="24"/>
          <w:szCs w:val="24"/>
          <w:lang w:val="es-MX" w:eastAsia="es-MX"/>
        </w:rPr>
        <w:t xml:space="preserve">, Nº </w:t>
      </w:r>
      <w:r w:rsidR="00C6162E">
        <w:rPr>
          <w:rFonts w:ascii="Times New Roman" w:eastAsia="Times New Roman" w:hAnsi="Times New Roman" w:cs="Times New Roman"/>
          <w:sz w:val="24"/>
          <w:szCs w:val="24"/>
          <w:lang w:val="es-MX" w:eastAsia="es-MX"/>
        </w:rPr>
        <w:t xml:space="preserve">2 </w:t>
      </w:r>
      <w:r>
        <w:rPr>
          <w:rFonts w:ascii="Times New Roman" w:eastAsia="Times New Roman" w:hAnsi="Times New Roman" w:cs="Times New Roman"/>
          <w:sz w:val="24"/>
          <w:szCs w:val="24"/>
          <w:lang w:val="es-MX" w:eastAsia="es-MX"/>
        </w:rPr>
        <w:t>y Nº 10.</w:t>
      </w:r>
    </w:p>
    <w:p w:rsidR="00C7066E" w:rsidRPr="001901F4" w:rsidRDefault="00C7066E" w:rsidP="00C7066E">
      <w:pPr>
        <w:widowControl w:val="0"/>
        <w:tabs>
          <w:tab w:val="left" w:pos="5103"/>
        </w:tabs>
        <w:spacing w:after="0" w:line="240" w:lineRule="auto"/>
        <w:jc w:val="both"/>
        <w:rPr>
          <w:rFonts w:ascii="Times New Roman" w:eastAsia="Times New Roman" w:hAnsi="Times New Roman" w:cs="Times New Roman"/>
          <w:sz w:val="24"/>
          <w:szCs w:val="24"/>
          <w:lang w:val="es-MX" w:eastAsia="es-MX"/>
        </w:rPr>
      </w:pPr>
    </w:p>
    <w:p w:rsidR="00E95CE7" w:rsidRPr="00E95CE7" w:rsidRDefault="00C7066E" w:rsidP="00E95CE7">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val="es-ES" w:eastAsia="es-MX"/>
        </w:rPr>
        <w:t xml:space="preserve">Sin perjuicio de lo anterior, </w:t>
      </w:r>
      <w:r w:rsidR="00E95CE7" w:rsidRPr="00E95CE7">
        <w:rPr>
          <w:rFonts w:ascii="Times New Roman" w:eastAsia="Times New Roman" w:hAnsi="Times New Roman" w:cs="Times New Roman"/>
          <w:sz w:val="24"/>
          <w:szCs w:val="24"/>
          <w:lang w:val="x-none" w:eastAsia="es-MX"/>
        </w:rPr>
        <w:t>toda vez que conforme a lo dispuesto por la normativa en materia de contrataci</w:t>
      </w:r>
      <w:r w:rsidR="00E95CE7" w:rsidRPr="00E95CE7">
        <w:rPr>
          <w:rFonts w:ascii="Times New Roman" w:eastAsia="Times New Roman" w:hAnsi="Times New Roman" w:cs="Times New Roman"/>
          <w:sz w:val="24"/>
          <w:szCs w:val="24"/>
          <w:lang w:eastAsia="es-MX"/>
        </w:rPr>
        <w:t>ones</w:t>
      </w:r>
      <w:r w:rsidR="00E95CE7" w:rsidRPr="00E95CE7">
        <w:rPr>
          <w:rFonts w:ascii="Times New Roman" w:eastAsia="Times New Roman" w:hAnsi="Times New Roman" w:cs="Times New Roman"/>
          <w:sz w:val="24"/>
          <w:szCs w:val="24"/>
          <w:lang w:val="x-none" w:eastAsia="es-MX"/>
        </w:rPr>
        <w:t xml:space="preserve">, el valor referencial debe incluir todo aquello que incide directamente sobre su costo, </w:t>
      </w:r>
      <w:r w:rsidR="00E95CE7" w:rsidRPr="00E95CE7">
        <w:rPr>
          <w:rFonts w:ascii="Times New Roman" w:eastAsia="Times New Roman" w:hAnsi="Times New Roman" w:cs="Times New Roman"/>
          <w:b/>
          <w:sz w:val="24"/>
          <w:szCs w:val="24"/>
          <w:u w:val="single"/>
          <w:lang w:val="x-none" w:eastAsia="es-MX"/>
        </w:rPr>
        <w:t>deberá registrar</w:t>
      </w:r>
      <w:r w:rsidR="00E95CE7" w:rsidRPr="00E95CE7">
        <w:rPr>
          <w:rFonts w:ascii="Times New Roman" w:eastAsia="Times New Roman" w:hAnsi="Times New Roman" w:cs="Times New Roman"/>
          <w:b/>
          <w:sz w:val="24"/>
          <w:szCs w:val="24"/>
          <w:u w:val="single"/>
          <w:lang w:eastAsia="es-MX"/>
        </w:rPr>
        <w:t>se</w:t>
      </w:r>
      <w:r w:rsidR="00E95CE7" w:rsidRPr="00E95CE7">
        <w:rPr>
          <w:rFonts w:ascii="Times New Roman" w:eastAsia="Times New Roman" w:hAnsi="Times New Roman" w:cs="Times New Roman"/>
          <w:sz w:val="24"/>
          <w:szCs w:val="24"/>
          <w:lang w:val="x-none" w:eastAsia="es-MX"/>
        </w:rPr>
        <w:t xml:space="preserve"> en el S</w:t>
      </w:r>
      <w:r w:rsidR="00E95CE7" w:rsidRPr="00E95CE7">
        <w:rPr>
          <w:rFonts w:ascii="Times New Roman" w:eastAsia="Times New Roman" w:hAnsi="Times New Roman" w:cs="Times New Roman"/>
          <w:sz w:val="24"/>
          <w:szCs w:val="24"/>
          <w:lang w:eastAsia="es-MX"/>
        </w:rPr>
        <w:t>istema Electrónico de Contrataciones del Estado (S</w:t>
      </w:r>
      <w:r w:rsidR="00E95CE7" w:rsidRPr="00E95CE7">
        <w:rPr>
          <w:rFonts w:ascii="Times New Roman" w:eastAsia="Times New Roman" w:hAnsi="Times New Roman" w:cs="Times New Roman"/>
          <w:sz w:val="24"/>
          <w:szCs w:val="24"/>
          <w:lang w:val="x-none" w:eastAsia="es-MX"/>
        </w:rPr>
        <w:t>EACE</w:t>
      </w:r>
      <w:r w:rsidR="00E95CE7" w:rsidRPr="00E95CE7">
        <w:rPr>
          <w:rFonts w:ascii="Times New Roman" w:eastAsia="Times New Roman" w:hAnsi="Times New Roman" w:cs="Times New Roman"/>
          <w:sz w:val="24"/>
          <w:szCs w:val="24"/>
          <w:lang w:eastAsia="es-MX"/>
        </w:rPr>
        <w:t>)</w:t>
      </w:r>
      <w:r w:rsidR="00E95CE7" w:rsidRPr="00E95CE7">
        <w:rPr>
          <w:rFonts w:ascii="Times New Roman" w:eastAsia="Times New Roman" w:hAnsi="Times New Roman" w:cs="Times New Roman"/>
          <w:sz w:val="24"/>
          <w:szCs w:val="24"/>
          <w:lang w:val="x-none" w:eastAsia="es-MX"/>
        </w:rPr>
        <w:t xml:space="preserve"> junto a la integración de </w:t>
      </w:r>
      <w:r w:rsidR="00E95CE7" w:rsidRPr="00E95CE7">
        <w:rPr>
          <w:rFonts w:ascii="Times New Roman" w:eastAsia="Times New Roman" w:hAnsi="Times New Roman" w:cs="Times New Roman"/>
          <w:sz w:val="24"/>
          <w:szCs w:val="24"/>
          <w:lang w:eastAsia="es-MX"/>
        </w:rPr>
        <w:t xml:space="preserve">las </w:t>
      </w:r>
      <w:r w:rsidR="00E95CE7" w:rsidRPr="00E95CE7">
        <w:rPr>
          <w:rFonts w:ascii="Times New Roman" w:eastAsia="Times New Roman" w:hAnsi="Times New Roman" w:cs="Times New Roman"/>
          <w:sz w:val="24"/>
          <w:szCs w:val="24"/>
          <w:lang w:val="x-none" w:eastAsia="es-MX"/>
        </w:rPr>
        <w:t xml:space="preserve">Bases, </w:t>
      </w:r>
      <w:r w:rsidR="00E95CE7" w:rsidRPr="00E95CE7">
        <w:rPr>
          <w:rFonts w:ascii="Times New Roman" w:eastAsia="Times New Roman" w:hAnsi="Times New Roman" w:cs="Times New Roman"/>
          <w:sz w:val="24"/>
          <w:szCs w:val="24"/>
          <w:lang w:eastAsia="es-MX"/>
        </w:rPr>
        <w:t xml:space="preserve">el sustento en el cual se aprecie que </w:t>
      </w:r>
      <w:r w:rsidR="003B2288">
        <w:rPr>
          <w:rFonts w:ascii="Times New Roman" w:eastAsia="Times New Roman" w:hAnsi="Times New Roman" w:cs="Times New Roman"/>
          <w:sz w:val="24"/>
          <w:szCs w:val="24"/>
          <w:lang w:eastAsia="es-MX"/>
        </w:rPr>
        <w:t>el valor referencial contempla todos los costos que incidirán en el servicio.</w:t>
      </w:r>
      <w:r w:rsidR="00E95CE7" w:rsidRPr="00E95CE7">
        <w:rPr>
          <w:rFonts w:ascii="Times New Roman" w:eastAsia="Times New Roman" w:hAnsi="Times New Roman" w:cs="Times New Roman"/>
          <w:sz w:val="24"/>
          <w:szCs w:val="24"/>
          <w:lang w:eastAsia="es-MX"/>
        </w:rPr>
        <w:t xml:space="preserve"> </w:t>
      </w:r>
    </w:p>
    <w:p w:rsidR="00C7066E" w:rsidRDefault="00C7066E" w:rsidP="00C7066E">
      <w:pPr>
        <w:widowControl w:val="0"/>
        <w:spacing w:after="0" w:line="240" w:lineRule="auto"/>
        <w:jc w:val="both"/>
        <w:rPr>
          <w:rFonts w:ascii="Times New Roman" w:eastAsia="Times New Roman" w:hAnsi="Times New Roman" w:cs="Times New Roman"/>
          <w:sz w:val="24"/>
          <w:szCs w:val="24"/>
          <w:lang w:val="es-ES" w:eastAsia="es-MX"/>
        </w:rPr>
      </w:pPr>
    </w:p>
    <w:p w:rsidR="00737A1C" w:rsidRPr="00EB63D6" w:rsidRDefault="00A736CD" w:rsidP="00737A1C">
      <w:pPr>
        <w:widowControl w:val="0"/>
        <w:spacing w:after="0" w:line="240" w:lineRule="auto"/>
        <w:ind w:right="-1"/>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9504" behindDoc="0" locked="0" layoutInCell="1" allowOverlap="1" wp14:anchorId="1DD7EC7E" wp14:editId="7F986673">
            <wp:simplePos x="0" y="0"/>
            <wp:positionH relativeFrom="column">
              <wp:posOffset>-997537</wp:posOffset>
            </wp:positionH>
            <wp:positionV relativeFrom="paragraph">
              <wp:posOffset>904875</wp:posOffset>
            </wp:positionV>
            <wp:extent cx="971550" cy="35337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37A1C" w:rsidRPr="00EB63D6">
        <w:rPr>
          <w:rFonts w:ascii="Times New Roman" w:eastAsia="Times New Roman" w:hAnsi="Times New Roman" w:cs="Times New Roman"/>
          <w:sz w:val="24"/>
          <w:szCs w:val="24"/>
          <w:lang w:val="es-ES" w:eastAsia="es-MX"/>
        </w:rPr>
        <w:t xml:space="preserve">Cabe </w:t>
      </w:r>
      <w:r w:rsidR="009D5D8C">
        <w:rPr>
          <w:rFonts w:ascii="Times New Roman" w:eastAsia="Times New Roman" w:hAnsi="Times New Roman" w:cs="Times New Roman"/>
          <w:sz w:val="24"/>
          <w:szCs w:val="24"/>
          <w:lang w:val="es-ES" w:eastAsia="es-MX"/>
        </w:rPr>
        <w:t>señalar</w:t>
      </w:r>
      <w:r w:rsidR="00737A1C" w:rsidRPr="00EB63D6">
        <w:rPr>
          <w:rFonts w:ascii="Times New Roman" w:eastAsia="Times New Roman" w:hAnsi="Times New Roman" w:cs="Times New Roman"/>
          <w:sz w:val="24"/>
          <w:szCs w:val="24"/>
          <w:lang w:val="es-ES" w:eastAsia="es-MX"/>
        </w:rPr>
        <w:t xml:space="preserve"> que, en la medida que el estudio de mercado, así como los informes que sustentan lo requerido por este Organismo Supervisor son responsabilidad de la Entidad, su contenido, de ser el caso, se encontrará sujeto a rendición de cuentas por parte de las dependencias competentes, ante el Titular de la Entidad, la Contraloría General de la República, Ministerio Público, Poder Judicial y/o ante otros organismos competentes, no siendo este Organismo Supervisor perito técnico en aspectos específicos de las características técnicas y/o de mercado.</w:t>
      </w:r>
    </w:p>
    <w:p w:rsidR="00737A1C" w:rsidRPr="00EB63D6" w:rsidRDefault="00737A1C" w:rsidP="00737A1C">
      <w:pPr>
        <w:widowControl w:val="0"/>
        <w:spacing w:after="0" w:line="240" w:lineRule="auto"/>
        <w:ind w:right="-1"/>
        <w:jc w:val="both"/>
        <w:rPr>
          <w:rFonts w:ascii="Times New Roman" w:eastAsia="Times New Roman" w:hAnsi="Times New Roman" w:cs="Times New Roman"/>
          <w:sz w:val="24"/>
          <w:szCs w:val="24"/>
          <w:lang w:val="es-ES" w:eastAsia="es-MX"/>
        </w:rPr>
      </w:pPr>
    </w:p>
    <w:p w:rsidR="00737A1C" w:rsidRPr="00EB63D6" w:rsidRDefault="00737A1C" w:rsidP="00737A1C">
      <w:pPr>
        <w:widowControl w:val="0"/>
        <w:tabs>
          <w:tab w:val="left" w:pos="284"/>
        </w:tabs>
        <w:spacing w:after="0" w:line="240" w:lineRule="auto"/>
        <w:ind w:right="-2"/>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Asimismo</w:t>
      </w:r>
      <w:r w:rsidRPr="00EB63D6">
        <w:rPr>
          <w:rFonts w:ascii="Times New Roman" w:eastAsia="Times New Roman" w:hAnsi="Times New Roman" w:cs="Times New Roman"/>
          <w:sz w:val="24"/>
          <w:szCs w:val="24"/>
          <w:lang w:val="es-ES" w:eastAsia="es-MX"/>
        </w:rPr>
        <w:t>, se le recuerda a la Entidad que es su responsabilidad hacer uso eficiente de sus recursos y aplicar de forma idónea las disposiciones normativas conforme a criterios de razonabilidad y congruencia a efectos de no ver perjudicada la ejecución del contrato.</w:t>
      </w:r>
    </w:p>
    <w:p w:rsidR="00737A1C" w:rsidRDefault="00737A1C" w:rsidP="00C7066E">
      <w:pPr>
        <w:widowControl w:val="0"/>
        <w:spacing w:after="0" w:line="240" w:lineRule="auto"/>
        <w:jc w:val="both"/>
        <w:rPr>
          <w:rFonts w:ascii="Times New Roman" w:eastAsia="Times New Roman" w:hAnsi="Times New Roman" w:cs="Times New Roman"/>
          <w:sz w:val="24"/>
          <w:szCs w:val="24"/>
          <w:lang w:val="es-ES" w:eastAsia="es-MX"/>
        </w:rPr>
      </w:pPr>
    </w:p>
    <w:p w:rsidR="00C7066E" w:rsidRDefault="00C7066E" w:rsidP="00C7066E">
      <w:pPr>
        <w:widowControl w:val="0"/>
        <w:spacing w:after="0" w:line="240" w:lineRule="auto"/>
        <w:jc w:val="both"/>
        <w:rPr>
          <w:rFonts w:ascii="Times New Roman" w:eastAsia="MS Mincho" w:hAnsi="Times New Roman" w:cs="Times New Roman"/>
          <w:sz w:val="24"/>
          <w:szCs w:val="24"/>
          <w:lang w:eastAsia="es-PE"/>
        </w:rPr>
      </w:pPr>
      <w:r>
        <w:rPr>
          <w:rFonts w:ascii="Times New Roman" w:eastAsia="Times New Roman" w:hAnsi="Times New Roman" w:cs="Times New Roman"/>
          <w:sz w:val="24"/>
          <w:szCs w:val="24"/>
          <w:lang w:val="es-ES" w:eastAsia="es-MX"/>
        </w:rPr>
        <w:t xml:space="preserve">De otro lado, </w:t>
      </w:r>
      <w:r w:rsidRPr="005B4A22">
        <w:rPr>
          <w:rFonts w:ascii="Times New Roman" w:eastAsia="MS Mincho" w:hAnsi="Times New Roman" w:cs="Times New Roman"/>
          <w:sz w:val="24"/>
          <w:szCs w:val="24"/>
          <w:lang w:eastAsia="es-PE"/>
        </w:rPr>
        <w:t xml:space="preserve">lo </w:t>
      </w:r>
      <w:r w:rsidR="001F2E18">
        <w:rPr>
          <w:rFonts w:ascii="Times New Roman" w:eastAsia="MS Mincho" w:hAnsi="Times New Roman" w:cs="Times New Roman"/>
          <w:sz w:val="24"/>
          <w:szCs w:val="24"/>
          <w:lang w:eastAsia="es-PE"/>
        </w:rPr>
        <w:t>señalado</w:t>
      </w:r>
      <w:r w:rsidRPr="005B4A22">
        <w:rPr>
          <w:rFonts w:ascii="Times New Roman" w:eastAsia="MS Mincho" w:hAnsi="Times New Roman" w:cs="Times New Roman"/>
          <w:sz w:val="24"/>
          <w:szCs w:val="24"/>
          <w:lang w:eastAsia="es-PE"/>
        </w:rPr>
        <w:t xml:space="preserve"> por la Entidad en los cuadros comparativos </w:t>
      </w:r>
      <w:r w:rsidR="001F2E18">
        <w:rPr>
          <w:rFonts w:ascii="Times New Roman" w:eastAsia="MS Mincho" w:hAnsi="Times New Roman" w:cs="Times New Roman"/>
          <w:sz w:val="24"/>
          <w:szCs w:val="24"/>
          <w:lang w:eastAsia="es-PE"/>
        </w:rPr>
        <w:t>resulta</w:t>
      </w:r>
      <w:r w:rsidRPr="005B4A22">
        <w:rPr>
          <w:rFonts w:ascii="Times New Roman" w:eastAsia="MS Mincho" w:hAnsi="Times New Roman" w:cs="Times New Roman"/>
          <w:sz w:val="24"/>
          <w:szCs w:val="24"/>
          <w:lang w:eastAsia="es-PE"/>
        </w:rPr>
        <w:t xml:space="preserve"> contradictorio </w:t>
      </w:r>
      <w:r w:rsidR="001F2E18">
        <w:rPr>
          <w:rFonts w:ascii="Times New Roman" w:eastAsia="MS Mincho" w:hAnsi="Times New Roman" w:cs="Times New Roman"/>
          <w:sz w:val="24"/>
          <w:szCs w:val="24"/>
          <w:lang w:eastAsia="es-PE"/>
        </w:rPr>
        <w:t xml:space="preserve">con </w:t>
      </w:r>
      <w:r w:rsidRPr="005B4A22">
        <w:rPr>
          <w:rFonts w:ascii="Times New Roman" w:eastAsia="MS Mincho" w:hAnsi="Times New Roman" w:cs="Times New Roman"/>
          <w:sz w:val="24"/>
          <w:szCs w:val="24"/>
          <w:lang w:eastAsia="es-PE"/>
        </w:rPr>
        <w:t>lo declarado en el numeral 4.2 del Resumen Ejecutivo</w:t>
      </w:r>
      <w:r w:rsidR="001F2E18">
        <w:rPr>
          <w:rFonts w:ascii="Times New Roman" w:eastAsia="MS Mincho" w:hAnsi="Times New Roman" w:cs="Times New Roman"/>
          <w:sz w:val="24"/>
          <w:szCs w:val="24"/>
          <w:lang w:eastAsia="es-PE"/>
        </w:rPr>
        <w:t>, pues en el referido cuadro no se evidencia la pluralidad de proveedores declarada por la Entidad</w:t>
      </w:r>
      <w:r w:rsidRPr="005B4A22">
        <w:rPr>
          <w:rFonts w:ascii="Times New Roman" w:eastAsia="MS Mincho" w:hAnsi="Times New Roman" w:cs="Times New Roman"/>
          <w:sz w:val="24"/>
          <w:szCs w:val="24"/>
          <w:lang w:eastAsia="es-PE"/>
        </w:rPr>
        <w:t xml:space="preserve">. En ese sentido, con ocasión de la integración de las Bases, </w:t>
      </w:r>
      <w:r w:rsidRPr="005B4A22">
        <w:rPr>
          <w:rFonts w:ascii="Times New Roman" w:eastAsia="MS Mincho" w:hAnsi="Times New Roman" w:cs="Times New Roman"/>
          <w:b/>
          <w:sz w:val="24"/>
          <w:szCs w:val="24"/>
          <w:u w:val="single"/>
          <w:lang w:eastAsia="es-PE"/>
        </w:rPr>
        <w:t xml:space="preserve">deberá </w:t>
      </w:r>
      <w:r w:rsidR="001F2E18">
        <w:rPr>
          <w:rFonts w:ascii="Times New Roman" w:eastAsia="MS Mincho" w:hAnsi="Times New Roman" w:cs="Times New Roman"/>
          <w:b/>
          <w:sz w:val="24"/>
          <w:szCs w:val="24"/>
          <w:u w:val="single"/>
          <w:lang w:eastAsia="es-PE"/>
        </w:rPr>
        <w:t>adecuarse el cuadro comparativo, a efectos de que se verifique la información declarada en el Resumen Ejecutivo</w:t>
      </w:r>
      <w:r w:rsidRPr="005B4A22">
        <w:rPr>
          <w:rFonts w:ascii="Times New Roman" w:eastAsia="Times New Roman" w:hAnsi="Times New Roman" w:cs="Times New Roman"/>
          <w:color w:val="000000"/>
          <w:sz w:val="24"/>
          <w:szCs w:val="24"/>
          <w:lang w:eastAsia="es-PE"/>
        </w:rPr>
        <w:t>.</w:t>
      </w:r>
    </w:p>
    <w:p w:rsidR="006A7C34" w:rsidRDefault="006A7C34" w:rsidP="00737A1C">
      <w:pPr>
        <w:widowControl w:val="0"/>
        <w:spacing w:after="0" w:line="240" w:lineRule="auto"/>
        <w:jc w:val="both"/>
        <w:rPr>
          <w:rFonts w:ascii="Times New Roman" w:eastAsia="Times New Roman" w:hAnsi="Times New Roman" w:cs="Times New Roman"/>
          <w:b/>
          <w:sz w:val="24"/>
          <w:szCs w:val="24"/>
          <w:lang w:val="es-ES" w:eastAsia="es-MX"/>
        </w:rPr>
      </w:pPr>
    </w:p>
    <w:p w:rsidR="00425A15" w:rsidRPr="008B4D44" w:rsidRDefault="00425A15" w:rsidP="0015071D">
      <w:pPr>
        <w:widowControl w:val="0"/>
        <w:spacing w:after="0" w:line="240" w:lineRule="auto"/>
        <w:ind w:left="4950" w:hanging="4950"/>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ón</w:t>
      </w:r>
      <w:r w:rsidRPr="008B4D44">
        <w:rPr>
          <w:rFonts w:ascii="Times New Roman" w:eastAsia="Times New Roman" w:hAnsi="Times New Roman" w:cs="Times New Roman"/>
          <w:b/>
          <w:sz w:val="24"/>
          <w:szCs w:val="24"/>
          <w:lang w:val="es-ES" w:eastAsia="es-MX"/>
        </w:rPr>
        <w:t xml:space="preserve"> Nº </w:t>
      </w:r>
      <w:r>
        <w:rPr>
          <w:rFonts w:ascii="Times New Roman" w:eastAsia="Times New Roman" w:hAnsi="Times New Roman" w:cs="Times New Roman"/>
          <w:b/>
          <w:sz w:val="24"/>
          <w:szCs w:val="24"/>
          <w:lang w:val="es-ES" w:eastAsia="es-MX"/>
        </w:rPr>
        <w:t>2</w:t>
      </w:r>
      <w:r w:rsidR="0015071D">
        <w:rPr>
          <w:rFonts w:ascii="Times New Roman" w:eastAsia="Times New Roman" w:hAnsi="Times New Roman" w:cs="Times New Roman"/>
          <w:b/>
          <w:sz w:val="24"/>
          <w:szCs w:val="24"/>
          <w:lang w:val="es-ES" w:eastAsia="es-MX"/>
        </w:rPr>
        <w:t xml:space="preserve">                    </w:t>
      </w:r>
      <w:r w:rsidRPr="008B4D44">
        <w:rPr>
          <w:rFonts w:ascii="Times New Roman" w:eastAsia="Times New Roman" w:hAnsi="Times New Roman" w:cs="Times New Roman"/>
          <w:b/>
          <w:sz w:val="24"/>
          <w:szCs w:val="24"/>
          <w:lang w:val="es-ES" w:eastAsia="es-MX"/>
        </w:rPr>
        <w:t xml:space="preserve">Contra </w:t>
      </w:r>
      <w:r w:rsidR="0015071D">
        <w:rPr>
          <w:rFonts w:ascii="Times New Roman" w:eastAsia="Times New Roman" w:hAnsi="Times New Roman" w:cs="Times New Roman"/>
          <w:b/>
          <w:sz w:val="24"/>
          <w:szCs w:val="24"/>
          <w:lang w:val="es-ES" w:eastAsia="es-MX"/>
        </w:rPr>
        <w:t>el aumento de la bolsa de minutos contratada</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425A15" w:rsidRDefault="00975250"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w:t>
      </w:r>
      <w:r w:rsidR="00425A15">
        <w:rPr>
          <w:rFonts w:ascii="Times New Roman" w:eastAsia="Times New Roman" w:hAnsi="Times New Roman" w:cs="Times New Roman"/>
          <w:sz w:val="24"/>
          <w:szCs w:val="24"/>
          <w:lang w:val="es-ES" w:eastAsia="es-MX"/>
        </w:rPr>
        <w:t xml:space="preserve"> participante señala q</w:t>
      </w:r>
      <w:r w:rsidR="00562703">
        <w:rPr>
          <w:rFonts w:ascii="Times New Roman" w:eastAsia="Times New Roman" w:hAnsi="Times New Roman" w:cs="Times New Roman"/>
          <w:sz w:val="24"/>
          <w:szCs w:val="24"/>
          <w:lang w:val="es-ES" w:eastAsia="es-MX"/>
        </w:rPr>
        <w:t xml:space="preserve">ue resultaría poco razonable y </w:t>
      </w:r>
      <w:r w:rsidR="00425A15">
        <w:rPr>
          <w:rFonts w:ascii="Times New Roman" w:eastAsia="Times New Roman" w:hAnsi="Times New Roman" w:cs="Times New Roman"/>
          <w:sz w:val="24"/>
          <w:szCs w:val="24"/>
          <w:lang w:val="es-ES" w:eastAsia="es-MX"/>
        </w:rPr>
        <w:t xml:space="preserve">desproporcionado requerir que el operador deba considerar un aumento sobre la bolsa de minutos, luego de realizar un análisis del consumo de las líneas celulares contratadas, el cual podrá efectuarse antes de cada fin </w:t>
      </w:r>
      <w:r w:rsidR="00425A15" w:rsidRPr="001D4B12">
        <w:rPr>
          <w:rFonts w:ascii="Times New Roman" w:eastAsia="Times New Roman" w:hAnsi="Times New Roman" w:cs="Times New Roman"/>
          <w:sz w:val="24"/>
          <w:szCs w:val="24"/>
          <w:lang w:val="es-ES" w:eastAsia="es-MX"/>
        </w:rPr>
        <w:t xml:space="preserve">de ciclo de facturación y cuyo costo será asumido por la Entidad, pues ello </w:t>
      </w:r>
      <w:r w:rsidR="00425A15" w:rsidRPr="001D4B12">
        <w:rPr>
          <w:rFonts w:ascii="Times New Roman" w:eastAsia="Times New Roman" w:hAnsi="Times New Roman" w:cs="Times New Roman"/>
          <w:sz w:val="24"/>
          <w:szCs w:val="24"/>
          <w:lang w:val="es-ES" w:eastAsia="es-MX"/>
        </w:rPr>
        <w:lastRenderedPageBreak/>
        <w:t>implicaría que cada mes que ésta desee incrementar la bolsa de minutos asignada, se deberá firmar una adenda por dichas prestaciones adicionales y, por otro lado, el contratista deberá aumentar en cada una de dichas oportunidades las garantías que hubiere otorgado, conforme lo previsto en el artículo 174 del Reglamento. En ese sentido, solicita que se precise que una vez que se realice el análisis de consumo de las líneas celulares contratadas, la Entidad definirá en una única oportunidad  la cantidad de minutos adicionales que deberá adicionarse a la bolsa de minutos contratada, a efectos de que solo se firme una adenda</w:t>
      </w:r>
      <w:r w:rsidR="00425A15">
        <w:rPr>
          <w:rFonts w:ascii="Times New Roman" w:eastAsia="Times New Roman" w:hAnsi="Times New Roman" w:cs="Times New Roman"/>
          <w:sz w:val="24"/>
          <w:szCs w:val="24"/>
          <w:lang w:val="es-ES" w:eastAsia="es-MX"/>
        </w:rPr>
        <w:t xml:space="preserve"> por prestaciones adicionales y la correspondiente modificación de las garantías otorgadas. </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425A15" w:rsidRPr="008B4D44" w:rsidRDefault="00425A15"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b/>
          <w:sz w:val="24"/>
          <w:szCs w:val="24"/>
          <w:lang w:val="es-ES" w:eastAsia="es-MX"/>
        </w:rPr>
        <w:t>Pronunciamiento</w:t>
      </w:r>
    </w:p>
    <w:p w:rsidR="00425A15" w:rsidRDefault="00425A15"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425A15" w:rsidRPr="000D413C" w:rsidRDefault="00425A15" w:rsidP="00425A15">
      <w:pPr>
        <w:spacing w:after="0" w:line="240" w:lineRule="auto"/>
        <w:jc w:val="both"/>
        <w:rPr>
          <w:rFonts w:ascii="Times New Roman" w:eastAsia="Times New Roman" w:hAnsi="Times New Roman"/>
          <w:sz w:val="24"/>
          <w:szCs w:val="24"/>
          <w:lang w:val="es-ES" w:eastAsia="es-MX"/>
        </w:rPr>
      </w:pPr>
      <w:r w:rsidRPr="000D413C">
        <w:rPr>
          <w:rFonts w:ascii="Times New Roman" w:eastAsia="Times New Roman" w:hAnsi="Times New Roman"/>
          <w:sz w:val="24"/>
          <w:szCs w:val="24"/>
          <w:lang w:val="es-ES" w:eastAsia="es-MX"/>
        </w:rPr>
        <w:t xml:space="preserve">De la revisión del Capítulo III de la Sección Específica de las Bases se </w:t>
      </w:r>
      <w:r>
        <w:rPr>
          <w:rFonts w:ascii="Times New Roman" w:eastAsia="Times New Roman" w:hAnsi="Times New Roman"/>
          <w:sz w:val="24"/>
          <w:szCs w:val="24"/>
          <w:lang w:val="es-ES" w:eastAsia="es-MX"/>
        </w:rPr>
        <w:t xml:space="preserve">aprecia el siguiente </w:t>
      </w:r>
      <w:r w:rsidR="00562703">
        <w:rPr>
          <w:rFonts w:ascii="Times New Roman" w:eastAsia="Times New Roman" w:hAnsi="Times New Roman"/>
          <w:sz w:val="24"/>
          <w:szCs w:val="24"/>
          <w:lang w:val="es-ES" w:eastAsia="es-MX"/>
        </w:rPr>
        <w:t>requerimiento</w:t>
      </w:r>
      <w:r w:rsidRPr="000D413C">
        <w:rPr>
          <w:rFonts w:ascii="Times New Roman" w:eastAsia="Times New Roman" w:hAnsi="Times New Roman"/>
          <w:sz w:val="24"/>
          <w:szCs w:val="24"/>
          <w:lang w:val="es-ES" w:eastAsia="es-MX"/>
        </w:rPr>
        <w:t xml:space="preserve">: </w:t>
      </w:r>
    </w:p>
    <w:p w:rsidR="00425A15" w:rsidRDefault="00425A15" w:rsidP="00425A15">
      <w:pPr>
        <w:widowControl w:val="0"/>
        <w:spacing w:after="0" w:line="240" w:lineRule="auto"/>
        <w:jc w:val="both"/>
        <w:rPr>
          <w:rFonts w:ascii="Times New Roman" w:eastAsia="Times New Roman" w:hAnsi="Times New Roman" w:cs="Times New Roman"/>
          <w:b/>
          <w:sz w:val="24"/>
          <w:szCs w:val="24"/>
          <w:lang w:val="es-ES" w:eastAsia="es-MX"/>
        </w:rPr>
      </w:pPr>
    </w:p>
    <w:p w:rsidR="00425A15" w:rsidRPr="004E7E0D" w:rsidRDefault="00425A15" w:rsidP="00425A15">
      <w:pPr>
        <w:pStyle w:val="Prrafodelista"/>
        <w:widowControl w:val="0"/>
        <w:numPr>
          <w:ilvl w:val="0"/>
          <w:numId w:val="6"/>
        </w:num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Adicionalmente el operador deberá considerar sobre la bolsa de minutos un aumento, una vez que se tenga un análisis de consumo de las líneas celulares contratadas. Este cambio podrá efectuarse antes de cada fin de ciclo de facturación del operador que se le otorgue la Buena Po, asimismo este será asumido por la Entidad. </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3B2288" w:rsidRPr="005F3229" w:rsidRDefault="003B2288" w:rsidP="003B2288">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5F3229">
        <w:rPr>
          <w:rFonts w:ascii="Times New Roman" w:eastAsia="Times New Roman" w:hAnsi="Times New Roman" w:cs="Times New Roman"/>
          <w:sz w:val="24"/>
          <w:szCs w:val="24"/>
          <w:lang w:val="es-ES" w:eastAsia="es-MX"/>
        </w:rPr>
        <w:t>En el pliego de absolución de observaciones, el Comité Especial señaló lo siguiente:</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3B2288" w:rsidRDefault="003B2288" w:rsidP="003B2288">
      <w:pPr>
        <w:widowControl w:val="0"/>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“Durante el tiempo del servicio (24 meses) puede existir la necesidad de la Institución de aumentar la bolsa de minutos en más de una oportunidad; por lo que, no se acoge la observación. Es un requerimiento razonable</w:t>
      </w:r>
      <w:r w:rsidR="00562703">
        <w:rPr>
          <w:rFonts w:ascii="Times New Roman" w:eastAsia="Times New Roman" w:hAnsi="Times New Roman" w:cs="Times New Roman"/>
          <w:i/>
          <w:sz w:val="24"/>
          <w:szCs w:val="24"/>
          <w:lang w:val="es-ES" w:eastAsia="es-MX"/>
        </w:rPr>
        <w:t>”</w:t>
      </w:r>
      <w:r>
        <w:rPr>
          <w:rFonts w:ascii="Times New Roman" w:eastAsia="Times New Roman" w:hAnsi="Times New Roman" w:cs="Times New Roman"/>
          <w:i/>
          <w:sz w:val="24"/>
          <w:szCs w:val="24"/>
          <w:lang w:val="es-ES" w:eastAsia="es-MX"/>
        </w:rPr>
        <w:t xml:space="preserve">. </w:t>
      </w:r>
    </w:p>
    <w:p w:rsidR="00425A15" w:rsidRDefault="00A736CD"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7456" behindDoc="0" locked="0" layoutInCell="1" allowOverlap="1" wp14:anchorId="7A0423A8" wp14:editId="0BD8E6B6">
            <wp:simplePos x="0" y="0"/>
            <wp:positionH relativeFrom="column">
              <wp:posOffset>-975156</wp:posOffset>
            </wp:positionH>
            <wp:positionV relativeFrom="paragraph">
              <wp:posOffset>133985</wp:posOffset>
            </wp:positionV>
            <wp:extent cx="971550" cy="353377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1F07" w:rsidRPr="00891F07" w:rsidRDefault="00891F07" w:rsidP="00891F07">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Sobre el particular, el artículo 174 del Reglamento establece que para alcanzar la finalidad del contrato y mediante resolución previa, el Titular de la Entidad podrá disponer la ejecución de prestaciones adicionales hasta por el límite del veinticinco por ciento (25%) del monto del contrato original, para lo cual deberá contar con la asignación presupuestal necesaria, siendo que el contratista deberá aumentar de forma proporcional las garantías que hubiere otorgado. </w:t>
      </w:r>
    </w:p>
    <w:p w:rsidR="00891F07" w:rsidRDefault="00891F07"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562703" w:rsidRPr="00562703" w:rsidRDefault="00891F07"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Por su parte, </w:t>
      </w:r>
      <w:r w:rsidR="00562703" w:rsidRPr="00562703">
        <w:rPr>
          <w:rFonts w:ascii="Times New Roman" w:eastAsia="Times New Roman" w:hAnsi="Times New Roman" w:cs="Times New Roman"/>
          <w:sz w:val="24"/>
          <w:szCs w:val="24"/>
          <w:lang w:val="es-ES" w:eastAsia="es-ES"/>
        </w:rPr>
        <w:t xml:space="preserve">del numeral 1.6 de la Sección Específica de las Bases se advierte que el sistema de contratación establecido para la presente contratación es el de suma alzada. </w:t>
      </w: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r w:rsidRPr="00562703">
        <w:rPr>
          <w:rFonts w:ascii="Times New Roman" w:eastAsia="Times New Roman" w:hAnsi="Times New Roman" w:cs="Times New Roman"/>
          <w:sz w:val="24"/>
          <w:szCs w:val="24"/>
          <w:lang w:val="es-ES" w:eastAsia="es-ES"/>
        </w:rPr>
        <w:t>Con relación a ello, de acuerdo a lo dispuesto en el artículo 40 del Reglamento, los sistemas de contratación pueden ser a suma alzada, a precios unitarios, tarifas o porcentajes, y el esquema mixto. Adicionalmente, en el mismo artículo se dispone que el si</w:t>
      </w:r>
      <w:r w:rsidR="00A26E3B">
        <w:rPr>
          <w:rFonts w:ascii="Times New Roman" w:eastAsia="Times New Roman" w:hAnsi="Times New Roman" w:cs="Times New Roman"/>
          <w:sz w:val="24"/>
          <w:szCs w:val="24"/>
          <w:lang w:val="es-ES" w:eastAsia="es-ES"/>
        </w:rPr>
        <w:t xml:space="preserve">stema de suma alzada solo será </w:t>
      </w:r>
      <w:r w:rsidRPr="00562703">
        <w:rPr>
          <w:rFonts w:ascii="Times New Roman" w:eastAsia="Times New Roman" w:hAnsi="Times New Roman" w:cs="Times New Roman"/>
          <w:sz w:val="24"/>
          <w:szCs w:val="24"/>
          <w:lang w:val="es-ES" w:eastAsia="es-ES"/>
        </w:rPr>
        <w:t>aplicable cuando las cantidades,  magnitudes y calidades de la prestación estén totalmente definidas en las especificaciones técnicas, en los términos de referencia; mientras que el sistema de precios unitarios se empleará cuando la naturaleza de la prestación no permita conocer con exactitud o precisión las cantidades o magnitudes requeridas, en cuyo caso la valorización de tales prestaciones se efectuará en función de su ejecución real dentro de determinado plazo.</w:t>
      </w: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bCs/>
          <w:sz w:val="24"/>
          <w:szCs w:val="24"/>
          <w:lang w:eastAsia="es-ES"/>
        </w:rPr>
      </w:pPr>
      <w:r w:rsidRPr="00562703">
        <w:rPr>
          <w:rFonts w:ascii="Times New Roman" w:eastAsia="Times New Roman" w:hAnsi="Times New Roman" w:cs="Times New Roman"/>
          <w:sz w:val="24"/>
          <w:szCs w:val="24"/>
          <w:lang w:val="es-ES" w:eastAsia="es-ES"/>
        </w:rPr>
        <w:lastRenderedPageBreak/>
        <w:t xml:space="preserve">En ese sentido, considerando que el presente proceso ha sido convocado bajo el sistema a suma alzada, lo que implica que las </w:t>
      </w:r>
      <w:r w:rsidRPr="00562703">
        <w:rPr>
          <w:rFonts w:ascii="Times New Roman" w:eastAsia="Times New Roman" w:hAnsi="Times New Roman" w:cs="Times New Roman"/>
          <w:sz w:val="24"/>
          <w:szCs w:val="24"/>
          <w:u w:val="single"/>
          <w:lang w:val="es-ES" w:eastAsia="es-ES"/>
        </w:rPr>
        <w:t>cantidades</w:t>
      </w:r>
      <w:r w:rsidRPr="00562703">
        <w:rPr>
          <w:rFonts w:ascii="Times New Roman" w:eastAsia="Times New Roman" w:hAnsi="Times New Roman" w:cs="Times New Roman"/>
          <w:sz w:val="24"/>
          <w:szCs w:val="24"/>
          <w:lang w:val="es-ES" w:eastAsia="es-ES"/>
        </w:rPr>
        <w:t xml:space="preserve">, magnitudes y calidades de la prestación están totalmente definidas en las especificaciones técnicas, todo requerimiento adicional debe tratarse como una prestación adicional, </w:t>
      </w:r>
      <w:r w:rsidR="00A26E3B">
        <w:rPr>
          <w:rFonts w:ascii="Times New Roman" w:eastAsia="Times New Roman" w:hAnsi="Times New Roman" w:cs="Times New Roman"/>
          <w:sz w:val="24"/>
          <w:szCs w:val="24"/>
          <w:lang w:val="es-ES" w:eastAsia="es-ES"/>
        </w:rPr>
        <w:t xml:space="preserve">para </w:t>
      </w:r>
      <w:r>
        <w:rPr>
          <w:rFonts w:ascii="Times New Roman" w:eastAsia="Times New Roman" w:hAnsi="Times New Roman" w:cs="Times New Roman"/>
          <w:sz w:val="24"/>
          <w:szCs w:val="24"/>
          <w:lang w:val="es-ES" w:eastAsia="es-ES"/>
        </w:rPr>
        <w:t>l</w:t>
      </w:r>
      <w:r w:rsidR="00A26E3B">
        <w:rPr>
          <w:rFonts w:ascii="Times New Roman" w:eastAsia="Times New Roman" w:hAnsi="Times New Roman" w:cs="Times New Roman"/>
          <w:sz w:val="24"/>
          <w:szCs w:val="24"/>
          <w:lang w:val="es-ES" w:eastAsia="es-ES"/>
        </w:rPr>
        <w:t>o</w:t>
      </w:r>
      <w:r w:rsidRPr="00562703">
        <w:rPr>
          <w:rFonts w:ascii="Times New Roman" w:eastAsia="Times New Roman" w:hAnsi="Times New Roman" w:cs="Times New Roman"/>
          <w:sz w:val="24"/>
          <w:szCs w:val="24"/>
          <w:lang w:val="es-ES" w:eastAsia="es-ES"/>
        </w:rPr>
        <w:t xml:space="preserve"> cual deberá suscribirse la adenda respectiva, siempre y cuando </w:t>
      </w:r>
      <w:r w:rsidRPr="00562703">
        <w:rPr>
          <w:rFonts w:ascii="Times New Roman" w:eastAsia="Times New Roman" w:hAnsi="Times New Roman" w:cs="Times New Roman"/>
          <w:bCs/>
          <w:sz w:val="24"/>
          <w:szCs w:val="24"/>
          <w:lang w:eastAsia="es-ES"/>
        </w:rPr>
        <w:t xml:space="preserve">dichas prestaciones adicionales sean necesarias para alcanzar la finalidad del contrato y se cuente con la asignación presupuestal necesaria. </w:t>
      </w: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bCs/>
          <w:sz w:val="24"/>
          <w:szCs w:val="24"/>
          <w:lang w:eastAsia="es-ES"/>
        </w:rPr>
      </w:pPr>
    </w:p>
    <w:p w:rsidR="00562703" w:rsidRPr="00891F07" w:rsidRDefault="00891F07" w:rsidP="00562703">
      <w:pPr>
        <w:autoSpaceDE w:val="0"/>
        <w:autoSpaceDN w:val="0"/>
        <w:adjustRightInd w:val="0"/>
        <w:spacing w:after="0" w:line="240" w:lineRule="auto"/>
        <w:jc w:val="both"/>
        <w:rPr>
          <w:rFonts w:ascii="Times New Roman" w:eastAsia="Times New Roman" w:hAnsi="Times New Roman" w:cs="Times New Roman"/>
          <w:bCs/>
          <w:sz w:val="24"/>
          <w:szCs w:val="24"/>
          <w:lang w:eastAsia="es-ES"/>
        </w:rPr>
      </w:pPr>
      <w:r>
        <w:rPr>
          <w:rFonts w:ascii="Times New Roman" w:eastAsia="Times New Roman" w:hAnsi="Times New Roman" w:cs="Times New Roman"/>
          <w:bCs/>
          <w:sz w:val="24"/>
          <w:szCs w:val="24"/>
          <w:lang w:eastAsia="es-ES"/>
        </w:rPr>
        <w:t xml:space="preserve">Ahora bien, considerando </w:t>
      </w:r>
      <w:r w:rsidR="001F2E18">
        <w:rPr>
          <w:rFonts w:ascii="Times New Roman" w:eastAsia="Times New Roman" w:hAnsi="Times New Roman" w:cs="Times New Roman"/>
          <w:bCs/>
          <w:sz w:val="24"/>
          <w:szCs w:val="24"/>
          <w:lang w:eastAsia="es-ES"/>
        </w:rPr>
        <w:t>que lo que solicita el participante es que, de corresponder, las prestaciones adicionales se apliquen conforme lo que él propone, sin tener facultades para ello</w:t>
      </w:r>
      <w:r>
        <w:rPr>
          <w:rFonts w:ascii="Times New Roman" w:eastAsia="Times New Roman" w:hAnsi="Times New Roman" w:cs="Times New Roman"/>
          <w:bCs/>
          <w:sz w:val="24"/>
          <w:szCs w:val="24"/>
          <w:lang w:eastAsia="es-ES"/>
        </w:rPr>
        <w:t xml:space="preserve">, </w:t>
      </w:r>
      <w:r w:rsidR="00562703" w:rsidRPr="00562703">
        <w:rPr>
          <w:rFonts w:ascii="Times New Roman" w:eastAsia="Times New Roman" w:hAnsi="Times New Roman" w:cs="Times New Roman"/>
          <w:bCs/>
          <w:sz w:val="24"/>
          <w:szCs w:val="24"/>
          <w:lang w:eastAsia="es-ES"/>
        </w:rPr>
        <w:t xml:space="preserve">este Organismo Supervisor ha decidido </w:t>
      </w:r>
      <w:r>
        <w:rPr>
          <w:rFonts w:ascii="Times New Roman" w:eastAsia="Times New Roman" w:hAnsi="Times New Roman" w:cs="Times New Roman"/>
          <w:b/>
          <w:bCs/>
          <w:sz w:val="24"/>
          <w:szCs w:val="24"/>
          <w:lang w:eastAsia="es-ES"/>
        </w:rPr>
        <w:t xml:space="preserve">NO </w:t>
      </w:r>
      <w:r w:rsidR="00562703" w:rsidRPr="00562703">
        <w:rPr>
          <w:rFonts w:ascii="Times New Roman" w:eastAsia="Times New Roman" w:hAnsi="Times New Roman" w:cs="Times New Roman"/>
          <w:b/>
          <w:bCs/>
          <w:sz w:val="24"/>
          <w:szCs w:val="24"/>
          <w:lang w:eastAsia="es-ES"/>
        </w:rPr>
        <w:t xml:space="preserve">ACOGER </w:t>
      </w:r>
      <w:r w:rsidR="00562703" w:rsidRPr="00562703">
        <w:rPr>
          <w:rFonts w:ascii="Times New Roman" w:eastAsia="Times New Roman" w:hAnsi="Times New Roman" w:cs="Times New Roman"/>
          <w:bCs/>
          <w:sz w:val="24"/>
          <w:szCs w:val="24"/>
          <w:lang w:eastAsia="es-ES"/>
        </w:rPr>
        <w:t xml:space="preserve">la presente observación. </w:t>
      </w:r>
      <w:r w:rsidR="001D4B12">
        <w:rPr>
          <w:rFonts w:ascii="Times New Roman" w:eastAsia="Times New Roman" w:hAnsi="Times New Roman" w:cs="Times New Roman"/>
          <w:bCs/>
          <w:sz w:val="24"/>
          <w:szCs w:val="24"/>
          <w:lang w:eastAsia="es-ES"/>
        </w:rPr>
        <w:t xml:space="preserve">No obstante, </w:t>
      </w:r>
      <w:r w:rsidR="001D4B12" w:rsidRPr="001D4B12">
        <w:rPr>
          <w:rFonts w:ascii="Times New Roman" w:eastAsia="Times New Roman" w:hAnsi="Times New Roman" w:cs="Times New Roman"/>
          <w:bCs/>
          <w:sz w:val="24"/>
          <w:szCs w:val="24"/>
          <w:lang w:eastAsia="es-ES"/>
        </w:rPr>
        <w:t>en atención a las consideraciones expuestas en los párrafos precedentes</w:t>
      </w:r>
      <w:r w:rsidR="00562703" w:rsidRPr="00562703">
        <w:rPr>
          <w:rFonts w:ascii="Times New Roman" w:eastAsia="Times New Roman" w:hAnsi="Times New Roman" w:cs="Times New Roman"/>
          <w:bCs/>
          <w:sz w:val="24"/>
          <w:szCs w:val="24"/>
          <w:lang w:eastAsia="es-ES"/>
        </w:rPr>
        <w:t xml:space="preserve">, con ocasión de la integración de las Bases </w:t>
      </w:r>
      <w:r w:rsidR="00562703" w:rsidRPr="001D4B12">
        <w:rPr>
          <w:rFonts w:ascii="Times New Roman" w:eastAsia="Times New Roman" w:hAnsi="Times New Roman" w:cs="Times New Roman"/>
          <w:b/>
          <w:bCs/>
          <w:sz w:val="24"/>
          <w:szCs w:val="24"/>
          <w:u w:val="single"/>
          <w:lang w:eastAsia="es-ES"/>
        </w:rPr>
        <w:t>deberá precisarse</w:t>
      </w:r>
      <w:r w:rsidR="00562703" w:rsidRPr="00562703">
        <w:rPr>
          <w:rFonts w:ascii="Times New Roman" w:eastAsia="Times New Roman" w:hAnsi="Times New Roman" w:cs="Times New Roman"/>
          <w:bCs/>
          <w:sz w:val="24"/>
          <w:szCs w:val="24"/>
          <w:lang w:eastAsia="es-ES"/>
        </w:rPr>
        <w:t xml:space="preserve"> que </w:t>
      </w:r>
      <w:r w:rsidR="001D4B12">
        <w:rPr>
          <w:rFonts w:ascii="Times New Roman" w:eastAsia="Times New Roman" w:hAnsi="Times New Roman" w:cs="Times New Roman"/>
          <w:bCs/>
          <w:sz w:val="24"/>
          <w:szCs w:val="24"/>
          <w:lang w:eastAsia="es-ES"/>
        </w:rPr>
        <w:t xml:space="preserve">se podrá aumentar la bolsa de minutos contratada, siempre que </w:t>
      </w:r>
      <w:r w:rsidR="00562703" w:rsidRPr="00562703">
        <w:rPr>
          <w:rFonts w:ascii="Times New Roman" w:eastAsia="Times New Roman" w:hAnsi="Times New Roman" w:cs="Times New Roman"/>
          <w:sz w:val="24"/>
          <w:szCs w:val="24"/>
          <w:lang w:val="es-ES" w:eastAsia="es-ES"/>
        </w:rPr>
        <w:t xml:space="preserve">se </w:t>
      </w:r>
      <w:r w:rsidR="001D4B12">
        <w:rPr>
          <w:rFonts w:ascii="Times New Roman" w:eastAsia="Times New Roman" w:hAnsi="Times New Roman" w:cs="Times New Roman"/>
          <w:sz w:val="24"/>
          <w:szCs w:val="24"/>
          <w:lang w:val="es-ES" w:eastAsia="es-ES"/>
        </w:rPr>
        <w:t>suscriba una ad</w:t>
      </w:r>
      <w:r w:rsidR="00562703" w:rsidRPr="00562703">
        <w:rPr>
          <w:rFonts w:ascii="Times New Roman" w:eastAsia="Times New Roman" w:hAnsi="Times New Roman" w:cs="Times New Roman"/>
          <w:sz w:val="24"/>
          <w:szCs w:val="24"/>
          <w:lang w:val="es-ES" w:eastAsia="es-ES"/>
        </w:rPr>
        <w:t xml:space="preserve">enda por </w:t>
      </w:r>
      <w:r w:rsidR="001D4B12">
        <w:rPr>
          <w:rFonts w:ascii="Times New Roman" w:eastAsia="Times New Roman" w:hAnsi="Times New Roman" w:cs="Times New Roman"/>
          <w:sz w:val="24"/>
          <w:szCs w:val="24"/>
          <w:lang w:val="es-ES" w:eastAsia="es-ES"/>
        </w:rPr>
        <w:t>dicha prestación adicional.</w:t>
      </w:r>
      <w:r w:rsidR="00562703" w:rsidRPr="00562703">
        <w:rPr>
          <w:rFonts w:ascii="Times New Roman" w:eastAsia="Times New Roman" w:hAnsi="Times New Roman" w:cs="Times New Roman"/>
          <w:sz w:val="24"/>
          <w:szCs w:val="24"/>
          <w:lang w:val="es-ES" w:eastAsia="es-ES"/>
        </w:rPr>
        <w:t xml:space="preserve"> </w:t>
      </w:r>
    </w:p>
    <w:p w:rsidR="00562703" w:rsidRPr="00562703" w:rsidRDefault="00562703"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p>
    <w:p w:rsidR="00562703" w:rsidRPr="00562703" w:rsidRDefault="001D4B12" w:rsidP="00562703">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Sin perjuicio de lo anterior</w:t>
      </w:r>
      <w:r w:rsidR="00562703" w:rsidRPr="00562703">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cabe señalar que</w:t>
      </w:r>
      <w:r w:rsidR="00562703" w:rsidRPr="00562703">
        <w:rPr>
          <w:rFonts w:ascii="Times New Roman" w:eastAsia="Times New Roman" w:hAnsi="Times New Roman" w:cs="Times New Roman"/>
          <w:sz w:val="24"/>
          <w:szCs w:val="24"/>
          <w:lang w:val="es-ES" w:eastAsia="es-ES"/>
        </w:rPr>
        <w:t xml:space="preserve"> si la cantidad de minutos que necesita la Entidad para satisfacer adecuadamente su necesidad no se encuentra totalmente definida, deberá evaluarse la pertinencia de modificar el sistema de contratación de suma alzada a precios unitarios.   </w:t>
      </w:r>
    </w:p>
    <w:p w:rsidR="00425A15" w:rsidRDefault="00425A15" w:rsidP="001D4B12">
      <w:pPr>
        <w:widowControl w:val="0"/>
        <w:spacing w:after="0" w:line="240" w:lineRule="auto"/>
        <w:jc w:val="both"/>
        <w:rPr>
          <w:rFonts w:ascii="Times New Roman" w:eastAsia="Times New Roman" w:hAnsi="Times New Roman" w:cs="Times New Roman"/>
          <w:b/>
          <w:sz w:val="24"/>
          <w:szCs w:val="24"/>
          <w:lang w:val="es-ES" w:eastAsia="es-MX"/>
        </w:rPr>
      </w:pPr>
    </w:p>
    <w:p w:rsidR="00425A15" w:rsidRPr="008B4D44" w:rsidRDefault="00425A15" w:rsidP="00425A15">
      <w:pPr>
        <w:widowControl w:val="0"/>
        <w:tabs>
          <w:tab w:val="left" w:pos="3969"/>
        </w:tabs>
        <w:spacing w:after="0" w:line="240" w:lineRule="auto"/>
        <w:ind w:left="4950" w:hanging="4950"/>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ón</w:t>
      </w:r>
      <w:r w:rsidRPr="008B4D44">
        <w:rPr>
          <w:rFonts w:ascii="Times New Roman" w:eastAsia="Times New Roman" w:hAnsi="Times New Roman" w:cs="Times New Roman"/>
          <w:b/>
          <w:sz w:val="24"/>
          <w:szCs w:val="24"/>
          <w:lang w:val="es-ES" w:eastAsia="es-MX"/>
        </w:rPr>
        <w:t xml:space="preserve"> Nº </w:t>
      </w:r>
      <w:r>
        <w:rPr>
          <w:rFonts w:ascii="Times New Roman" w:eastAsia="Times New Roman" w:hAnsi="Times New Roman" w:cs="Times New Roman"/>
          <w:b/>
          <w:sz w:val="24"/>
          <w:szCs w:val="24"/>
          <w:lang w:val="es-ES" w:eastAsia="es-MX"/>
        </w:rPr>
        <w:t>10</w:t>
      </w:r>
      <w:r w:rsidRPr="008B4D44">
        <w:rPr>
          <w:rFonts w:ascii="Times New Roman" w:eastAsia="Times New Roman" w:hAnsi="Times New Roman" w:cs="Times New Roman"/>
          <w:b/>
          <w:sz w:val="24"/>
          <w:szCs w:val="24"/>
          <w:lang w:val="es-ES" w:eastAsia="es-MX"/>
        </w:rPr>
        <w:t xml:space="preserve">                   </w:t>
      </w:r>
      <w:r w:rsidRPr="008B4D44">
        <w:rPr>
          <w:rFonts w:ascii="Times New Roman" w:eastAsia="Times New Roman" w:hAnsi="Times New Roman" w:cs="Times New Roman"/>
          <w:b/>
          <w:sz w:val="24"/>
          <w:szCs w:val="24"/>
          <w:lang w:val="es-ES" w:eastAsia="es-MX"/>
        </w:rPr>
        <w:tab/>
        <w:t xml:space="preserve">Contra </w:t>
      </w:r>
      <w:r w:rsidR="0015071D">
        <w:rPr>
          <w:rFonts w:ascii="Times New Roman" w:eastAsia="Times New Roman" w:hAnsi="Times New Roman" w:cs="Times New Roman"/>
          <w:b/>
          <w:sz w:val="24"/>
          <w:szCs w:val="24"/>
          <w:lang w:val="es-ES" w:eastAsia="es-MX"/>
        </w:rPr>
        <w:t>el plazo de ejecución del servicio</w:t>
      </w:r>
    </w:p>
    <w:p w:rsidR="00425A15" w:rsidRDefault="00425A15" w:rsidP="00425A15">
      <w:pPr>
        <w:widowControl w:val="0"/>
        <w:spacing w:after="0" w:line="240" w:lineRule="auto"/>
        <w:jc w:val="both"/>
        <w:rPr>
          <w:rFonts w:ascii="Times New Roman" w:eastAsia="Times New Roman" w:hAnsi="Times New Roman" w:cs="Times New Roman"/>
          <w:b/>
          <w:sz w:val="24"/>
          <w:szCs w:val="24"/>
          <w:lang w:val="es-ES" w:eastAsia="es-MX"/>
        </w:rPr>
      </w:pPr>
    </w:p>
    <w:p w:rsidR="00425A15" w:rsidRDefault="00425A15"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Mediante la Observación Nº 10</w:t>
      </w:r>
      <w:r w:rsidRPr="0015071D">
        <w:rPr>
          <w:rFonts w:ascii="Times New Roman" w:eastAsia="Times New Roman" w:hAnsi="Times New Roman" w:cs="Times New Roman"/>
          <w:sz w:val="24"/>
          <w:szCs w:val="24"/>
          <w:lang w:val="es-ES" w:eastAsia="es-MX"/>
        </w:rPr>
        <w:t>, el participante señala que el servicio objeto de contratación se ejecutaría efectivamente una vez que haya sido debidamente implementado, y no desde la fecha de suscripción del contrato, la cual</w:t>
      </w:r>
      <w:r>
        <w:rPr>
          <w:rFonts w:ascii="Times New Roman" w:eastAsia="Times New Roman" w:hAnsi="Times New Roman" w:cs="Times New Roman"/>
          <w:sz w:val="24"/>
          <w:szCs w:val="24"/>
          <w:lang w:val="es-ES" w:eastAsia="es-MX"/>
        </w:rPr>
        <w:t xml:space="preserve"> puede no guardar relación con la activación del servicio. En ese sentido, en atención al Principio de razonabilidad, solicita que se precise que el servicio a contratar será por doce (12) meses, desde la fecha de activación del servicio, en la cual se suscribirá el acta de activación correspondiente. </w:t>
      </w:r>
    </w:p>
    <w:p w:rsidR="00425A15" w:rsidRDefault="00A736CD"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5408" behindDoc="0" locked="0" layoutInCell="1" allowOverlap="1" wp14:anchorId="50745140" wp14:editId="195DE369">
            <wp:simplePos x="0" y="0"/>
            <wp:positionH relativeFrom="column">
              <wp:posOffset>-999286</wp:posOffset>
            </wp:positionH>
            <wp:positionV relativeFrom="paragraph">
              <wp:posOffset>155575</wp:posOffset>
            </wp:positionV>
            <wp:extent cx="971550" cy="35337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A15" w:rsidRPr="008B4D44" w:rsidRDefault="00425A15"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b/>
          <w:sz w:val="24"/>
          <w:szCs w:val="24"/>
          <w:lang w:val="es-ES" w:eastAsia="es-MX"/>
        </w:rPr>
        <w:t>Pronunciamiento</w:t>
      </w:r>
    </w:p>
    <w:p w:rsidR="00425A15" w:rsidRDefault="00425A15" w:rsidP="00425A1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425A15" w:rsidRPr="000D413C" w:rsidRDefault="009D5D8C" w:rsidP="00425A15">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Sobre el particular, de</w:t>
      </w:r>
      <w:r w:rsidR="00425A15" w:rsidRPr="000D413C">
        <w:rPr>
          <w:rFonts w:ascii="Times New Roman" w:eastAsia="Times New Roman" w:hAnsi="Times New Roman"/>
          <w:sz w:val="24"/>
          <w:szCs w:val="24"/>
          <w:lang w:val="es-ES" w:eastAsia="es-MX"/>
        </w:rPr>
        <w:t xml:space="preserve"> la revisión del Capítulo III de la Sección Específica de las Bases se </w:t>
      </w:r>
      <w:r w:rsidR="00425A15">
        <w:rPr>
          <w:rFonts w:ascii="Times New Roman" w:eastAsia="Times New Roman" w:hAnsi="Times New Roman"/>
          <w:sz w:val="24"/>
          <w:szCs w:val="24"/>
          <w:lang w:val="es-ES" w:eastAsia="es-MX"/>
        </w:rPr>
        <w:t xml:space="preserve">aprecia el </w:t>
      </w:r>
      <w:r w:rsidR="001D4B12">
        <w:rPr>
          <w:rFonts w:ascii="Times New Roman" w:eastAsia="Times New Roman" w:hAnsi="Times New Roman"/>
          <w:sz w:val="24"/>
          <w:szCs w:val="24"/>
          <w:lang w:val="es-ES" w:eastAsia="es-MX"/>
        </w:rPr>
        <w:t>plazo</w:t>
      </w:r>
      <w:r>
        <w:rPr>
          <w:rFonts w:ascii="Times New Roman" w:eastAsia="Times New Roman" w:hAnsi="Times New Roman"/>
          <w:sz w:val="24"/>
          <w:szCs w:val="24"/>
          <w:lang w:val="es-ES" w:eastAsia="es-MX"/>
        </w:rPr>
        <w:t xml:space="preserve"> de ejecución</w:t>
      </w:r>
      <w:r w:rsidR="001D4B12">
        <w:rPr>
          <w:rFonts w:ascii="Times New Roman" w:eastAsia="Times New Roman" w:hAnsi="Times New Roman"/>
          <w:sz w:val="24"/>
          <w:szCs w:val="24"/>
          <w:lang w:val="es-ES" w:eastAsia="es-MX"/>
        </w:rPr>
        <w:t xml:space="preserve"> del servicio conforme a lo siguiente</w:t>
      </w:r>
      <w:r w:rsidR="00425A15" w:rsidRPr="000D413C">
        <w:rPr>
          <w:rFonts w:ascii="Times New Roman" w:eastAsia="Times New Roman" w:hAnsi="Times New Roman"/>
          <w:sz w:val="24"/>
          <w:szCs w:val="24"/>
          <w:lang w:val="es-ES" w:eastAsia="es-MX"/>
        </w:rPr>
        <w:t xml:space="preserve">: </w:t>
      </w:r>
    </w:p>
    <w:p w:rsidR="00425A15" w:rsidRDefault="00425A15" w:rsidP="00425A15">
      <w:pPr>
        <w:widowControl w:val="0"/>
        <w:spacing w:after="0" w:line="240" w:lineRule="auto"/>
        <w:jc w:val="both"/>
        <w:rPr>
          <w:rFonts w:ascii="Times New Roman" w:eastAsia="Times New Roman" w:hAnsi="Times New Roman" w:cs="Times New Roman"/>
          <w:b/>
          <w:sz w:val="24"/>
          <w:szCs w:val="24"/>
          <w:lang w:val="es-ES" w:eastAsia="es-MX"/>
        </w:rPr>
      </w:pPr>
    </w:p>
    <w:p w:rsidR="00425A15" w:rsidRPr="009D5D8C" w:rsidRDefault="009D5D8C" w:rsidP="009D5D8C">
      <w:pPr>
        <w:widowControl w:val="0"/>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w:t>
      </w:r>
      <w:r w:rsidR="00425A15" w:rsidRPr="009D5D8C">
        <w:rPr>
          <w:rFonts w:ascii="Times New Roman" w:eastAsia="Times New Roman" w:hAnsi="Times New Roman" w:cs="Times New Roman"/>
          <w:i/>
          <w:sz w:val="24"/>
          <w:szCs w:val="24"/>
          <w:lang w:val="es-ES" w:eastAsia="es-MX"/>
        </w:rPr>
        <w:t xml:space="preserve">El servicio a contratar será por doce (12) meses, desde la suscripción del contrato”. </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3B2288" w:rsidRPr="005F3229" w:rsidRDefault="003B2288" w:rsidP="003B2288">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5F3229">
        <w:rPr>
          <w:rFonts w:ascii="Times New Roman" w:eastAsia="Times New Roman" w:hAnsi="Times New Roman" w:cs="Times New Roman"/>
          <w:sz w:val="24"/>
          <w:szCs w:val="24"/>
          <w:lang w:val="es-ES" w:eastAsia="es-MX"/>
        </w:rPr>
        <w:t>En el pliego de absolución de observaciones, el Comité Especial señaló lo siguiente:</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3B2288" w:rsidRDefault="003B2288" w:rsidP="003B2288">
      <w:pPr>
        <w:widowControl w:val="0"/>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“No se acoge la presente observación por que el contrato es el medio legal que vincula a la entidad con la empresa proveedora del servicio”. </w:t>
      </w:r>
    </w:p>
    <w:p w:rsidR="009D5D8C" w:rsidRPr="00CB1FD7" w:rsidRDefault="009D5D8C" w:rsidP="003B2288">
      <w:pPr>
        <w:widowControl w:val="0"/>
        <w:spacing w:after="0" w:line="240" w:lineRule="auto"/>
        <w:jc w:val="both"/>
        <w:rPr>
          <w:rFonts w:ascii="Times New Roman" w:eastAsia="Times New Roman" w:hAnsi="Times New Roman" w:cs="Times New Roman"/>
          <w:i/>
          <w:sz w:val="24"/>
          <w:szCs w:val="24"/>
          <w:lang w:val="es-ES" w:eastAsia="es-MX"/>
        </w:rPr>
      </w:pPr>
    </w:p>
    <w:p w:rsidR="009D5D8C" w:rsidRPr="009D5D8C" w:rsidRDefault="009D5D8C" w:rsidP="009D5D8C">
      <w:pPr>
        <w:tabs>
          <w:tab w:val="left" w:pos="0"/>
        </w:tabs>
        <w:spacing w:after="0" w:line="240" w:lineRule="auto"/>
        <w:jc w:val="both"/>
        <w:rPr>
          <w:rFonts w:ascii="Times New Roman" w:eastAsia="Times New Roman" w:hAnsi="Times New Roman" w:cs="Times New Roman"/>
          <w:sz w:val="24"/>
          <w:szCs w:val="24"/>
          <w:u w:val="single"/>
          <w:lang w:val="es-ES" w:eastAsia="es-ES"/>
        </w:rPr>
      </w:pPr>
      <w:r>
        <w:rPr>
          <w:rFonts w:ascii="Times New Roman" w:eastAsia="Times New Roman" w:hAnsi="Times New Roman" w:cs="Times New Roman"/>
          <w:sz w:val="24"/>
          <w:szCs w:val="24"/>
          <w:lang w:val="es-ES" w:eastAsia="es-ES"/>
        </w:rPr>
        <w:t xml:space="preserve">Al respecto, </w:t>
      </w:r>
      <w:r w:rsidRPr="009D5D8C">
        <w:rPr>
          <w:rFonts w:ascii="Times New Roman" w:eastAsia="Times New Roman" w:hAnsi="Times New Roman" w:cs="Times New Roman"/>
          <w:sz w:val="24"/>
          <w:szCs w:val="24"/>
          <w:lang w:val="es-ES" w:eastAsia="es-ES"/>
        </w:rPr>
        <w:t xml:space="preserve">de acuerdo a lo dispuesto en el artículo 13 de </w:t>
      </w:r>
      <w:smartTag w:uri="urn:schemas-microsoft-com:office:smarttags" w:element="PersonName">
        <w:smartTagPr>
          <w:attr w:name="ProductID" w:val="la Ley"/>
        </w:smartTagPr>
        <w:r w:rsidRPr="009D5D8C">
          <w:rPr>
            <w:rFonts w:ascii="Times New Roman" w:eastAsia="Times New Roman" w:hAnsi="Times New Roman" w:cs="Times New Roman"/>
            <w:sz w:val="24"/>
            <w:szCs w:val="24"/>
            <w:lang w:val="es-ES" w:eastAsia="es-ES"/>
          </w:rPr>
          <w:t>la Ley</w:t>
        </w:r>
      </w:smartTag>
      <w:r w:rsidRPr="009D5D8C">
        <w:rPr>
          <w:rFonts w:ascii="Times New Roman" w:eastAsia="Times New Roman" w:hAnsi="Times New Roman" w:cs="Times New Roman"/>
          <w:sz w:val="24"/>
          <w:szCs w:val="24"/>
          <w:lang w:val="es-ES" w:eastAsia="es-ES"/>
        </w:rPr>
        <w:t xml:space="preserve">, concordado con el artículo 11 del Reglamento, es facultad de </w:t>
      </w:r>
      <w:smartTag w:uri="urn:schemas-microsoft-com:office:smarttags" w:element="PersonName">
        <w:smartTagPr>
          <w:attr w:name="ProductID" w:val="la Entidad"/>
        </w:smartTagPr>
        <w:r w:rsidRPr="009D5D8C">
          <w:rPr>
            <w:rFonts w:ascii="Times New Roman" w:eastAsia="Times New Roman" w:hAnsi="Times New Roman" w:cs="Times New Roman"/>
            <w:sz w:val="24"/>
            <w:szCs w:val="24"/>
            <w:lang w:val="es-ES" w:eastAsia="es-ES"/>
          </w:rPr>
          <w:t>la Entidad</w:t>
        </w:r>
      </w:smartTag>
      <w:r w:rsidRPr="009D5D8C">
        <w:rPr>
          <w:rFonts w:ascii="Times New Roman" w:eastAsia="Times New Roman" w:hAnsi="Times New Roman" w:cs="Times New Roman"/>
          <w:sz w:val="24"/>
          <w:szCs w:val="24"/>
          <w:lang w:val="es-ES" w:eastAsia="es-ES"/>
        </w:rPr>
        <w:t xml:space="preserve"> determinar, </w:t>
      </w:r>
      <w:r w:rsidRPr="009D5D8C">
        <w:rPr>
          <w:rFonts w:ascii="Times New Roman" w:eastAsia="Times New Roman" w:hAnsi="Times New Roman" w:cs="Times New Roman"/>
          <w:sz w:val="24"/>
          <w:szCs w:val="24"/>
          <w:u w:val="single"/>
          <w:lang w:val="es-ES" w:eastAsia="es-ES"/>
        </w:rPr>
        <w:t>sobre la base de sus propias necesidades</w:t>
      </w:r>
      <w:r w:rsidRPr="009D5D8C">
        <w:rPr>
          <w:rFonts w:ascii="Times New Roman" w:eastAsia="Times New Roman" w:hAnsi="Times New Roman" w:cs="Times New Roman"/>
          <w:sz w:val="24"/>
          <w:szCs w:val="24"/>
          <w:lang w:val="es-ES" w:eastAsia="es-ES"/>
        </w:rPr>
        <w:t xml:space="preserve">, las características, requerimientos y especificaciones técnicas de los bienes, servicios u obras que desea adquirir y/o contratar, </w:t>
      </w:r>
      <w:r w:rsidRPr="009D5D8C">
        <w:rPr>
          <w:rFonts w:ascii="Times New Roman" w:eastAsia="Times New Roman" w:hAnsi="Times New Roman" w:cs="Times New Roman"/>
          <w:sz w:val="24"/>
          <w:szCs w:val="24"/>
          <w:u w:val="single"/>
          <w:lang w:val="es-ES" w:eastAsia="es-ES"/>
        </w:rPr>
        <w:t>los que deberán incidir sobre los objetivos, funciones y operatividad de aquellos</w:t>
      </w:r>
    </w:p>
    <w:p w:rsidR="009D5D8C" w:rsidRDefault="009D5D8C" w:rsidP="009D5D8C">
      <w:pPr>
        <w:tabs>
          <w:tab w:val="left" w:pos="0"/>
        </w:tabs>
        <w:spacing w:after="0" w:line="240" w:lineRule="auto"/>
        <w:jc w:val="both"/>
        <w:rPr>
          <w:rFonts w:ascii="Times New Roman" w:eastAsia="Times New Roman" w:hAnsi="Times New Roman" w:cs="Times New Roman"/>
          <w:sz w:val="24"/>
          <w:szCs w:val="24"/>
          <w:u w:val="single"/>
          <w:lang w:val="es-ES" w:eastAsia="es-ES"/>
        </w:rPr>
      </w:pPr>
    </w:p>
    <w:p w:rsidR="001F2E18" w:rsidRDefault="009D5D8C" w:rsidP="0015071D">
      <w:pPr>
        <w:tabs>
          <w:tab w:val="left" w:pos="0"/>
        </w:tabs>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lastRenderedPageBreak/>
        <w:t xml:space="preserve">Adicionalmente, el artículo 149 del Reglamento establece que </w:t>
      </w:r>
      <w:r w:rsidRPr="0015071D">
        <w:rPr>
          <w:rFonts w:ascii="Times New Roman" w:eastAsia="Times New Roman" w:hAnsi="Times New Roman" w:cs="Times New Roman"/>
          <w:sz w:val="24"/>
          <w:szCs w:val="24"/>
          <w:u w:val="single"/>
          <w:lang w:val="es-ES" w:eastAsia="es-ES"/>
        </w:rPr>
        <w:t>el contrato tiene vigencia desde el día siguiente de la suscripción del documento que lo contiene</w:t>
      </w:r>
      <w:r w:rsidR="0015071D">
        <w:rPr>
          <w:rFonts w:ascii="Times New Roman" w:eastAsia="Times New Roman" w:hAnsi="Times New Roman" w:cs="Times New Roman"/>
          <w:sz w:val="24"/>
          <w:szCs w:val="24"/>
          <w:lang w:val="es-ES" w:eastAsia="es-ES"/>
        </w:rPr>
        <w:t>.</w:t>
      </w:r>
      <w:r w:rsidR="009B190C">
        <w:rPr>
          <w:rFonts w:ascii="Times New Roman" w:eastAsia="Times New Roman" w:hAnsi="Times New Roman" w:cs="Times New Roman"/>
          <w:sz w:val="24"/>
          <w:szCs w:val="24"/>
          <w:lang w:val="es-ES" w:eastAsia="es-ES"/>
        </w:rPr>
        <w:t xml:space="preserve"> </w:t>
      </w:r>
    </w:p>
    <w:p w:rsidR="001F2E18" w:rsidRDefault="001F2E18" w:rsidP="0015071D">
      <w:pPr>
        <w:tabs>
          <w:tab w:val="left" w:pos="0"/>
        </w:tabs>
        <w:spacing w:after="0" w:line="240" w:lineRule="auto"/>
        <w:jc w:val="both"/>
        <w:rPr>
          <w:rFonts w:ascii="Times New Roman" w:eastAsia="Times New Roman" w:hAnsi="Times New Roman" w:cs="Times New Roman"/>
          <w:sz w:val="24"/>
          <w:szCs w:val="24"/>
          <w:lang w:val="es-ES" w:eastAsia="es-ES"/>
        </w:rPr>
      </w:pPr>
    </w:p>
    <w:p w:rsidR="00425A15" w:rsidRPr="0015071D" w:rsidRDefault="0015071D" w:rsidP="0015071D">
      <w:pPr>
        <w:tabs>
          <w:tab w:val="left" w:pos="0"/>
        </w:tabs>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En esa medida, y teniendo en cuenta la responsabilidad de </w:t>
      </w:r>
      <w:r w:rsidR="009D5D8C" w:rsidRPr="009D5D8C">
        <w:rPr>
          <w:rFonts w:ascii="Times New Roman" w:eastAsia="Times New Roman" w:hAnsi="Times New Roman" w:cs="Times New Roman"/>
          <w:sz w:val="24"/>
          <w:szCs w:val="24"/>
          <w:lang w:val="es-ES" w:eastAsia="es-ES"/>
        </w:rPr>
        <w:t xml:space="preserve">la Entidad </w:t>
      </w:r>
      <w:r>
        <w:rPr>
          <w:rFonts w:ascii="Times New Roman" w:eastAsia="Times New Roman" w:hAnsi="Times New Roman" w:cs="Times New Roman"/>
          <w:sz w:val="24"/>
          <w:szCs w:val="24"/>
          <w:lang w:val="es-ES" w:eastAsia="es-ES"/>
        </w:rPr>
        <w:t xml:space="preserve">para </w:t>
      </w:r>
      <w:r w:rsidR="009D5D8C" w:rsidRPr="009D5D8C">
        <w:rPr>
          <w:rFonts w:ascii="Times New Roman" w:eastAsia="Times New Roman" w:hAnsi="Times New Roman" w:cs="Times New Roman"/>
          <w:sz w:val="24"/>
          <w:szCs w:val="24"/>
          <w:lang w:val="es-ES" w:eastAsia="es-ES"/>
        </w:rPr>
        <w:t>determinar su</w:t>
      </w:r>
      <w:r>
        <w:rPr>
          <w:rFonts w:ascii="Times New Roman" w:eastAsia="Times New Roman" w:hAnsi="Times New Roman" w:cs="Times New Roman"/>
          <w:sz w:val="24"/>
          <w:szCs w:val="24"/>
          <w:lang w:val="es-ES" w:eastAsia="es-ES"/>
        </w:rPr>
        <w:t>s</w:t>
      </w:r>
      <w:r w:rsidR="009D5D8C" w:rsidRPr="009D5D8C">
        <w:rPr>
          <w:rFonts w:ascii="Times New Roman" w:eastAsia="Times New Roman" w:hAnsi="Times New Roman" w:cs="Times New Roman"/>
          <w:sz w:val="24"/>
          <w:szCs w:val="24"/>
          <w:lang w:val="es-ES" w:eastAsia="es-ES"/>
        </w:rPr>
        <w:t xml:space="preserve"> requerimient</w:t>
      </w:r>
      <w:r>
        <w:rPr>
          <w:rFonts w:ascii="Times New Roman" w:eastAsia="Times New Roman" w:hAnsi="Times New Roman" w:cs="Times New Roman"/>
          <w:sz w:val="24"/>
          <w:szCs w:val="24"/>
          <w:lang w:val="es-ES" w:eastAsia="es-ES"/>
        </w:rPr>
        <w:t>os técnicos mínimos</w:t>
      </w:r>
      <w:r w:rsidR="009D5D8C" w:rsidRPr="009D5D8C">
        <w:rPr>
          <w:rFonts w:ascii="Times New Roman" w:eastAsia="Times New Roman" w:hAnsi="Times New Roman" w:cs="Times New Roman"/>
          <w:sz w:val="24"/>
          <w:szCs w:val="24"/>
          <w:lang w:val="es-ES" w:eastAsia="es-ES"/>
        </w:rPr>
        <w:t>, este Organismo Supervisor ha decidido</w:t>
      </w:r>
      <w:r w:rsidR="009D5D8C" w:rsidRPr="009D5D8C">
        <w:rPr>
          <w:rFonts w:ascii="Times New Roman" w:eastAsia="Times New Roman" w:hAnsi="Times New Roman" w:cs="Times New Roman"/>
          <w:b/>
          <w:sz w:val="24"/>
          <w:szCs w:val="24"/>
          <w:lang w:val="es-ES" w:eastAsia="es-ES"/>
        </w:rPr>
        <w:t xml:space="preserve"> NO ACOGER</w:t>
      </w:r>
      <w:r w:rsidR="009D5D8C" w:rsidRPr="009D5D8C">
        <w:rPr>
          <w:rFonts w:ascii="Times New Roman" w:eastAsia="Times New Roman" w:hAnsi="Times New Roman" w:cs="Times New Roman"/>
          <w:sz w:val="24"/>
          <w:szCs w:val="24"/>
          <w:lang w:val="es-ES" w:eastAsia="es-ES"/>
        </w:rPr>
        <w:t xml:space="preserve"> </w:t>
      </w:r>
      <w:r w:rsidR="009D5D8C">
        <w:rPr>
          <w:rFonts w:ascii="Times New Roman" w:eastAsia="Times New Roman" w:hAnsi="Times New Roman" w:cs="Times New Roman"/>
          <w:sz w:val="24"/>
          <w:szCs w:val="24"/>
          <w:lang w:val="es-ES" w:eastAsia="es-ES"/>
        </w:rPr>
        <w:t xml:space="preserve">la Observación Nº 10. </w:t>
      </w:r>
      <w:r>
        <w:rPr>
          <w:rFonts w:ascii="Times New Roman" w:eastAsia="Times New Roman" w:hAnsi="Times New Roman" w:cs="Times New Roman"/>
          <w:sz w:val="24"/>
          <w:szCs w:val="24"/>
          <w:lang w:val="es-ES" w:eastAsia="es-ES"/>
        </w:rPr>
        <w:t xml:space="preserve"> </w:t>
      </w:r>
    </w:p>
    <w:p w:rsidR="00425A15" w:rsidRDefault="00425A15"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p>
    <w:p w:rsidR="001C3517" w:rsidRPr="008B4D44" w:rsidRDefault="001C3517" w:rsidP="001C3517">
      <w:pPr>
        <w:widowControl w:val="0"/>
        <w:spacing w:after="0" w:line="240" w:lineRule="auto"/>
        <w:ind w:left="4950" w:hanging="4950"/>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ón</w:t>
      </w:r>
      <w:r w:rsidRPr="008B4D44">
        <w:rPr>
          <w:rFonts w:ascii="Times New Roman" w:eastAsia="Times New Roman" w:hAnsi="Times New Roman" w:cs="Times New Roman"/>
          <w:b/>
          <w:sz w:val="24"/>
          <w:szCs w:val="24"/>
          <w:lang w:val="es-ES" w:eastAsia="es-MX"/>
        </w:rPr>
        <w:t xml:space="preserve"> Nº </w:t>
      </w:r>
      <w:r>
        <w:rPr>
          <w:rFonts w:ascii="Times New Roman" w:eastAsia="Times New Roman" w:hAnsi="Times New Roman" w:cs="Times New Roman"/>
          <w:b/>
          <w:sz w:val="24"/>
          <w:szCs w:val="24"/>
          <w:lang w:val="es-ES" w:eastAsia="es-MX"/>
        </w:rPr>
        <w:t>11</w:t>
      </w:r>
      <w:r w:rsidR="004C23C7">
        <w:rPr>
          <w:rFonts w:ascii="Times New Roman" w:eastAsia="Times New Roman" w:hAnsi="Times New Roman" w:cs="Times New Roman"/>
          <w:b/>
          <w:sz w:val="24"/>
          <w:szCs w:val="24"/>
          <w:lang w:val="es-ES" w:eastAsia="es-MX"/>
        </w:rPr>
        <w:t xml:space="preserve">                    </w:t>
      </w:r>
      <w:r w:rsidRPr="008B4D44">
        <w:rPr>
          <w:rFonts w:ascii="Times New Roman" w:eastAsia="Times New Roman" w:hAnsi="Times New Roman" w:cs="Times New Roman"/>
          <w:b/>
          <w:sz w:val="24"/>
          <w:szCs w:val="24"/>
          <w:lang w:val="es-ES" w:eastAsia="es-MX"/>
        </w:rPr>
        <w:t xml:space="preserve">Contra </w:t>
      </w:r>
      <w:r>
        <w:rPr>
          <w:rFonts w:ascii="Times New Roman" w:eastAsia="Times New Roman" w:hAnsi="Times New Roman" w:cs="Times New Roman"/>
          <w:b/>
          <w:sz w:val="24"/>
          <w:szCs w:val="24"/>
          <w:lang w:val="es-ES" w:eastAsia="es-MX"/>
        </w:rPr>
        <w:t>el factor de evaluación “experiencia del postor”</w:t>
      </w:r>
    </w:p>
    <w:p w:rsidR="001C3517" w:rsidRDefault="001C3517"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7F4BE3" w:rsidRDefault="001C3517"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w:t>
      </w:r>
      <w:r w:rsidR="00B60607">
        <w:rPr>
          <w:rFonts w:ascii="Times New Roman" w:eastAsia="Times New Roman" w:hAnsi="Times New Roman" w:cs="Times New Roman"/>
          <w:sz w:val="24"/>
          <w:szCs w:val="24"/>
          <w:lang w:val="es-ES" w:eastAsia="es-MX"/>
        </w:rPr>
        <w:t xml:space="preserve"> participante señala que establecer un periodo de evaluación de cinco (5) años y un monto máximo de facturación de cuatro (4) veces el valor referencial, resultaría </w:t>
      </w:r>
      <w:r w:rsidR="001546C6">
        <w:rPr>
          <w:rFonts w:ascii="Times New Roman" w:eastAsia="Times New Roman" w:hAnsi="Times New Roman" w:cs="Times New Roman"/>
          <w:sz w:val="24"/>
          <w:szCs w:val="24"/>
          <w:lang w:val="es-ES" w:eastAsia="es-MX"/>
        </w:rPr>
        <w:t>restrictivo</w:t>
      </w:r>
      <w:r w:rsidR="00B60607">
        <w:rPr>
          <w:rFonts w:ascii="Times New Roman" w:eastAsia="Times New Roman" w:hAnsi="Times New Roman" w:cs="Times New Roman"/>
          <w:sz w:val="24"/>
          <w:szCs w:val="24"/>
          <w:lang w:val="es-ES" w:eastAsia="es-MX"/>
        </w:rPr>
        <w:t xml:space="preserve">, pues, teniendo en cuenta que el valor referencial asciende a S/. 483,845.38 (Cuatrocientos Ochentaitrés Mil Ochocientos Cuarentaicinco con 38/100 Nuevos Soles), los postores tendrían que acreditar </w:t>
      </w:r>
      <w:r w:rsidR="0011319A">
        <w:rPr>
          <w:rFonts w:ascii="Times New Roman" w:eastAsia="Times New Roman" w:hAnsi="Times New Roman" w:cs="Times New Roman"/>
          <w:sz w:val="24"/>
          <w:szCs w:val="24"/>
          <w:lang w:val="es-ES" w:eastAsia="es-MX"/>
        </w:rPr>
        <w:t>por lo menos una facturación de</w:t>
      </w:r>
      <w:r w:rsidR="001546C6">
        <w:rPr>
          <w:rFonts w:ascii="Times New Roman" w:eastAsia="Times New Roman" w:hAnsi="Times New Roman" w:cs="Times New Roman"/>
          <w:sz w:val="24"/>
          <w:szCs w:val="24"/>
          <w:lang w:val="es-ES" w:eastAsia="es-MX"/>
        </w:rPr>
        <w:t xml:space="preserve"> </w:t>
      </w:r>
      <w:r w:rsidR="00B60607">
        <w:rPr>
          <w:rFonts w:ascii="Times New Roman" w:eastAsia="Times New Roman" w:hAnsi="Times New Roman" w:cs="Times New Roman"/>
          <w:sz w:val="24"/>
          <w:szCs w:val="24"/>
          <w:lang w:val="es-ES" w:eastAsia="es-MX"/>
        </w:rPr>
        <w:t>S/. 1’935,381.52 (Un Millón Novecientos Treintaicinco Mil Trescientos Ochentaiuno con 52/100 Nuevos Soles)</w:t>
      </w:r>
      <w:r w:rsidR="001546C6">
        <w:rPr>
          <w:rFonts w:ascii="Times New Roman" w:eastAsia="Times New Roman" w:hAnsi="Times New Roman" w:cs="Times New Roman"/>
          <w:sz w:val="24"/>
          <w:szCs w:val="24"/>
          <w:lang w:val="es-ES" w:eastAsia="es-MX"/>
        </w:rPr>
        <w:t xml:space="preserve"> en un periodo de cinco (5) años. En ese sentido, a efectos de promover la mayor concurrencia de postores, solicita que se aumente el periodo de evaluación de la experiencia del postor hasta ocho (8) años a la fecha de presentación de propuestas, hasta por un monto máximo de cuatro (4) veces el valor referencial. </w:t>
      </w:r>
    </w:p>
    <w:p w:rsidR="007F4BE3" w:rsidRDefault="007F4BE3" w:rsidP="007F4BE3">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1C3517" w:rsidRPr="008B4D44" w:rsidRDefault="001C3517" w:rsidP="001C3517">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b/>
          <w:sz w:val="24"/>
          <w:szCs w:val="24"/>
          <w:lang w:val="es-ES" w:eastAsia="es-MX"/>
        </w:rPr>
        <w:t>Pronunciamiento</w:t>
      </w:r>
    </w:p>
    <w:p w:rsidR="007F4BE3" w:rsidRDefault="007F4BE3" w:rsidP="008B4D4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6B2B69" w:rsidRDefault="006B2B69" w:rsidP="006B2B69">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Sobre el particular, en el factor de evaluación “Experiencia </w:t>
      </w:r>
      <w:r>
        <w:rPr>
          <w:rFonts w:ascii="Times New Roman" w:eastAsia="Times New Roman" w:hAnsi="Times New Roman" w:cs="Times New Roman"/>
          <w:sz w:val="24"/>
          <w:szCs w:val="24"/>
          <w:lang w:val="es-ES" w:eastAsia="es-MX"/>
        </w:rPr>
        <w:t>en la Actividad</w:t>
      </w:r>
      <w:r w:rsidRPr="00D42D5A">
        <w:rPr>
          <w:rFonts w:ascii="Times New Roman" w:eastAsia="Times New Roman" w:hAnsi="Times New Roman" w:cs="Times New Roman"/>
          <w:sz w:val="24"/>
          <w:szCs w:val="24"/>
          <w:lang w:val="es-ES" w:eastAsia="es-MX"/>
        </w:rPr>
        <w:t>” del Capítulo IV de las Bases se ha conte</w:t>
      </w:r>
      <w:r>
        <w:rPr>
          <w:rFonts w:ascii="Times New Roman" w:eastAsia="Times New Roman" w:hAnsi="Times New Roman" w:cs="Times New Roman"/>
          <w:sz w:val="24"/>
          <w:szCs w:val="24"/>
          <w:lang w:val="es-ES" w:eastAsia="es-MX"/>
        </w:rPr>
        <w:t>mplado lo siguiente:</w:t>
      </w:r>
    </w:p>
    <w:p w:rsidR="006B2B69" w:rsidRDefault="006B2B69" w:rsidP="006B2B69">
      <w:pPr>
        <w:spacing w:after="0" w:line="240" w:lineRule="auto"/>
        <w:jc w:val="both"/>
        <w:rPr>
          <w:rFonts w:ascii="Times New Roman" w:eastAsia="Times New Roman" w:hAnsi="Times New Roman" w:cs="Times New Roman"/>
          <w:sz w:val="24"/>
          <w:szCs w:val="24"/>
          <w:lang w:val="es-ES" w:eastAsia="es-MX"/>
        </w:rPr>
      </w:pPr>
    </w:p>
    <w:p w:rsidR="006B2B69" w:rsidRDefault="006B2B69" w:rsidP="006B2B69">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“A. Experiencia en la Actividad</w:t>
      </w:r>
    </w:p>
    <w:p w:rsidR="006B2B69" w:rsidRDefault="006B2B69" w:rsidP="006B2B69">
      <w:pPr>
        <w:spacing w:after="0" w:line="240" w:lineRule="auto"/>
        <w:jc w:val="both"/>
        <w:rPr>
          <w:rFonts w:ascii="Times New Roman" w:eastAsia="Times New Roman" w:hAnsi="Times New Roman" w:cs="Times New Roman"/>
          <w:i/>
          <w:sz w:val="24"/>
          <w:szCs w:val="24"/>
          <w:lang w:val="es-ES" w:eastAsia="es-MX"/>
        </w:rPr>
      </w:pPr>
    </w:p>
    <w:p w:rsidR="006B2B69" w:rsidRDefault="006B2B69" w:rsidP="006B2B69">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Criterio:</w:t>
      </w:r>
    </w:p>
    <w:p w:rsidR="006B2B69" w:rsidRPr="00DF55F9" w:rsidRDefault="00A736CD" w:rsidP="006B2B69">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3360" behindDoc="0" locked="0" layoutInCell="1" allowOverlap="1" wp14:anchorId="118991B3" wp14:editId="65A72E08">
            <wp:simplePos x="0" y="0"/>
            <wp:positionH relativeFrom="column">
              <wp:posOffset>-982034</wp:posOffset>
            </wp:positionH>
            <wp:positionV relativeFrom="paragraph">
              <wp:posOffset>52705</wp:posOffset>
            </wp:positionV>
            <wp:extent cx="971550" cy="35337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B2B69">
        <w:rPr>
          <w:rFonts w:ascii="Times New Roman" w:eastAsia="Times New Roman" w:hAnsi="Times New Roman" w:cs="Times New Roman"/>
          <w:i/>
          <w:sz w:val="24"/>
          <w:szCs w:val="24"/>
          <w:lang w:val="es-ES" w:eastAsia="es-MX"/>
        </w:rPr>
        <w:t xml:space="preserve">Se evaluará considerando el monto facturado acumulado por el postor correspondiente a la actividad objeto del proceso, durante un periodo de </w:t>
      </w:r>
      <w:r w:rsidR="006B2B69" w:rsidRPr="00DF55F9">
        <w:rPr>
          <w:rFonts w:ascii="Times New Roman" w:eastAsia="Times New Roman" w:hAnsi="Times New Roman" w:cs="Times New Roman"/>
          <w:i/>
          <w:sz w:val="24"/>
          <w:szCs w:val="24"/>
          <w:u w:val="single"/>
          <w:lang w:val="es-ES" w:eastAsia="es-MX"/>
        </w:rPr>
        <w:t>cinco (5) años</w:t>
      </w:r>
      <w:r w:rsidR="006B2B69">
        <w:rPr>
          <w:rFonts w:ascii="Times New Roman" w:eastAsia="Times New Roman" w:hAnsi="Times New Roman" w:cs="Times New Roman"/>
          <w:i/>
          <w:sz w:val="24"/>
          <w:szCs w:val="24"/>
          <w:lang w:val="es-ES" w:eastAsia="es-MX"/>
        </w:rPr>
        <w:t xml:space="preserve"> a la fecha de la presentación de propuestas, hasta por un monto máximo acumulado equivalente a cuatro </w:t>
      </w:r>
      <w:r w:rsidR="006B2B69" w:rsidRPr="00DF55F9">
        <w:rPr>
          <w:rFonts w:ascii="Times New Roman" w:eastAsia="Times New Roman" w:hAnsi="Times New Roman" w:cs="Times New Roman"/>
          <w:i/>
          <w:sz w:val="24"/>
          <w:szCs w:val="24"/>
          <w:u w:val="single"/>
          <w:lang w:val="es-ES" w:eastAsia="es-MX"/>
        </w:rPr>
        <w:t>(4) veces el valor referencial</w:t>
      </w:r>
      <w:r w:rsidR="006B2B69">
        <w:rPr>
          <w:rFonts w:ascii="Times New Roman" w:eastAsia="Times New Roman" w:hAnsi="Times New Roman" w:cs="Times New Roman"/>
          <w:i/>
          <w:sz w:val="24"/>
          <w:szCs w:val="24"/>
          <w:lang w:val="es-ES" w:eastAsia="es-MX"/>
        </w:rPr>
        <w:t xml:space="preserve"> de la contratación”</w:t>
      </w:r>
      <w:r w:rsidR="00E61BFC">
        <w:rPr>
          <w:rFonts w:ascii="Times New Roman" w:eastAsia="Times New Roman" w:hAnsi="Times New Roman" w:cs="Times New Roman"/>
          <w:i/>
          <w:sz w:val="24"/>
          <w:szCs w:val="24"/>
          <w:lang w:val="es-ES" w:eastAsia="es-MX"/>
        </w:rPr>
        <w:t>.</w:t>
      </w:r>
      <w:r w:rsidR="00DF55F9">
        <w:rPr>
          <w:rFonts w:ascii="Times New Roman" w:eastAsia="Times New Roman" w:hAnsi="Times New Roman" w:cs="Times New Roman"/>
          <w:i/>
          <w:sz w:val="24"/>
          <w:szCs w:val="24"/>
          <w:lang w:val="es-ES" w:eastAsia="es-MX"/>
        </w:rPr>
        <w:t xml:space="preserve"> </w:t>
      </w:r>
      <w:r w:rsidR="00DF55F9">
        <w:rPr>
          <w:rFonts w:ascii="Times New Roman" w:eastAsia="Times New Roman" w:hAnsi="Times New Roman" w:cs="Times New Roman"/>
          <w:sz w:val="24"/>
          <w:szCs w:val="24"/>
          <w:lang w:val="es-ES" w:eastAsia="es-MX"/>
        </w:rPr>
        <w:t xml:space="preserve">(El subrayado es agregado). </w:t>
      </w:r>
    </w:p>
    <w:p w:rsidR="006B2B69" w:rsidRDefault="006B2B69" w:rsidP="006B2B69">
      <w:pPr>
        <w:widowControl w:val="0"/>
        <w:spacing w:after="0" w:line="240" w:lineRule="auto"/>
        <w:jc w:val="both"/>
        <w:rPr>
          <w:rFonts w:ascii="Times New Roman" w:eastAsia="Times New Roman" w:hAnsi="Times New Roman" w:cs="Times New Roman"/>
          <w:sz w:val="24"/>
          <w:szCs w:val="24"/>
          <w:lang w:val="es-ES" w:eastAsia="es-MX"/>
        </w:rPr>
      </w:pPr>
    </w:p>
    <w:p w:rsidR="00E61BFC" w:rsidRPr="00E61BFC" w:rsidRDefault="00E61BFC" w:rsidP="00E61BFC">
      <w:pPr>
        <w:widowControl w:val="0"/>
        <w:suppressAutoHyphens/>
        <w:spacing w:after="0" w:line="240" w:lineRule="auto"/>
        <w:ind w:firstLine="1"/>
        <w:jc w:val="both"/>
        <w:rPr>
          <w:rFonts w:ascii="Times New Roman" w:eastAsia="Times New Roman" w:hAnsi="Times New Roman" w:cs="Times New Roman"/>
          <w:sz w:val="24"/>
          <w:szCs w:val="24"/>
          <w:lang w:val="es-MX" w:eastAsia="es-MX"/>
        </w:rPr>
      </w:pPr>
      <w:r>
        <w:rPr>
          <w:rFonts w:ascii="Times New Roman" w:eastAsia="Times New Roman" w:hAnsi="Times New Roman" w:cs="Times New Roman"/>
          <w:sz w:val="24"/>
          <w:szCs w:val="24"/>
          <w:lang w:val="es-MX" w:eastAsia="es-MX"/>
        </w:rPr>
        <w:t>Al respecto</w:t>
      </w:r>
      <w:r w:rsidRPr="00E61BFC">
        <w:rPr>
          <w:rFonts w:ascii="Times New Roman" w:eastAsia="Times New Roman" w:hAnsi="Times New Roman" w:cs="Times New Roman"/>
          <w:sz w:val="24"/>
          <w:szCs w:val="24"/>
          <w:lang w:val="es-MX" w:eastAsia="es-MX"/>
        </w:rPr>
        <w:t>, de acuerdo con el artículo 31 de la Ley y 43 del Reglamento, resulta de competencia del Comité Especial la determinación de los factores de evaluación, la fijación de los puntajes que se le asignará a cada uno de ellos, así como los criterios para su calificación, los cuales deberán ser objetivos y congruentes con el objeto de la convocatoria, sujetándose a criterios de razonabilidad y proporcionalidad.</w:t>
      </w:r>
    </w:p>
    <w:p w:rsidR="00E61BFC" w:rsidRPr="00E61BFC" w:rsidRDefault="00E61BFC" w:rsidP="00E61BFC">
      <w:pPr>
        <w:widowControl w:val="0"/>
        <w:spacing w:after="0" w:line="240" w:lineRule="auto"/>
        <w:jc w:val="both"/>
        <w:rPr>
          <w:rFonts w:ascii="Times New Roman" w:eastAsia="Times New Roman" w:hAnsi="Times New Roman" w:cs="Times New Roman"/>
          <w:sz w:val="24"/>
          <w:szCs w:val="24"/>
          <w:lang w:val="es-MX" w:eastAsia="es-ES"/>
        </w:rPr>
      </w:pPr>
    </w:p>
    <w:p w:rsidR="00E61BFC" w:rsidRDefault="00E61BFC" w:rsidP="004C23C7">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r>
        <w:rPr>
          <w:rFonts w:ascii="Times New Roman" w:eastAsia="Calibri" w:hAnsi="Times New Roman" w:cs="Times New Roman"/>
          <w:bCs/>
          <w:sz w:val="24"/>
          <w:szCs w:val="24"/>
          <w:lang w:val="es-ES" w:eastAsia="es-ES"/>
        </w:rPr>
        <w:t>Por su parte</w:t>
      </w:r>
      <w:r w:rsidRPr="00E61BFC">
        <w:rPr>
          <w:rFonts w:ascii="Times New Roman" w:eastAsia="Calibri" w:hAnsi="Times New Roman" w:cs="Times New Roman"/>
          <w:bCs/>
          <w:sz w:val="24"/>
          <w:szCs w:val="24"/>
          <w:lang w:val="es-ES" w:eastAsia="es-ES"/>
        </w:rPr>
        <w:t>, e</w:t>
      </w:r>
      <w:r w:rsidRPr="00E61BFC">
        <w:rPr>
          <w:rFonts w:ascii="Times New Roman" w:eastAsia="Times New Roman" w:hAnsi="Times New Roman" w:cs="Times New Roman"/>
          <w:sz w:val="24"/>
          <w:szCs w:val="24"/>
          <w:lang w:val="es-ES" w:eastAsia="es-ES"/>
        </w:rPr>
        <w:t>l artículo 4</w:t>
      </w:r>
      <w:r>
        <w:rPr>
          <w:rFonts w:ascii="Times New Roman" w:eastAsia="Times New Roman" w:hAnsi="Times New Roman" w:cs="Times New Roman"/>
          <w:sz w:val="24"/>
          <w:szCs w:val="24"/>
          <w:lang w:val="es-ES" w:eastAsia="es-ES"/>
        </w:rPr>
        <w:t>5</w:t>
      </w:r>
      <w:r w:rsidRPr="00E61BFC">
        <w:rPr>
          <w:rFonts w:ascii="Times New Roman" w:eastAsia="Times New Roman" w:hAnsi="Times New Roman" w:cs="Times New Roman"/>
          <w:sz w:val="24"/>
          <w:szCs w:val="24"/>
          <w:lang w:val="es-ES" w:eastAsia="es-ES"/>
        </w:rPr>
        <w:t xml:space="preserve"> del Reglamento regula parámetros que deben tomar</w:t>
      </w:r>
      <w:r>
        <w:rPr>
          <w:rFonts w:ascii="Times New Roman" w:eastAsia="Times New Roman" w:hAnsi="Times New Roman" w:cs="Times New Roman"/>
          <w:sz w:val="24"/>
          <w:szCs w:val="24"/>
          <w:lang w:val="es-ES" w:eastAsia="es-ES"/>
        </w:rPr>
        <w:t>se</w:t>
      </w:r>
      <w:r w:rsidRPr="00E61BFC">
        <w:rPr>
          <w:rFonts w:ascii="Times New Roman" w:eastAsia="Times New Roman" w:hAnsi="Times New Roman" w:cs="Times New Roman"/>
          <w:sz w:val="24"/>
          <w:szCs w:val="24"/>
          <w:lang w:val="es-ES" w:eastAsia="es-ES"/>
        </w:rPr>
        <w:t xml:space="preserve"> en consideración al momento de evaluar</w:t>
      </w:r>
      <w:r>
        <w:rPr>
          <w:rFonts w:ascii="Times New Roman" w:eastAsia="Times New Roman" w:hAnsi="Times New Roman" w:cs="Times New Roman"/>
          <w:sz w:val="24"/>
          <w:szCs w:val="24"/>
          <w:lang w:val="es-ES" w:eastAsia="es-ES"/>
        </w:rPr>
        <w:t>se</w:t>
      </w:r>
      <w:r w:rsidRPr="00E61BFC">
        <w:rPr>
          <w:rFonts w:ascii="Times New Roman" w:eastAsia="Times New Roman" w:hAnsi="Times New Roman" w:cs="Times New Roman"/>
          <w:sz w:val="24"/>
          <w:szCs w:val="24"/>
          <w:lang w:val="es-ES" w:eastAsia="es-ES"/>
        </w:rPr>
        <w:t xml:space="preserve"> la experiencia del postor, los cuales están referidos a la antigüedad de las prestaciones que el postor puede acreditar como parte de su experiencia (</w:t>
      </w:r>
      <w:r w:rsidRPr="00E61BFC">
        <w:rPr>
          <w:rFonts w:ascii="Times New Roman" w:eastAsia="Times New Roman" w:hAnsi="Times New Roman" w:cs="Times New Roman"/>
          <w:sz w:val="24"/>
          <w:szCs w:val="24"/>
          <w:u w:val="single"/>
          <w:lang w:val="es-ES" w:eastAsia="es-ES"/>
        </w:rPr>
        <w:t xml:space="preserve">hasta </w:t>
      </w:r>
      <w:r>
        <w:rPr>
          <w:rFonts w:ascii="Times New Roman" w:eastAsia="Times New Roman" w:hAnsi="Times New Roman" w:cs="Times New Roman"/>
          <w:sz w:val="24"/>
          <w:szCs w:val="24"/>
          <w:u w:val="single"/>
          <w:lang w:val="es-ES" w:eastAsia="es-ES"/>
        </w:rPr>
        <w:t>ocho</w:t>
      </w:r>
      <w:r w:rsidRPr="00E61BFC">
        <w:rPr>
          <w:rFonts w:ascii="Times New Roman" w:eastAsia="Times New Roman" w:hAnsi="Times New Roman" w:cs="Times New Roman"/>
          <w:sz w:val="24"/>
          <w:szCs w:val="24"/>
          <w:u w:val="single"/>
          <w:lang w:val="es-ES" w:eastAsia="es-ES"/>
        </w:rPr>
        <w:t xml:space="preserve"> años</w:t>
      </w:r>
      <w:r w:rsidRPr="00E61BFC">
        <w:rPr>
          <w:rFonts w:ascii="Times New Roman" w:eastAsia="Times New Roman" w:hAnsi="Times New Roman" w:cs="Times New Roman"/>
          <w:sz w:val="24"/>
          <w:szCs w:val="24"/>
          <w:lang w:val="es-ES" w:eastAsia="es-ES"/>
        </w:rPr>
        <w:t>) y el monto máximo (</w:t>
      </w:r>
      <w:r w:rsidRPr="00E61BFC">
        <w:rPr>
          <w:rFonts w:ascii="Times New Roman" w:eastAsia="Times New Roman" w:hAnsi="Times New Roman" w:cs="Times New Roman"/>
          <w:sz w:val="24"/>
          <w:szCs w:val="24"/>
          <w:u w:val="single"/>
          <w:lang w:val="es-ES" w:eastAsia="es-ES"/>
        </w:rPr>
        <w:t>hasta cinco veces el valor referencial</w:t>
      </w:r>
      <w:r w:rsidRPr="00E61BFC">
        <w:rPr>
          <w:rFonts w:ascii="Times New Roman" w:eastAsia="Times New Roman" w:hAnsi="Times New Roman" w:cs="Times New Roman"/>
          <w:sz w:val="24"/>
          <w:szCs w:val="24"/>
          <w:lang w:val="es-ES" w:eastAsia="es-ES"/>
        </w:rPr>
        <w:t>) sobre el que debe calificarse dicha experiencia.</w:t>
      </w:r>
    </w:p>
    <w:p w:rsidR="001F2E18" w:rsidRPr="004C23C7" w:rsidRDefault="001F2E18" w:rsidP="004C23C7">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p>
    <w:p w:rsidR="00E61BFC" w:rsidRDefault="00E61BFC" w:rsidP="00E61BFC">
      <w:pPr>
        <w:widowControl w:val="0"/>
        <w:spacing w:after="0" w:line="240" w:lineRule="auto"/>
        <w:jc w:val="both"/>
        <w:rPr>
          <w:rFonts w:ascii="Times New Roman" w:eastAsia="Times New Roman" w:hAnsi="Times New Roman" w:cs="Times New Roman"/>
          <w:sz w:val="24"/>
          <w:szCs w:val="24"/>
          <w:lang w:val="es-ES" w:eastAsia="es-ES"/>
        </w:rPr>
      </w:pPr>
      <w:r w:rsidRPr="00E61BFC">
        <w:rPr>
          <w:rFonts w:ascii="Times New Roman" w:eastAsia="Times New Roman" w:hAnsi="Times New Roman" w:cs="Times New Roman"/>
          <w:sz w:val="24"/>
          <w:szCs w:val="24"/>
          <w:lang w:val="es-ES" w:eastAsia="es-ES"/>
        </w:rPr>
        <w:t xml:space="preserve">Ahora bien, de las Bases se advierte que </w:t>
      </w:r>
      <w:r>
        <w:rPr>
          <w:rFonts w:ascii="Times New Roman" w:eastAsia="Times New Roman" w:hAnsi="Times New Roman" w:cs="Times New Roman"/>
          <w:sz w:val="24"/>
          <w:szCs w:val="24"/>
          <w:lang w:val="es-ES" w:eastAsia="es-ES"/>
        </w:rPr>
        <w:t>tanto</w:t>
      </w:r>
      <w:r w:rsidRPr="00E61BFC">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 xml:space="preserve">el </w:t>
      </w:r>
      <w:r w:rsidRPr="00E61BFC">
        <w:rPr>
          <w:rFonts w:ascii="Times New Roman" w:eastAsia="Times New Roman" w:hAnsi="Times New Roman" w:cs="Times New Roman"/>
          <w:sz w:val="24"/>
          <w:szCs w:val="24"/>
          <w:lang w:val="es-ES" w:eastAsia="es-ES"/>
        </w:rPr>
        <w:t>monto</w:t>
      </w:r>
      <w:r w:rsidR="00685F8A">
        <w:rPr>
          <w:rFonts w:ascii="Times New Roman" w:eastAsia="Times New Roman" w:hAnsi="Times New Roman" w:cs="Times New Roman"/>
          <w:sz w:val="24"/>
          <w:szCs w:val="24"/>
          <w:lang w:val="es-ES" w:eastAsia="es-ES"/>
        </w:rPr>
        <w:t>,</w:t>
      </w:r>
      <w:r w:rsidRPr="00E61BFC">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 xml:space="preserve">como el periodo de experiencia </w:t>
      </w:r>
      <w:r w:rsidRPr="00E61BFC">
        <w:rPr>
          <w:rFonts w:ascii="Times New Roman" w:eastAsia="Times New Roman" w:hAnsi="Times New Roman" w:cs="Times New Roman"/>
          <w:sz w:val="24"/>
          <w:szCs w:val="24"/>
          <w:lang w:val="es-ES" w:eastAsia="es-ES"/>
        </w:rPr>
        <w:t>establecido</w:t>
      </w:r>
      <w:r>
        <w:rPr>
          <w:rFonts w:ascii="Times New Roman" w:eastAsia="Times New Roman" w:hAnsi="Times New Roman" w:cs="Times New Roman"/>
          <w:sz w:val="24"/>
          <w:szCs w:val="24"/>
          <w:lang w:val="es-ES" w:eastAsia="es-ES"/>
        </w:rPr>
        <w:t>s</w:t>
      </w:r>
      <w:r w:rsidRPr="00E61BFC">
        <w:rPr>
          <w:rFonts w:ascii="Times New Roman" w:eastAsia="Times New Roman" w:hAnsi="Times New Roman" w:cs="Times New Roman"/>
          <w:sz w:val="24"/>
          <w:szCs w:val="24"/>
          <w:lang w:val="es-ES" w:eastAsia="es-ES"/>
        </w:rPr>
        <w:t xml:space="preserve"> por el Comité Especial para calificar la experiencia de los postores</w:t>
      </w:r>
      <w:r w:rsidR="00685F8A">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w:t>
      </w:r>
      <w:r w:rsidRPr="00E61BFC">
        <w:rPr>
          <w:rFonts w:ascii="Times New Roman" w:eastAsia="Times New Roman" w:hAnsi="Times New Roman" w:cs="Times New Roman"/>
          <w:sz w:val="24"/>
          <w:szCs w:val="24"/>
          <w:lang w:val="es-ES" w:eastAsia="es-ES"/>
        </w:rPr>
        <w:t xml:space="preserve">se </w:t>
      </w:r>
      <w:r w:rsidRPr="00E61BFC">
        <w:rPr>
          <w:rFonts w:ascii="Times New Roman" w:eastAsia="Times New Roman" w:hAnsi="Times New Roman" w:cs="Times New Roman"/>
          <w:sz w:val="24"/>
          <w:szCs w:val="24"/>
          <w:lang w:val="es-ES" w:eastAsia="es-ES"/>
        </w:rPr>
        <w:lastRenderedPageBreak/>
        <w:t>encuentra</w:t>
      </w:r>
      <w:r>
        <w:rPr>
          <w:rFonts w:ascii="Times New Roman" w:eastAsia="Times New Roman" w:hAnsi="Times New Roman" w:cs="Times New Roman"/>
          <w:sz w:val="24"/>
          <w:szCs w:val="24"/>
          <w:lang w:val="es-ES" w:eastAsia="es-ES"/>
        </w:rPr>
        <w:t>n</w:t>
      </w:r>
      <w:r w:rsidRPr="00E61BFC">
        <w:rPr>
          <w:rFonts w:ascii="Times New Roman" w:eastAsia="Times New Roman" w:hAnsi="Times New Roman" w:cs="Times New Roman"/>
          <w:sz w:val="24"/>
          <w:szCs w:val="24"/>
          <w:lang w:val="es-ES" w:eastAsia="es-ES"/>
        </w:rPr>
        <w:t xml:space="preserve"> acorde</w:t>
      </w:r>
      <w:r>
        <w:rPr>
          <w:rFonts w:ascii="Times New Roman" w:eastAsia="Times New Roman" w:hAnsi="Times New Roman" w:cs="Times New Roman"/>
          <w:sz w:val="24"/>
          <w:szCs w:val="24"/>
          <w:lang w:val="es-ES" w:eastAsia="es-ES"/>
        </w:rPr>
        <w:t>s</w:t>
      </w:r>
      <w:r w:rsidRPr="00E61BFC">
        <w:rPr>
          <w:rFonts w:ascii="Times New Roman" w:eastAsia="Times New Roman" w:hAnsi="Times New Roman" w:cs="Times New Roman"/>
          <w:sz w:val="24"/>
          <w:szCs w:val="24"/>
          <w:lang w:val="es-ES" w:eastAsia="es-ES"/>
        </w:rPr>
        <w:t xml:space="preserve"> con lo establecido en el artículo antes citado. </w:t>
      </w:r>
    </w:p>
    <w:p w:rsidR="001F2E18" w:rsidRPr="00E61BFC" w:rsidRDefault="001F2E18" w:rsidP="00E61BFC">
      <w:pPr>
        <w:widowControl w:val="0"/>
        <w:spacing w:after="0" w:line="240" w:lineRule="auto"/>
        <w:jc w:val="both"/>
        <w:rPr>
          <w:rFonts w:ascii="Times New Roman" w:eastAsia="Times New Roman" w:hAnsi="Times New Roman" w:cs="Times New Roman"/>
          <w:sz w:val="24"/>
          <w:szCs w:val="24"/>
          <w:lang w:val="es-ES" w:eastAsia="es-ES"/>
        </w:rPr>
      </w:pPr>
    </w:p>
    <w:p w:rsidR="00E61BFC" w:rsidRPr="00685F8A" w:rsidRDefault="00E61BFC" w:rsidP="006B2B69">
      <w:pPr>
        <w:widowControl w:val="0"/>
        <w:spacing w:after="0" w:line="240" w:lineRule="auto"/>
        <w:jc w:val="both"/>
        <w:rPr>
          <w:rFonts w:ascii="Times New Roman" w:eastAsia="Times New Roman" w:hAnsi="Times New Roman" w:cs="Times New Roman"/>
          <w:sz w:val="24"/>
          <w:szCs w:val="24"/>
          <w:lang w:eastAsia="es-ES"/>
        </w:rPr>
      </w:pPr>
      <w:r w:rsidRPr="00E61BFC">
        <w:rPr>
          <w:rFonts w:ascii="Times New Roman" w:eastAsia="Times New Roman" w:hAnsi="Times New Roman" w:cs="Times New Roman"/>
          <w:sz w:val="24"/>
          <w:szCs w:val="24"/>
          <w:lang w:val="es-ES" w:eastAsia="es-ES"/>
        </w:rPr>
        <w:t>Por consiguiente,</w:t>
      </w:r>
      <w:r w:rsidR="00685F8A" w:rsidRPr="00685F8A">
        <w:rPr>
          <w:rFonts w:ascii="Times New Roman" w:eastAsia="Times New Roman" w:hAnsi="Times New Roman" w:cs="Times New Roman"/>
          <w:sz w:val="24"/>
          <w:szCs w:val="24"/>
          <w:lang w:eastAsia="es-MX"/>
        </w:rPr>
        <w:t xml:space="preserve"> </w:t>
      </w:r>
      <w:r w:rsidR="00685F8A" w:rsidRPr="00D42D5A">
        <w:rPr>
          <w:rFonts w:ascii="Times New Roman" w:eastAsia="Times New Roman" w:hAnsi="Times New Roman" w:cs="Times New Roman"/>
          <w:sz w:val="24"/>
          <w:szCs w:val="24"/>
          <w:lang w:eastAsia="es-MX"/>
        </w:rPr>
        <w:t>siendo responsabilidad de la Entidad definir los factores de evaluación</w:t>
      </w:r>
      <w:r w:rsidR="00685F8A">
        <w:rPr>
          <w:rFonts w:ascii="Times New Roman" w:eastAsia="Times New Roman" w:hAnsi="Times New Roman" w:cs="Times New Roman"/>
          <w:sz w:val="24"/>
          <w:szCs w:val="24"/>
          <w:lang w:eastAsia="es-MX"/>
        </w:rPr>
        <w:t xml:space="preserve"> y</w:t>
      </w:r>
      <w:r w:rsidRPr="00E61BFC">
        <w:rPr>
          <w:rFonts w:ascii="Times New Roman" w:eastAsia="Times New Roman" w:hAnsi="Times New Roman" w:cs="Times New Roman"/>
          <w:sz w:val="24"/>
          <w:szCs w:val="24"/>
          <w:lang w:val="es-ES" w:eastAsia="es-ES"/>
        </w:rPr>
        <w:t xml:space="preserve"> en la medida que el </w:t>
      </w:r>
      <w:r w:rsidR="00685F8A">
        <w:rPr>
          <w:rFonts w:ascii="Times New Roman" w:eastAsia="Times New Roman" w:hAnsi="Times New Roman" w:cs="Times New Roman"/>
          <w:sz w:val="24"/>
          <w:szCs w:val="24"/>
          <w:lang w:val="es-ES" w:eastAsia="es-ES"/>
        </w:rPr>
        <w:t>periodo de evaluación</w:t>
      </w:r>
      <w:r w:rsidRPr="00E61BFC">
        <w:rPr>
          <w:rFonts w:ascii="Times New Roman" w:eastAsia="Times New Roman" w:hAnsi="Times New Roman" w:cs="Times New Roman"/>
          <w:sz w:val="24"/>
          <w:szCs w:val="24"/>
          <w:lang w:val="es-ES" w:eastAsia="es-ES"/>
        </w:rPr>
        <w:t xml:space="preserve"> establecido por el Comité Especial en el factor</w:t>
      </w:r>
      <w:r w:rsidRPr="00E61BFC">
        <w:rPr>
          <w:rFonts w:ascii="Times New Roman" w:eastAsia="Calibri" w:hAnsi="Times New Roman" w:cs="Times New Roman"/>
          <w:bCs/>
          <w:sz w:val="24"/>
          <w:szCs w:val="24"/>
          <w:lang w:val="es-ES" w:eastAsia="es-ES"/>
        </w:rPr>
        <w:t xml:space="preserve"> “experiencia en </w:t>
      </w:r>
      <w:r w:rsidR="00685F8A">
        <w:rPr>
          <w:rFonts w:ascii="Times New Roman" w:eastAsia="Calibri" w:hAnsi="Times New Roman" w:cs="Times New Roman"/>
          <w:bCs/>
          <w:sz w:val="24"/>
          <w:szCs w:val="24"/>
          <w:lang w:val="es-ES" w:eastAsia="es-ES"/>
        </w:rPr>
        <w:t>la actividad</w:t>
      </w:r>
      <w:r w:rsidRPr="00E61BFC">
        <w:rPr>
          <w:rFonts w:ascii="Times New Roman" w:eastAsia="Calibri" w:hAnsi="Times New Roman" w:cs="Times New Roman"/>
          <w:bCs/>
          <w:sz w:val="24"/>
          <w:szCs w:val="24"/>
          <w:lang w:val="es-ES" w:eastAsia="es-ES"/>
        </w:rPr>
        <w:t xml:space="preserve">” </w:t>
      </w:r>
      <w:r w:rsidRPr="00E61BFC">
        <w:rPr>
          <w:rFonts w:ascii="Times New Roman" w:eastAsia="Times New Roman" w:hAnsi="Times New Roman" w:cs="Times New Roman"/>
          <w:sz w:val="24"/>
          <w:szCs w:val="24"/>
          <w:lang w:val="es-ES" w:eastAsia="es-ES"/>
        </w:rPr>
        <w:t xml:space="preserve">se encuentra dentro de los parámetros indicados en la normativa de contrataciones públicas, sin apreciarse que sea desproporcionado, este Organismo Supervisor ha decidido </w:t>
      </w:r>
      <w:r w:rsidRPr="00E61BFC">
        <w:rPr>
          <w:rFonts w:ascii="Times New Roman" w:eastAsia="Times New Roman" w:hAnsi="Times New Roman" w:cs="Times New Roman"/>
          <w:b/>
          <w:sz w:val="24"/>
          <w:szCs w:val="24"/>
          <w:lang w:val="es-ES" w:eastAsia="es-ES"/>
        </w:rPr>
        <w:t xml:space="preserve">NO ACOGER </w:t>
      </w:r>
      <w:r w:rsidRPr="00E61BFC">
        <w:rPr>
          <w:rFonts w:ascii="Times New Roman" w:eastAsia="Times New Roman" w:hAnsi="Times New Roman" w:cs="Times New Roman"/>
          <w:sz w:val="24"/>
          <w:szCs w:val="24"/>
          <w:lang w:val="es-ES" w:eastAsia="es-ES"/>
        </w:rPr>
        <w:t>la presente observación.</w:t>
      </w:r>
    </w:p>
    <w:p w:rsidR="00685F8A" w:rsidRPr="00D42D5A" w:rsidRDefault="00685F8A" w:rsidP="006B2B69">
      <w:pPr>
        <w:widowControl w:val="0"/>
        <w:tabs>
          <w:tab w:val="left" w:pos="0"/>
        </w:tabs>
        <w:spacing w:after="0" w:line="240" w:lineRule="auto"/>
        <w:jc w:val="both"/>
        <w:rPr>
          <w:rFonts w:ascii="Times New Roman" w:eastAsia="Times New Roman" w:hAnsi="Times New Roman" w:cs="Times New Roman"/>
          <w:sz w:val="24"/>
          <w:szCs w:val="24"/>
          <w:lang w:val="es-ES" w:eastAsia="es-MX"/>
        </w:rPr>
      </w:pPr>
    </w:p>
    <w:p w:rsidR="001C3517" w:rsidRPr="00685F8A" w:rsidRDefault="006B2B69" w:rsidP="00685F8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 xml:space="preserve">Cabe acotar que la determinación de los </w:t>
      </w:r>
      <w:r w:rsidRPr="00D42D5A">
        <w:rPr>
          <w:rFonts w:ascii="Times New Roman" w:eastAsia="Times New Roman" w:hAnsi="Times New Roman" w:cs="Times New Roman"/>
          <w:bCs/>
          <w:sz w:val="24"/>
          <w:szCs w:val="24"/>
          <w:lang w:val="es-ES" w:eastAsia="es-MX"/>
        </w:rPr>
        <w:t xml:space="preserve">factores de evaluación </w:t>
      </w:r>
      <w:r w:rsidRPr="00D42D5A">
        <w:rPr>
          <w:rFonts w:ascii="Times New Roman" w:eastAsia="Times New Roman" w:hAnsi="Times New Roman" w:cs="Times New Roman"/>
          <w:sz w:val="24"/>
          <w:szCs w:val="24"/>
          <w:lang w:val="es-ES_tradnl" w:eastAsia="es-MX"/>
        </w:rPr>
        <w:t>es responsabilidad de la Entidad, y por tanto, sujeta a rendición de cuentas por parte de la dependencia técnica encargada de su determinación ante el Titular de la Entidad, Contraloría General de la República, Ministerio Público, Poder Judicial y/o ant</w:t>
      </w:r>
      <w:r w:rsidR="00685F8A">
        <w:rPr>
          <w:rFonts w:ascii="Times New Roman" w:eastAsia="Times New Roman" w:hAnsi="Times New Roman" w:cs="Times New Roman"/>
          <w:sz w:val="24"/>
          <w:szCs w:val="24"/>
          <w:lang w:val="es-ES_tradnl" w:eastAsia="es-MX"/>
        </w:rPr>
        <w:t>e otros organismos competentes.</w:t>
      </w:r>
    </w:p>
    <w:p w:rsidR="001C3517" w:rsidRPr="008B4D44" w:rsidRDefault="001C3517" w:rsidP="008B4D44">
      <w:pPr>
        <w:tabs>
          <w:tab w:val="left" w:pos="567"/>
        </w:tabs>
        <w:spacing w:after="0" w:line="240" w:lineRule="auto"/>
        <w:jc w:val="both"/>
        <w:rPr>
          <w:rFonts w:ascii="Times New Roman" w:eastAsia="Times New Roman" w:hAnsi="Times New Roman" w:cs="Times New Roman"/>
          <w:b/>
          <w:sz w:val="24"/>
          <w:szCs w:val="24"/>
          <w:lang w:val="es-ES" w:eastAsia="es-MX"/>
        </w:rPr>
      </w:pPr>
    </w:p>
    <w:p w:rsidR="008B4D44" w:rsidRPr="008B4D44" w:rsidRDefault="008B4D44" w:rsidP="008B4D44">
      <w:pPr>
        <w:widowControl w:val="0"/>
        <w:numPr>
          <w:ilvl w:val="0"/>
          <w:numId w:val="1"/>
        </w:numPr>
        <w:tabs>
          <w:tab w:val="clear" w:pos="360"/>
        </w:tabs>
        <w:spacing w:after="0" w:line="240" w:lineRule="auto"/>
        <w:ind w:left="284" w:hanging="284"/>
        <w:jc w:val="both"/>
        <w:rPr>
          <w:rFonts w:ascii="Times New Roman" w:eastAsia="Times New Roman" w:hAnsi="Times New Roman" w:cs="Times New Roman"/>
          <w:b/>
          <w:sz w:val="24"/>
          <w:szCs w:val="24"/>
          <w:lang w:eastAsia="es-MX"/>
        </w:rPr>
      </w:pPr>
      <w:r w:rsidRPr="008B4D44">
        <w:rPr>
          <w:rFonts w:ascii="Times New Roman" w:eastAsia="Times New Roman" w:hAnsi="Times New Roman" w:cs="Times New Roman"/>
          <w:b/>
          <w:sz w:val="24"/>
          <w:szCs w:val="24"/>
          <w:lang w:val="es-ES" w:eastAsia="es-MX"/>
        </w:rPr>
        <w:t>CONTENIDO</w:t>
      </w:r>
      <w:r w:rsidRPr="008B4D44">
        <w:rPr>
          <w:rFonts w:ascii="Times New Roman" w:eastAsia="Times New Roman" w:hAnsi="Times New Roman" w:cs="Times New Roman"/>
          <w:b/>
          <w:sz w:val="24"/>
          <w:szCs w:val="24"/>
          <w:lang w:eastAsia="es-MX"/>
        </w:rPr>
        <w:t xml:space="preserve"> DE LAS BASES CONTRARIO A </w:t>
      </w:r>
      <w:smartTag w:uri="urn:schemas-microsoft-com:office:smarttags" w:element="PersonName">
        <w:smartTagPr>
          <w:attr w:name="ProductID" w:val="LA NORMATIVA SOBRE"/>
        </w:smartTagPr>
        <w:r w:rsidRPr="008B4D44">
          <w:rPr>
            <w:rFonts w:ascii="Times New Roman" w:eastAsia="Times New Roman" w:hAnsi="Times New Roman" w:cs="Times New Roman"/>
            <w:b/>
            <w:sz w:val="24"/>
            <w:szCs w:val="24"/>
            <w:lang w:eastAsia="es-MX"/>
          </w:rPr>
          <w:t>LA NORMATIVA SOBRE</w:t>
        </w:r>
      </w:smartTag>
      <w:r w:rsidRPr="008B4D44">
        <w:rPr>
          <w:rFonts w:ascii="Times New Roman" w:eastAsia="Times New Roman" w:hAnsi="Times New Roman" w:cs="Times New Roman"/>
          <w:b/>
          <w:sz w:val="24"/>
          <w:szCs w:val="24"/>
          <w:lang w:eastAsia="es-MX"/>
        </w:rPr>
        <w:t xml:space="preserve">  CONTRATACIONES DEL ESTADO </w:t>
      </w:r>
    </w:p>
    <w:p w:rsidR="008B4D44" w:rsidRPr="008B4D44" w:rsidRDefault="008B4D44" w:rsidP="008B4D44">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sz w:val="24"/>
          <w:szCs w:val="24"/>
          <w:lang w:val="es-ES" w:eastAsia="es-MX"/>
        </w:rPr>
        <w:t xml:space="preserve"> </w:t>
      </w:r>
    </w:p>
    <w:p w:rsidR="008B4D44" w:rsidRPr="008B4D44" w:rsidRDefault="008B4D44" w:rsidP="008B4D44">
      <w:pPr>
        <w:widowControl w:val="0"/>
        <w:spacing w:after="0" w:line="240" w:lineRule="auto"/>
        <w:jc w:val="both"/>
        <w:rPr>
          <w:rFonts w:ascii="Times New Roman" w:eastAsia="Times New Roman" w:hAnsi="Times New Roman" w:cs="Times New Roman"/>
          <w:sz w:val="24"/>
          <w:szCs w:val="24"/>
          <w:lang w:val="es-ES" w:eastAsia="es-MX"/>
        </w:rPr>
      </w:pPr>
      <w:r w:rsidRPr="008B4D44">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w:t>
      </w:r>
    </w:p>
    <w:p w:rsidR="008B4D44" w:rsidRPr="008B4D44" w:rsidRDefault="008B4D44" w:rsidP="008B4D44">
      <w:pPr>
        <w:widowControl w:val="0"/>
        <w:spacing w:after="0" w:line="240" w:lineRule="auto"/>
        <w:jc w:val="both"/>
        <w:rPr>
          <w:rFonts w:ascii="Times New Roman" w:eastAsia="Times New Roman" w:hAnsi="Times New Roman" w:cs="Times New Roman"/>
          <w:b/>
          <w:sz w:val="24"/>
          <w:szCs w:val="24"/>
          <w:lang w:val="es-ES" w:eastAsia="es-MX"/>
        </w:rPr>
      </w:pPr>
    </w:p>
    <w:p w:rsidR="00185CE5" w:rsidRDefault="00CB7D5C" w:rsidP="00CB7D5C">
      <w:pPr>
        <w:widowControl w:val="0"/>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Documentación de presentación facultativa</w:t>
      </w:r>
    </w:p>
    <w:p w:rsidR="00CB7D5C" w:rsidRDefault="00CB7D5C" w:rsidP="00CB7D5C">
      <w:pPr>
        <w:widowControl w:val="0"/>
        <w:spacing w:after="0" w:line="240" w:lineRule="auto"/>
        <w:jc w:val="both"/>
        <w:rPr>
          <w:rFonts w:ascii="Times New Roman" w:eastAsia="Times New Roman" w:hAnsi="Times New Roman" w:cs="Times New Roman"/>
          <w:b/>
          <w:sz w:val="24"/>
          <w:szCs w:val="24"/>
          <w:lang w:val="es-ES" w:eastAsia="es-MX"/>
        </w:rPr>
      </w:pPr>
    </w:p>
    <w:p w:rsidR="00CB7D5C" w:rsidRPr="00CB7D5C" w:rsidRDefault="00A736CD" w:rsidP="00CB7D5C">
      <w:pPr>
        <w:widowControl w:val="0"/>
        <w:spacing w:after="0" w:line="240" w:lineRule="auto"/>
        <w:jc w:val="both"/>
        <w:rPr>
          <w:rFonts w:ascii="Times New Roman" w:eastAsia="Times New Roman" w:hAnsi="Times New Roman" w:cs="Times New Roman"/>
          <w:b/>
          <w:sz w:val="24"/>
          <w:szCs w:val="24"/>
          <w:lang w:val="es-MX" w:eastAsia="es-MX"/>
        </w:rPr>
      </w:pPr>
      <w:r>
        <w:rPr>
          <w:rFonts w:ascii="Times New Roman" w:eastAsia="Times New Roman" w:hAnsi="Times New Roman"/>
          <w:noProof/>
          <w:sz w:val="24"/>
          <w:szCs w:val="24"/>
          <w:lang w:eastAsia="es-PE"/>
        </w:rPr>
        <w:drawing>
          <wp:anchor distT="0" distB="0" distL="114300" distR="114300" simplePos="0" relativeHeight="251661312" behindDoc="0" locked="0" layoutInCell="1" allowOverlap="1" wp14:anchorId="29FBDE79" wp14:editId="3E92839A">
            <wp:simplePos x="0" y="0"/>
            <wp:positionH relativeFrom="column">
              <wp:posOffset>-1014789</wp:posOffset>
            </wp:positionH>
            <wp:positionV relativeFrom="paragraph">
              <wp:posOffset>1097280</wp:posOffset>
            </wp:positionV>
            <wp:extent cx="971550" cy="35337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B7D5C" w:rsidRPr="00CB7D5C">
        <w:rPr>
          <w:rFonts w:ascii="Times New Roman" w:eastAsia="Times New Roman" w:hAnsi="Times New Roman" w:cs="Times New Roman"/>
          <w:sz w:val="24"/>
          <w:szCs w:val="24"/>
          <w:lang w:val="es-ES" w:eastAsia="es-ES"/>
        </w:rPr>
        <w:t xml:space="preserve">A efectos de uniformizar la forma de acreditación del factor que evalúa el cumplimiento de la prestación, </w:t>
      </w:r>
      <w:r w:rsidR="00CB7D5C" w:rsidRPr="00CB7D5C">
        <w:rPr>
          <w:rFonts w:ascii="Times New Roman" w:eastAsia="Times New Roman" w:hAnsi="Times New Roman" w:cs="Times New Roman"/>
          <w:b/>
          <w:sz w:val="24"/>
          <w:szCs w:val="24"/>
          <w:u w:val="single"/>
          <w:lang w:val="es-ES" w:eastAsia="es-ES"/>
        </w:rPr>
        <w:t xml:space="preserve">en el </w:t>
      </w:r>
      <w:r w:rsidR="00CB7D5C" w:rsidRPr="00CB7D5C">
        <w:rPr>
          <w:rFonts w:ascii="Times New Roman" w:eastAsia="Times New Roman" w:hAnsi="Times New Roman" w:cs="Times New Roman"/>
          <w:b/>
          <w:sz w:val="24"/>
          <w:szCs w:val="24"/>
          <w:u w:val="single"/>
          <w:lang w:val="es-ES" w:eastAsia="es-MX"/>
        </w:rPr>
        <w:t xml:space="preserve">literal </w:t>
      </w:r>
      <w:r w:rsidR="00CB7D5C">
        <w:rPr>
          <w:rFonts w:ascii="Times New Roman" w:eastAsia="Times New Roman" w:hAnsi="Times New Roman" w:cs="Times New Roman"/>
          <w:b/>
          <w:sz w:val="24"/>
          <w:szCs w:val="24"/>
          <w:u w:val="single"/>
          <w:lang w:val="es-ES" w:eastAsia="es-MX"/>
        </w:rPr>
        <w:t>b</w:t>
      </w:r>
      <w:r w:rsidR="00CB7D5C" w:rsidRPr="00CB7D5C">
        <w:rPr>
          <w:rFonts w:ascii="Times New Roman" w:eastAsia="Times New Roman" w:hAnsi="Times New Roman" w:cs="Times New Roman"/>
          <w:b/>
          <w:sz w:val="24"/>
          <w:szCs w:val="24"/>
          <w:u w:val="single"/>
          <w:lang w:val="es-ES" w:eastAsia="es-MX"/>
        </w:rPr>
        <w:t xml:space="preserve">) </w:t>
      </w:r>
      <w:r w:rsidR="00CB7D5C" w:rsidRPr="00CB7D5C">
        <w:rPr>
          <w:rFonts w:ascii="Times New Roman" w:eastAsia="Times New Roman" w:hAnsi="Times New Roman" w:cs="Times New Roman"/>
          <w:b/>
          <w:sz w:val="24"/>
          <w:szCs w:val="24"/>
          <w:u w:val="single"/>
          <w:lang w:val="es-ES" w:eastAsia="es-ES"/>
        </w:rPr>
        <w:t xml:space="preserve">de la documentación facultativa de la propuesta técnica deberá señalarse que el cumplimiento de la prestación se acreditará mediante </w:t>
      </w:r>
      <w:r w:rsidR="00CB7D5C" w:rsidRPr="00CB7D5C">
        <w:rPr>
          <w:rFonts w:ascii="Times New Roman" w:eastAsia="Times New Roman" w:hAnsi="Times New Roman" w:cs="Times New Roman"/>
          <w:b/>
          <w:sz w:val="24"/>
          <w:szCs w:val="24"/>
          <w:u w:val="single"/>
          <w:lang w:val="es-ES" w:eastAsia="es-MX"/>
        </w:rPr>
        <w:t xml:space="preserve">la presentación de un máximo de </w:t>
      </w:r>
      <w:r w:rsidR="0015071D">
        <w:rPr>
          <w:rFonts w:ascii="Times New Roman" w:eastAsia="Times New Roman" w:hAnsi="Times New Roman" w:cs="Times New Roman"/>
          <w:b/>
          <w:sz w:val="24"/>
          <w:szCs w:val="24"/>
          <w:u w:val="single"/>
          <w:lang w:val="es-ES" w:eastAsia="es-MX"/>
        </w:rPr>
        <w:t>diez</w:t>
      </w:r>
      <w:r w:rsidR="00CB7D5C" w:rsidRPr="00CB7D5C">
        <w:rPr>
          <w:rFonts w:ascii="Times New Roman" w:eastAsia="Times New Roman" w:hAnsi="Times New Roman" w:cs="Times New Roman"/>
          <w:b/>
          <w:sz w:val="24"/>
          <w:szCs w:val="24"/>
          <w:u w:val="single"/>
          <w:lang w:val="es-ES" w:eastAsia="es-MX"/>
        </w:rPr>
        <w:t xml:space="preserve"> (</w:t>
      </w:r>
      <w:r w:rsidR="00CB7D5C">
        <w:rPr>
          <w:rFonts w:ascii="Times New Roman" w:eastAsia="Times New Roman" w:hAnsi="Times New Roman" w:cs="Times New Roman"/>
          <w:b/>
          <w:sz w:val="24"/>
          <w:szCs w:val="24"/>
          <w:u w:val="single"/>
          <w:lang w:val="es-ES" w:eastAsia="es-MX"/>
        </w:rPr>
        <w:t>1</w:t>
      </w:r>
      <w:r w:rsidR="00CB7D5C" w:rsidRPr="00CB7D5C">
        <w:rPr>
          <w:rFonts w:ascii="Times New Roman" w:eastAsia="Times New Roman" w:hAnsi="Times New Roman" w:cs="Times New Roman"/>
          <w:b/>
          <w:sz w:val="24"/>
          <w:szCs w:val="24"/>
          <w:u w:val="single"/>
          <w:lang w:val="es-ES" w:eastAsia="es-MX"/>
        </w:rPr>
        <w:t xml:space="preserve">0) constancias de prestación o cualquier otro documento que, independientemente de su denominación, indique, como mínimo, lo siguiente: i) </w:t>
      </w:r>
      <w:r w:rsidR="00CB7D5C" w:rsidRPr="00CB7D5C">
        <w:rPr>
          <w:rFonts w:ascii="Times New Roman" w:eastAsia="Times New Roman" w:hAnsi="Times New Roman" w:cs="Times New Roman"/>
          <w:b/>
          <w:sz w:val="24"/>
          <w:szCs w:val="24"/>
          <w:u w:val="single"/>
          <w:lang w:val="es-ES" w:eastAsia="ja-JP"/>
        </w:rPr>
        <w:t>La identificación del contrato u orden de compra,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r w:rsidR="00CB7D5C" w:rsidRPr="00CB7D5C">
        <w:rPr>
          <w:rFonts w:ascii="Times New Roman" w:eastAsia="Times New Roman" w:hAnsi="Times New Roman" w:cs="Times New Roman"/>
          <w:b/>
          <w:sz w:val="24"/>
          <w:szCs w:val="24"/>
          <w:lang w:val="es-ES" w:eastAsia="ja-JP"/>
        </w:rPr>
        <w:t xml:space="preserve"> </w:t>
      </w:r>
      <w:r w:rsidR="00CB7D5C" w:rsidRPr="00CB7D5C">
        <w:rPr>
          <w:rFonts w:ascii="Times New Roman" w:eastAsia="Times New Roman" w:hAnsi="Times New Roman" w:cs="Times New Roman"/>
          <w:iCs/>
          <w:sz w:val="24"/>
          <w:szCs w:val="24"/>
          <w:lang w:val="es-ES" w:eastAsia="es-MX"/>
        </w:rPr>
        <w:t>de conformidad con lo establecido por las Bases estándar y en concordancia con lo contemplado en el Capítulo IV de las Bases.</w:t>
      </w:r>
    </w:p>
    <w:p w:rsidR="004C23C7" w:rsidRPr="008B4D44" w:rsidRDefault="004C23C7" w:rsidP="008B4D44">
      <w:pPr>
        <w:widowControl w:val="0"/>
        <w:tabs>
          <w:tab w:val="left" w:pos="540"/>
        </w:tabs>
        <w:spacing w:after="0" w:line="240" w:lineRule="auto"/>
        <w:jc w:val="both"/>
        <w:rPr>
          <w:rFonts w:ascii="Times New Roman" w:eastAsia="Times New Roman" w:hAnsi="Times New Roman" w:cs="Times New Roman"/>
          <w:sz w:val="24"/>
          <w:szCs w:val="24"/>
          <w:lang w:val="es-ES" w:eastAsia="es-MX"/>
        </w:rPr>
      </w:pPr>
    </w:p>
    <w:p w:rsidR="008B4D44" w:rsidRPr="008B4D44" w:rsidRDefault="008B4D44" w:rsidP="008B4D44">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8B4D44">
        <w:rPr>
          <w:rFonts w:ascii="Times New Roman" w:eastAsia="Times New Roman" w:hAnsi="Times New Roman" w:cs="Times New Roman"/>
          <w:b/>
          <w:sz w:val="24"/>
          <w:szCs w:val="24"/>
          <w:lang w:val="es-MX" w:eastAsia="es-MX"/>
        </w:rPr>
        <w:t xml:space="preserve">CONCLUSIONES </w:t>
      </w:r>
    </w:p>
    <w:p w:rsidR="008B4D44" w:rsidRPr="008B4D44" w:rsidRDefault="008B4D44" w:rsidP="008B4D44">
      <w:pPr>
        <w:widowControl w:val="0"/>
        <w:spacing w:after="0" w:line="240" w:lineRule="auto"/>
        <w:jc w:val="both"/>
        <w:rPr>
          <w:rFonts w:ascii="Times New Roman" w:eastAsia="Times New Roman" w:hAnsi="Times New Roman" w:cs="Times New Roman"/>
          <w:snapToGrid w:val="0"/>
          <w:sz w:val="24"/>
          <w:szCs w:val="24"/>
          <w:lang w:eastAsia="es-MX"/>
        </w:rPr>
      </w:pPr>
    </w:p>
    <w:p w:rsidR="008B4D44" w:rsidRPr="008B4D44" w:rsidRDefault="008B4D44" w:rsidP="008B4D44">
      <w:pPr>
        <w:autoSpaceDE w:val="0"/>
        <w:autoSpaceDN w:val="0"/>
        <w:adjustRightInd w:val="0"/>
        <w:spacing w:after="0" w:line="240" w:lineRule="auto"/>
        <w:jc w:val="both"/>
        <w:rPr>
          <w:rFonts w:ascii="Times New Roman" w:eastAsia="Calibri" w:hAnsi="Times New Roman" w:cs="Times New Roman"/>
          <w:sz w:val="24"/>
          <w:szCs w:val="24"/>
          <w:lang w:eastAsia="es-MX"/>
        </w:rPr>
      </w:pPr>
      <w:r w:rsidRPr="008B4D44">
        <w:rPr>
          <w:rFonts w:ascii="Times New Roman" w:eastAsia="Calibri" w:hAnsi="Times New Roman" w:cs="Times New Roman"/>
          <w:sz w:val="24"/>
          <w:szCs w:val="24"/>
          <w:lang w:eastAsia="es-MX"/>
        </w:rPr>
        <w:t>En virtud de lo expuesto, este Organismo Supervisor ha dispuesto:</w:t>
      </w:r>
    </w:p>
    <w:p w:rsidR="00FE099F" w:rsidRPr="00FE099F" w:rsidRDefault="00FE099F" w:rsidP="00FE099F">
      <w:pPr>
        <w:spacing w:after="0" w:line="240" w:lineRule="auto"/>
        <w:jc w:val="both"/>
        <w:rPr>
          <w:rFonts w:ascii="Times New Roman" w:eastAsia="Times New Roman" w:hAnsi="Times New Roman" w:cs="Times New Roman"/>
          <w:sz w:val="24"/>
          <w:szCs w:val="24"/>
          <w:lang w:eastAsia="es-PE"/>
        </w:rPr>
      </w:pPr>
    </w:p>
    <w:p w:rsidR="00FE099F" w:rsidRPr="00FE099F" w:rsidRDefault="00FE099F"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t xml:space="preserve">El </w:t>
      </w:r>
      <w:r w:rsidRPr="00FE099F">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FE099F" w:rsidRPr="00FE099F" w:rsidRDefault="00FE099F" w:rsidP="00FE099F">
      <w:pPr>
        <w:spacing w:after="0" w:line="240" w:lineRule="auto"/>
        <w:ind w:left="709"/>
        <w:jc w:val="both"/>
        <w:rPr>
          <w:rFonts w:ascii="Times New Roman" w:eastAsia="Times New Roman" w:hAnsi="Times New Roman" w:cs="Times New Roman"/>
          <w:sz w:val="24"/>
          <w:szCs w:val="24"/>
          <w:lang w:eastAsia="es-PE"/>
        </w:rPr>
      </w:pPr>
    </w:p>
    <w:p w:rsidR="00FE099F" w:rsidRPr="001F2E18" w:rsidRDefault="00FE099F" w:rsidP="001F2E18">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FE099F" w:rsidRPr="00FE099F" w:rsidRDefault="00FE099F"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lastRenderedPageBreak/>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FE099F" w:rsidRPr="00FE099F" w:rsidRDefault="00FE099F" w:rsidP="00FE099F">
      <w:pPr>
        <w:spacing w:after="0" w:line="240" w:lineRule="auto"/>
        <w:jc w:val="both"/>
        <w:rPr>
          <w:rFonts w:ascii="Times New Roman" w:eastAsia="Times New Roman" w:hAnsi="Times New Roman" w:cs="Times New Roman"/>
          <w:sz w:val="24"/>
          <w:szCs w:val="24"/>
          <w:lang w:eastAsia="es-PE"/>
        </w:rPr>
      </w:pPr>
    </w:p>
    <w:p w:rsidR="00FE099F" w:rsidRPr="00FE099F" w:rsidRDefault="00FE099F"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FE099F" w:rsidRPr="00FE099F" w:rsidRDefault="00FE099F" w:rsidP="00FE099F">
      <w:pPr>
        <w:spacing w:after="0" w:line="240" w:lineRule="auto"/>
        <w:jc w:val="both"/>
        <w:rPr>
          <w:rFonts w:ascii="Times New Roman" w:eastAsia="Times New Roman" w:hAnsi="Times New Roman" w:cs="Times New Roman"/>
          <w:sz w:val="24"/>
          <w:szCs w:val="24"/>
          <w:lang w:eastAsia="es-PE"/>
        </w:rPr>
      </w:pPr>
    </w:p>
    <w:p w:rsidR="00FE099F" w:rsidRPr="00FE099F" w:rsidRDefault="00FE099F"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FE099F" w:rsidRPr="00FE099F" w:rsidRDefault="00FE099F" w:rsidP="00FE099F">
      <w:pPr>
        <w:spacing w:after="0" w:line="240" w:lineRule="auto"/>
        <w:jc w:val="both"/>
        <w:rPr>
          <w:rFonts w:ascii="Times New Roman" w:eastAsia="Times New Roman" w:hAnsi="Times New Roman" w:cs="Times New Roman"/>
          <w:sz w:val="24"/>
          <w:szCs w:val="24"/>
          <w:lang w:eastAsia="es-PE"/>
        </w:rPr>
      </w:pPr>
    </w:p>
    <w:p w:rsidR="00FE099F" w:rsidRPr="00FE099F" w:rsidRDefault="00A736CD"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Pr>
          <w:rFonts w:ascii="Times New Roman" w:eastAsia="Times New Roman" w:hAnsi="Times New Roman"/>
          <w:noProof/>
          <w:sz w:val="24"/>
          <w:szCs w:val="24"/>
          <w:lang w:eastAsia="es-PE"/>
        </w:rPr>
        <w:drawing>
          <wp:anchor distT="0" distB="0" distL="114300" distR="114300" simplePos="0" relativeHeight="251659264" behindDoc="0" locked="0" layoutInCell="1" allowOverlap="1" wp14:anchorId="72FE935A" wp14:editId="2B67DEF4">
            <wp:simplePos x="0" y="0"/>
            <wp:positionH relativeFrom="column">
              <wp:posOffset>-989761</wp:posOffset>
            </wp:positionH>
            <wp:positionV relativeFrom="paragraph">
              <wp:posOffset>655955</wp:posOffset>
            </wp:positionV>
            <wp:extent cx="970280" cy="2603500"/>
            <wp:effectExtent l="0" t="0" r="127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9">
                      <a:extLst>
                        <a:ext uri="{28A0092B-C50C-407E-A947-70E740481C1C}">
                          <a14:useLocalDpi xmlns:a14="http://schemas.microsoft.com/office/drawing/2010/main" val="0"/>
                        </a:ext>
                      </a:extLst>
                    </a:blip>
                    <a:srcRect t="26236"/>
                    <a:stretch>
                      <a:fillRect/>
                    </a:stretch>
                  </pic:blipFill>
                  <pic:spPr bwMode="auto">
                    <a:xfrm>
                      <a:off x="0" y="0"/>
                      <a:ext cx="970280" cy="260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E099F" w:rsidRPr="00FE099F">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FE099F" w:rsidRPr="00FE099F" w:rsidRDefault="00FE099F" w:rsidP="00FE099F">
      <w:pPr>
        <w:spacing w:after="0" w:line="240" w:lineRule="auto"/>
        <w:ind w:left="567"/>
        <w:jc w:val="both"/>
        <w:rPr>
          <w:rFonts w:ascii="Times New Roman" w:eastAsia="Times New Roman" w:hAnsi="Times New Roman" w:cs="Times New Roman"/>
          <w:sz w:val="24"/>
          <w:szCs w:val="24"/>
          <w:lang w:eastAsia="es-PE"/>
        </w:rPr>
      </w:pPr>
    </w:p>
    <w:p w:rsidR="00FE099F" w:rsidRPr="00FE099F" w:rsidRDefault="00FE099F" w:rsidP="00FE099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FE099F">
        <w:rPr>
          <w:rFonts w:ascii="Times New Roman" w:eastAsia="Times New Roman" w:hAnsi="Times New Roman" w:cs="Times New Roman"/>
          <w:sz w:val="24"/>
          <w:szCs w:val="24"/>
          <w:lang w:eastAsia="es-PE"/>
        </w:rPr>
        <w:t>En caso la Entidad continúe</w:t>
      </w:r>
      <w:bookmarkStart w:id="0" w:name="_GoBack"/>
      <w:bookmarkEnd w:id="0"/>
      <w:r w:rsidRPr="00FE099F">
        <w:rPr>
          <w:rFonts w:ascii="Times New Roman" w:eastAsia="Times New Roman" w:hAnsi="Times New Roman" w:cs="Times New Roman"/>
          <w:sz w:val="24"/>
          <w:szCs w:val="24"/>
          <w:lang w:eastAsia="es-PE"/>
        </w:rPr>
        <w:t xml:space="preserv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B4D44" w:rsidRPr="008B4D44" w:rsidRDefault="008B4D44" w:rsidP="001F2E18">
      <w:pPr>
        <w:widowControl w:val="0"/>
        <w:tabs>
          <w:tab w:val="left" w:pos="2660"/>
        </w:tabs>
        <w:spacing w:after="0" w:line="240" w:lineRule="auto"/>
        <w:rPr>
          <w:rFonts w:ascii="Times New Roman" w:eastAsia="Times New Roman" w:hAnsi="Times New Roman" w:cs="Times New Roman"/>
          <w:sz w:val="24"/>
          <w:szCs w:val="24"/>
          <w:lang w:eastAsia="es-MX"/>
        </w:rPr>
      </w:pPr>
    </w:p>
    <w:p w:rsidR="008B4D44" w:rsidRPr="008B4D44" w:rsidRDefault="008B4D44" w:rsidP="008B4D44">
      <w:pPr>
        <w:widowControl w:val="0"/>
        <w:tabs>
          <w:tab w:val="left" w:pos="2660"/>
        </w:tabs>
        <w:spacing w:after="0" w:line="240" w:lineRule="auto"/>
        <w:ind w:left="3545" w:firstLine="709"/>
        <w:jc w:val="right"/>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sz w:val="24"/>
          <w:szCs w:val="24"/>
          <w:lang w:val="es-ES" w:eastAsia="es-MX"/>
        </w:rPr>
        <w:tab/>
        <w:t xml:space="preserve">Jesús María, </w:t>
      </w:r>
      <w:r w:rsidR="004C23C7">
        <w:rPr>
          <w:rFonts w:ascii="Times New Roman" w:eastAsia="Times New Roman" w:hAnsi="Times New Roman" w:cs="Times New Roman"/>
          <w:sz w:val="24"/>
          <w:szCs w:val="24"/>
          <w:lang w:val="es-ES" w:eastAsia="es-MX"/>
        </w:rPr>
        <w:t>9</w:t>
      </w:r>
      <w:r w:rsidRPr="008B4D44">
        <w:rPr>
          <w:rFonts w:ascii="Times New Roman" w:eastAsia="Times New Roman" w:hAnsi="Times New Roman" w:cs="Times New Roman"/>
          <w:sz w:val="24"/>
          <w:szCs w:val="24"/>
          <w:lang w:val="es-ES" w:eastAsia="es-MX"/>
        </w:rPr>
        <w:t xml:space="preserve"> de </w:t>
      </w:r>
      <w:r w:rsidR="00FE099F">
        <w:rPr>
          <w:rFonts w:ascii="Times New Roman" w:eastAsia="Times New Roman" w:hAnsi="Times New Roman" w:cs="Times New Roman"/>
          <w:sz w:val="24"/>
          <w:szCs w:val="24"/>
          <w:lang w:val="es-ES" w:eastAsia="es-MX"/>
        </w:rPr>
        <w:t>febrero</w:t>
      </w:r>
      <w:r w:rsidRPr="008B4D44">
        <w:rPr>
          <w:rFonts w:ascii="Times New Roman" w:eastAsia="Times New Roman" w:hAnsi="Times New Roman" w:cs="Times New Roman"/>
          <w:sz w:val="24"/>
          <w:szCs w:val="24"/>
          <w:lang w:val="es-ES" w:eastAsia="es-MX"/>
        </w:rPr>
        <w:t xml:space="preserve"> de 201</w:t>
      </w:r>
      <w:r w:rsidR="00FE099F">
        <w:rPr>
          <w:rFonts w:ascii="Times New Roman" w:eastAsia="Times New Roman" w:hAnsi="Times New Roman" w:cs="Times New Roman"/>
          <w:sz w:val="24"/>
          <w:szCs w:val="24"/>
          <w:lang w:val="es-ES" w:eastAsia="es-MX"/>
        </w:rPr>
        <w:t>5</w:t>
      </w:r>
    </w:p>
    <w:p w:rsidR="001F2E18" w:rsidRPr="008B4D44" w:rsidRDefault="001F2E18" w:rsidP="00FE099F">
      <w:pPr>
        <w:widowControl w:val="0"/>
        <w:spacing w:after="0" w:line="240" w:lineRule="auto"/>
        <w:rPr>
          <w:rFonts w:ascii="Times New Roman" w:eastAsia="MS Mincho" w:hAnsi="Times New Roman" w:cs="Times New Roman"/>
          <w:b/>
          <w:bCs/>
          <w:sz w:val="24"/>
          <w:szCs w:val="24"/>
          <w:highlight w:val="yellow"/>
          <w:lang w:val="es-ES_tradnl" w:eastAsia="es-PE"/>
        </w:rPr>
      </w:pPr>
    </w:p>
    <w:p w:rsidR="00FE099F" w:rsidRDefault="00FE099F" w:rsidP="00FE099F">
      <w:pPr>
        <w:widowControl w:val="0"/>
        <w:spacing w:after="0" w:line="240" w:lineRule="auto"/>
        <w:rPr>
          <w:rFonts w:ascii="Times New Roman" w:eastAsia="MS Mincho" w:hAnsi="Times New Roman" w:cs="Times New Roman"/>
          <w:b/>
          <w:bCs/>
          <w:sz w:val="24"/>
          <w:szCs w:val="24"/>
          <w:highlight w:val="yellow"/>
          <w:lang w:val="es-ES_tradnl" w:eastAsia="es-PE"/>
        </w:rPr>
      </w:pPr>
    </w:p>
    <w:p w:rsidR="008B4D44" w:rsidRPr="008B4D44" w:rsidRDefault="008B4D44" w:rsidP="001F2E18">
      <w:pPr>
        <w:widowControl w:val="0"/>
        <w:spacing w:after="0" w:line="240" w:lineRule="auto"/>
        <w:rPr>
          <w:rFonts w:ascii="Times New Roman" w:eastAsia="MS Mincho" w:hAnsi="Times New Roman" w:cs="Times New Roman"/>
          <w:b/>
          <w:bCs/>
          <w:sz w:val="24"/>
          <w:szCs w:val="24"/>
          <w:highlight w:val="yellow"/>
          <w:lang w:val="es-ES_tradnl" w:eastAsia="es-PE"/>
        </w:rPr>
      </w:pPr>
    </w:p>
    <w:p w:rsidR="008B4D44" w:rsidRPr="008B4D44" w:rsidRDefault="008B4D44" w:rsidP="008B4D44">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PATRICIA ALARCÓN ALVIZURI</w:t>
      </w:r>
    </w:p>
    <w:p w:rsidR="008B4D44" w:rsidRPr="008B4D44" w:rsidRDefault="008B4D44" w:rsidP="008B4D44">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8B4D44">
        <w:rPr>
          <w:rFonts w:ascii="Times New Roman" w:eastAsia="Times New Roman" w:hAnsi="Times New Roman" w:cs="Times New Roman"/>
          <w:b/>
          <w:sz w:val="24"/>
          <w:szCs w:val="24"/>
          <w:lang w:val="es-ES" w:eastAsia="es-MX"/>
        </w:rPr>
        <w:t>Directora de  Supervisión</w:t>
      </w:r>
    </w:p>
    <w:p w:rsidR="008B4D44" w:rsidRPr="008B4D44" w:rsidRDefault="008B4D44" w:rsidP="00FE099F">
      <w:pPr>
        <w:widowControl w:val="0"/>
        <w:spacing w:after="0" w:line="240" w:lineRule="auto"/>
        <w:rPr>
          <w:rFonts w:ascii="Times New Roman" w:eastAsia="Times New Roman" w:hAnsi="Times New Roman" w:cs="Times New Roman"/>
          <w:sz w:val="20"/>
          <w:szCs w:val="20"/>
          <w:lang w:val="es-ES" w:eastAsia="es-MX"/>
        </w:rPr>
      </w:pPr>
    </w:p>
    <w:p w:rsidR="00071F2E" w:rsidRPr="00FE099F" w:rsidRDefault="008B4D44" w:rsidP="00FE099F">
      <w:pPr>
        <w:widowControl w:val="0"/>
        <w:spacing w:after="0" w:line="240" w:lineRule="auto"/>
        <w:ind w:left="540" w:hanging="540"/>
        <w:rPr>
          <w:rFonts w:ascii="Times New Roman" w:eastAsia="Times New Roman" w:hAnsi="Times New Roman" w:cs="Times New Roman"/>
          <w:sz w:val="20"/>
          <w:szCs w:val="20"/>
          <w:lang w:val="es-ES" w:eastAsia="es-MX"/>
        </w:rPr>
      </w:pPr>
      <w:r w:rsidRPr="008B4D44">
        <w:rPr>
          <w:rFonts w:ascii="Times New Roman" w:eastAsia="Times New Roman" w:hAnsi="Times New Roman" w:cs="Times New Roman"/>
          <w:sz w:val="20"/>
          <w:szCs w:val="20"/>
          <w:lang w:val="es-ES" w:eastAsia="es-MX"/>
        </w:rPr>
        <w:t>HIS/.</w:t>
      </w:r>
    </w:p>
    <w:sectPr w:rsidR="00071F2E" w:rsidRPr="00FE099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71D" w:rsidRDefault="0015071D" w:rsidP="00737A1C">
      <w:pPr>
        <w:spacing w:after="0" w:line="240" w:lineRule="auto"/>
      </w:pPr>
      <w:r>
        <w:separator/>
      </w:r>
    </w:p>
  </w:endnote>
  <w:endnote w:type="continuationSeparator" w:id="0">
    <w:p w:rsidR="0015071D" w:rsidRDefault="0015071D" w:rsidP="0073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71D" w:rsidRDefault="0015071D" w:rsidP="00737A1C">
      <w:pPr>
        <w:spacing w:after="0" w:line="240" w:lineRule="auto"/>
      </w:pPr>
      <w:r>
        <w:separator/>
      </w:r>
    </w:p>
  </w:footnote>
  <w:footnote w:type="continuationSeparator" w:id="0">
    <w:p w:rsidR="0015071D" w:rsidRDefault="0015071D" w:rsidP="00737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1A26"/>
    <w:multiLevelType w:val="hybridMultilevel"/>
    <w:tmpl w:val="D4CAE29A"/>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72D2B6C"/>
    <w:multiLevelType w:val="hybridMultilevel"/>
    <w:tmpl w:val="B4FCAA2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4183098E"/>
    <w:multiLevelType w:val="multilevel"/>
    <w:tmpl w:val="5E544F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5B74FE5"/>
    <w:multiLevelType w:val="multilevel"/>
    <w:tmpl w:val="9C1ED2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2136296"/>
    <w:multiLevelType w:val="hybridMultilevel"/>
    <w:tmpl w:val="9F506370"/>
    <w:lvl w:ilvl="0" w:tplc="B41C09E6">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6D326849"/>
    <w:multiLevelType w:val="hybridMultilevel"/>
    <w:tmpl w:val="02C6DB4A"/>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0"/>
  </w:num>
  <w:num w:numId="6">
    <w:abstractNumId w:val="2"/>
  </w:num>
  <w:num w:numId="7">
    <w:abstractNumId w:val="6"/>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D44"/>
    <w:rsid w:val="00071F2E"/>
    <w:rsid w:val="000A2926"/>
    <w:rsid w:val="000D413C"/>
    <w:rsid w:val="0011319A"/>
    <w:rsid w:val="0015071D"/>
    <w:rsid w:val="001546C6"/>
    <w:rsid w:val="00185CE5"/>
    <w:rsid w:val="001C1CA6"/>
    <w:rsid w:val="001C3517"/>
    <w:rsid w:val="001C5F2E"/>
    <w:rsid w:val="001D4B12"/>
    <w:rsid w:val="001F2E18"/>
    <w:rsid w:val="002573AC"/>
    <w:rsid w:val="003B2288"/>
    <w:rsid w:val="00425A15"/>
    <w:rsid w:val="004C23C7"/>
    <w:rsid w:val="004E7E0D"/>
    <w:rsid w:val="00503240"/>
    <w:rsid w:val="00562703"/>
    <w:rsid w:val="005C2060"/>
    <w:rsid w:val="005F3229"/>
    <w:rsid w:val="00685F8A"/>
    <w:rsid w:val="006A7C34"/>
    <w:rsid w:val="006B2B69"/>
    <w:rsid w:val="00737A1C"/>
    <w:rsid w:val="007B5AA0"/>
    <w:rsid w:val="007F4BE3"/>
    <w:rsid w:val="00891F07"/>
    <w:rsid w:val="008B4D44"/>
    <w:rsid w:val="009162F7"/>
    <w:rsid w:val="00975250"/>
    <w:rsid w:val="009B190C"/>
    <w:rsid w:val="009D5D8C"/>
    <w:rsid w:val="00A26E3B"/>
    <w:rsid w:val="00A736CD"/>
    <w:rsid w:val="00A8260F"/>
    <w:rsid w:val="00B60607"/>
    <w:rsid w:val="00BC2836"/>
    <w:rsid w:val="00C6162E"/>
    <w:rsid w:val="00C7066E"/>
    <w:rsid w:val="00CB1FD7"/>
    <w:rsid w:val="00CB7D5C"/>
    <w:rsid w:val="00D04B4B"/>
    <w:rsid w:val="00D20D1E"/>
    <w:rsid w:val="00D9444C"/>
    <w:rsid w:val="00DF55F9"/>
    <w:rsid w:val="00E02E6E"/>
    <w:rsid w:val="00E61BFC"/>
    <w:rsid w:val="00E95CE7"/>
    <w:rsid w:val="00F377D9"/>
    <w:rsid w:val="00FA55FE"/>
    <w:rsid w:val="00FE099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73AC"/>
    <w:pPr>
      <w:ind w:left="720"/>
      <w:contextualSpacing/>
    </w:pPr>
  </w:style>
  <w:style w:type="paragraph" w:customStyle="1" w:styleId="Default">
    <w:name w:val="Default"/>
    <w:rsid w:val="00C7066E"/>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styleId="Textonotapie">
    <w:name w:val="footnote text"/>
    <w:basedOn w:val="Normal"/>
    <w:link w:val="TextonotapieCar"/>
    <w:uiPriority w:val="99"/>
    <w:semiHidden/>
    <w:unhideWhenUsed/>
    <w:rsid w:val="00737A1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37A1C"/>
    <w:rPr>
      <w:sz w:val="20"/>
      <w:szCs w:val="20"/>
    </w:rPr>
  </w:style>
  <w:style w:type="character" w:styleId="Refdenotaalpie">
    <w:name w:val="footnote reference"/>
    <w:basedOn w:val="Fuentedeprrafopredeter"/>
    <w:uiPriority w:val="99"/>
    <w:semiHidden/>
    <w:unhideWhenUsed/>
    <w:rsid w:val="00737A1C"/>
    <w:rPr>
      <w:vertAlign w:val="superscript"/>
    </w:rPr>
  </w:style>
  <w:style w:type="paragraph" w:styleId="Textodeglobo">
    <w:name w:val="Balloon Text"/>
    <w:basedOn w:val="Normal"/>
    <w:link w:val="TextodegloboCar"/>
    <w:uiPriority w:val="99"/>
    <w:semiHidden/>
    <w:unhideWhenUsed/>
    <w:rsid w:val="004C23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23C7"/>
    <w:rPr>
      <w:rFonts w:ascii="Tahoma" w:hAnsi="Tahoma" w:cs="Tahoma"/>
      <w:sz w:val="16"/>
      <w:szCs w:val="16"/>
    </w:rPr>
  </w:style>
  <w:style w:type="paragraph" w:styleId="Encabezado">
    <w:name w:val="header"/>
    <w:basedOn w:val="Normal"/>
    <w:link w:val="EncabezadoCar"/>
    <w:uiPriority w:val="99"/>
    <w:unhideWhenUsed/>
    <w:rsid w:val="009B19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190C"/>
  </w:style>
  <w:style w:type="paragraph" w:styleId="Piedepgina">
    <w:name w:val="footer"/>
    <w:basedOn w:val="Normal"/>
    <w:link w:val="PiedepginaCar"/>
    <w:uiPriority w:val="99"/>
    <w:unhideWhenUsed/>
    <w:rsid w:val="009B19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19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73AC"/>
    <w:pPr>
      <w:ind w:left="720"/>
      <w:contextualSpacing/>
    </w:pPr>
  </w:style>
  <w:style w:type="paragraph" w:customStyle="1" w:styleId="Default">
    <w:name w:val="Default"/>
    <w:rsid w:val="00C7066E"/>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styleId="Textonotapie">
    <w:name w:val="footnote text"/>
    <w:basedOn w:val="Normal"/>
    <w:link w:val="TextonotapieCar"/>
    <w:uiPriority w:val="99"/>
    <w:semiHidden/>
    <w:unhideWhenUsed/>
    <w:rsid w:val="00737A1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37A1C"/>
    <w:rPr>
      <w:sz w:val="20"/>
      <w:szCs w:val="20"/>
    </w:rPr>
  </w:style>
  <w:style w:type="character" w:styleId="Refdenotaalpie">
    <w:name w:val="footnote reference"/>
    <w:basedOn w:val="Fuentedeprrafopredeter"/>
    <w:uiPriority w:val="99"/>
    <w:semiHidden/>
    <w:unhideWhenUsed/>
    <w:rsid w:val="00737A1C"/>
    <w:rPr>
      <w:vertAlign w:val="superscript"/>
    </w:rPr>
  </w:style>
  <w:style w:type="paragraph" w:styleId="Textodeglobo">
    <w:name w:val="Balloon Text"/>
    <w:basedOn w:val="Normal"/>
    <w:link w:val="TextodegloboCar"/>
    <w:uiPriority w:val="99"/>
    <w:semiHidden/>
    <w:unhideWhenUsed/>
    <w:rsid w:val="004C23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23C7"/>
    <w:rPr>
      <w:rFonts w:ascii="Tahoma" w:hAnsi="Tahoma" w:cs="Tahoma"/>
      <w:sz w:val="16"/>
      <w:szCs w:val="16"/>
    </w:rPr>
  </w:style>
  <w:style w:type="paragraph" w:styleId="Encabezado">
    <w:name w:val="header"/>
    <w:basedOn w:val="Normal"/>
    <w:link w:val="EncabezadoCar"/>
    <w:uiPriority w:val="99"/>
    <w:unhideWhenUsed/>
    <w:rsid w:val="009B19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190C"/>
  </w:style>
  <w:style w:type="paragraph" w:styleId="Piedepgina">
    <w:name w:val="footer"/>
    <w:basedOn w:val="Normal"/>
    <w:link w:val="PiedepginaCar"/>
    <w:uiPriority w:val="99"/>
    <w:unhideWhenUsed/>
    <w:rsid w:val="009B19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73532-1F68-4D6A-819B-9531928B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9</Pages>
  <Words>3640</Words>
  <Characters>20020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Hernan Jesus Iparraguirre Salas</cp:lastModifiedBy>
  <cp:revision>18</cp:revision>
  <cp:lastPrinted>2015-02-09T17:57:00Z</cp:lastPrinted>
  <dcterms:created xsi:type="dcterms:W3CDTF">2015-02-04T14:10:00Z</dcterms:created>
  <dcterms:modified xsi:type="dcterms:W3CDTF">2015-02-17T16:06:00Z</dcterms:modified>
</cp:coreProperties>
</file>