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5B8" w:rsidRPr="00323BFB" w:rsidRDefault="00CA05B8" w:rsidP="00CA05B8">
      <w:pPr>
        <w:spacing w:after="0" w:line="240" w:lineRule="auto"/>
        <w:jc w:val="both"/>
        <w:rPr>
          <w:rFonts w:ascii="Times New Roman" w:eastAsia="Times New Roman" w:hAnsi="Times New Roman" w:cs="Times New Roman"/>
          <w:b/>
          <w:sz w:val="24"/>
          <w:szCs w:val="24"/>
          <w:u w:val="single"/>
          <w:lang w:val="es-ES" w:eastAsia="es-MX"/>
        </w:rPr>
      </w:pPr>
    </w:p>
    <w:p w:rsidR="00CA05B8" w:rsidRPr="00323BFB" w:rsidRDefault="00803B54" w:rsidP="00CA05B8">
      <w:pPr>
        <w:spacing w:after="0" w:line="240" w:lineRule="auto"/>
        <w:jc w:val="center"/>
        <w:rPr>
          <w:rFonts w:ascii="Times New Roman" w:eastAsia="Times New Roman" w:hAnsi="Times New Roman" w:cs="Times New Roman"/>
          <w:b/>
          <w:sz w:val="24"/>
          <w:szCs w:val="24"/>
          <w:u w:val="single"/>
          <w:lang w:val="es-ES" w:eastAsia="es-MX"/>
        </w:rPr>
      </w:pPr>
      <w:r>
        <w:rPr>
          <w:rFonts w:ascii="Times New Roman" w:eastAsia="Times New Roman" w:hAnsi="Times New Roman" w:cs="Times New Roman"/>
          <w:b/>
          <w:sz w:val="24"/>
          <w:szCs w:val="24"/>
          <w:u w:val="single"/>
          <w:lang w:val="es-ES" w:eastAsia="es-MX"/>
        </w:rPr>
        <w:t>PRONUNCIAMIENTO Nº 139</w:t>
      </w:r>
      <w:r w:rsidR="00CA05B8" w:rsidRPr="00323BFB">
        <w:rPr>
          <w:rFonts w:ascii="Times New Roman" w:eastAsia="Times New Roman" w:hAnsi="Times New Roman" w:cs="Times New Roman"/>
          <w:b/>
          <w:sz w:val="24"/>
          <w:szCs w:val="24"/>
          <w:u w:val="single"/>
          <w:lang w:val="es-ES" w:eastAsia="es-MX"/>
        </w:rPr>
        <w:t>-2015/DSU</w:t>
      </w:r>
    </w:p>
    <w:p w:rsidR="00CA05B8" w:rsidRPr="00323BFB" w:rsidRDefault="00CA05B8" w:rsidP="00CA05B8">
      <w:pPr>
        <w:spacing w:after="0" w:line="240" w:lineRule="auto"/>
        <w:jc w:val="both"/>
        <w:rPr>
          <w:rFonts w:ascii="Times New Roman" w:eastAsia="Times New Roman" w:hAnsi="Times New Roman" w:cs="Times New Roman"/>
          <w:sz w:val="24"/>
          <w:szCs w:val="24"/>
          <w:lang w:val="es-ES" w:eastAsia="es-MX"/>
        </w:rPr>
      </w:pPr>
      <w:r w:rsidRPr="00323BFB">
        <w:rPr>
          <w:rFonts w:ascii="Times New Roman" w:eastAsia="Times New Roman" w:hAnsi="Times New Roman" w:cs="Times New Roman"/>
          <w:sz w:val="24"/>
          <w:szCs w:val="24"/>
          <w:lang w:val="es-ES" w:eastAsia="es-MX"/>
        </w:rPr>
        <w:tab/>
      </w:r>
    </w:p>
    <w:p w:rsidR="00CA05B8" w:rsidRPr="00323BFB" w:rsidRDefault="00CA05B8" w:rsidP="00CA05B8">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323BFB">
        <w:rPr>
          <w:rFonts w:ascii="Times New Roman" w:eastAsia="Times New Roman" w:hAnsi="Times New Roman" w:cs="Times New Roman"/>
          <w:sz w:val="24"/>
          <w:szCs w:val="24"/>
          <w:lang w:val="es-ES" w:eastAsia="es-MX"/>
        </w:rPr>
        <w:t>Entidad:</w:t>
      </w:r>
      <w:r w:rsidRPr="00323BFB">
        <w:rPr>
          <w:rFonts w:ascii="Times New Roman" w:eastAsia="Times New Roman" w:hAnsi="Times New Roman" w:cs="Times New Roman"/>
          <w:sz w:val="24"/>
          <w:szCs w:val="24"/>
          <w:lang w:val="es-ES" w:eastAsia="es-MX"/>
        </w:rPr>
        <w:tab/>
      </w:r>
      <w:r w:rsidRPr="00323BFB">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Hospital Belén de Trujillo</w:t>
      </w:r>
    </w:p>
    <w:p w:rsidR="00CA05B8" w:rsidRPr="00323BFB" w:rsidRDefault="00CA05B8" w:rsidP="00CA05B8">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p>
    <w:p w:rsidR="00CA05B8" w:rsidRPr="00323BFB" w:rsidRDefault="00CA05B8" w:rsidP="00CA05B8">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323BFB">
        <w:rPr>
          <w:rFonts w:ascii="Times New Roman" w:eastAsia="Times New Roman" w:hAnsi="Times New Roman" w:cs="Times New Roman"/>
          <w:sz w:val="24"/>
          <w:szCs w:val="24"/>
          <w:lang w:val="es-ES" w:eastAsia="es-MX"/>
        </w:rPr>
        <w:t>Referencia:</w:t>
      </w:r>
      <w:r w:rsidRPr="00323BFB">
        <w:rPr>
          <w:rFonts w:ascii="Times New Roman" w:eastAsia="Times New Roman" w:hAnsi="Times New Roman" w:cs="Times New Roman"/>
          <w:sz w:val="24"/>
          <w:szCs w:val="24"/>
          <w:lang w:val="es-ES" w:eastAsia="es-MX"/>
        </w:rPr>
        <w:tab/>
      </w:r>
      <w:r w:rsidRPr="00323BFB">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Licitación Pública</w:t>
      </w:r>
      <w:r w:rsidRPr="00323BFB">
        <w:rPr>
          <w:rFonts w:ascii="Times New Roman" w:eastAsia="Times New Roman" w:hAnsi="Times New Roman" w:cs="Times New Roman"/>
          <w:sz w:val="24"/>
          <w:szCs w:val="24"/>
          <w:lang w:val="es-ES" w:eastAsia="es-MX"/>
        </w:rPr>
        <w:t xml:space="preserve"> Nº </w:t>
      </w:r>
      <w:r>
        <w:rPr>
          <w:rFonts w:ascii="Times New Roman" w:eastAsia="Times New Roman" w:hAnsi="Times New Roman" w:cs="Times New Roman"/>
          <w:sz w:val="24"/>
          <w:szCs w:val="24"/>
          <w:lang w:val="es-ES" w:eastAsia="es-MX"/>
        </w:rPr>
        <w:t>005</w:t>
      </w:r>
      <w:r w:rsidRPr="00323BFB">
        <w:rPr>
          <w:rFonts w:ascii="Times New Roman" w:eastAsia="Times New Roman" w:hAnsi="Times New Roman" w:cs="Times New Roman"/>
          <w:bCs/>
          <w:sz w:val="24"/>
          <w:szCs w:val="24"/>
          <w:lang w:val="es-ES" w:eastAsia="es-MX"/>
        </w:rPr>
        <w:t>-2014</w:t>
      </w:r>
      <w:r>
        <w:rPr>
          <w:rFonts w:ascii="Times New Roman" w:eastAsia="Times New Roman" w:hAnsi="Times New Roman" w:cs="Times New Roman"/>
          <w:bCs/>
          <w:sz w:val="24"/>
          <w:szCs w:val="24"/>
          <w:lang w:val="es-ES" w:eastAsia="es-MX"/>
        </w:rPr>
        <w:t>-HBT</w:t>
      </w:r>
      <w:r w:rsidRPr="00323BFB">
        <w:rPr>
          <w:rFonts w:ascii="Times New Roman" w:eastAsia="Times New Roman" w:hAnsi="Times New Roman" w:cs="Times New Roman"/>
          <w:sz w:val="24"/>
          <w:szCs w:val="24"/>
          <w:lang w:val="es-ES" w:eastAsia="es-MX"/>
        </w:rPr>
        <w:t xml:space="preserve">, convocada para </w:t>
      </w:r>
      <w:r>
        <w:rPr>
          <w:rFonts w:ascii="Times New Roman" w:eastAsia="Times New Roman" w:hAnsi="Times New Roman" w:cs="Times New Roman"/>
          <w:sz w:val="24"/>
          <w:szCs w:val="24"/>
          <w:lang w:val="es-ES" w:eastAsia="es-MX"/>
        </w:rPr>
        <w:t>el</w:t>
      </w:r>
      <w:r w:rsidRPr="00323BFB">
        <w:rPr>
          <w:rFonts w:ascii="Times New Roman" w:eastAsia="Times New Roman" w:hAnsi="Times New Roman" w:cs="Times New Roman"/>
          <w:sz w:val="24"/>
          <w:szCs w:val="24"/>
          <w:lang w:val="es-ES" w:eastAsia="es-MX"/>
        </w:rPr>
        <w:t xml:space="preserve"> “</w:t>
      </w:r>
      <w:r>
        <w:rPr>
          <w:rFonts w:ascii="Times New Roman" w:eastAsia="Times New Roman" w:hAnsi="Times New Roman" w:cs="Times New Roman"/>
          <w:sz w:val="24"/>
          <w:szCs w:val="24"/>
          <w:lang w:eastAsia="es-MX"/>
        </w:rPr>
        <w:t>Suministro de Material Médico para el Hospital Belén de Trujillo</w:t>
      </w:r>
      <w:r w:rsidRPr="00323BFB">
        <w:rPr>
          <w:rFonts w:ascii="Times New Roman" w:eastAsia="Times New Roman" w:hAnsi="Times New Roman" w:cs="Times New Roman"/>
          <w:sz w:val="24"/>
          <w:szCs w:val="24"/>
          <w:lang w:val="es-ES" w:eastAsia="es-MX"/>
        </w:rPr>
        <w:t>”.</w:t>
      </w:r>
    </w:p>
    <w:p w:rsidR="00CA05B8" w:rsidRPr="00323BFB" w:rsidRDefault="00CA05B8" w:rsidP="00CA05B8">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CA05B8" w:rsidRPr="00323BFB" w:rsidRDefault="00CA05B8" w:rsidP="00CA05B8">
      <w:pPr>
        <w:spacing w:after="0" w:line="240" w:lineRule="auto"/>
        <w:jc w:val="both"/>
        <w:rPr>
          <w:rFonts w:ascii="Times New Roman" w:eastAsia="Times New Roman" w:hAnsi="Times New Roman" w:cs="Times New Roman"/>
          <w:sz w:val="24"/>
          <w:szCs w:val="24"/>
          <w:lang w:val="es-ES" w:eastAsia="es-MX"/>
        </w:rPr>
      </w:pPr>
      <w:r w:rsidRPr="00323BFB">
        <w:rPr>
          <w:rFonts w:ascii="Times New Roman" w:eastAsia="Times New Roman" w:hAnsi="Times New Roman" w:cs="Times New Roman"/>
          <w:sz w:val="24"/>
          <w:szCs w:val="24"/>
          <w:lang w:val="es-ES" w:eastAsia="es-MX"/>
        </w:rPr>
        <w:t xml:space="preserve"> </w:t>
      </w:r>
    </w:p>
    <w:p w:rsidR="00CA05B8" w:rsidRPr="00323BFB" w:rsidRDefault="00CA05B8" w:rsidP="00CA05B8">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323BFB">
        <w:rPr>
          <w:rFonts w:ascii="Times New Roman" w:eastAsia="Times New Roman" w:hAnsi="Times New Roman" w:cs="Times New Roman"/>
          <w:b/>
          <w:sz w:val="24"/>
          <w:szCs w:val="24"/>
          <w:lang w:val="es-ES" w:eastAsia="es-MX"/>
        </w:rPr>
        <w:t>ANTECEDENTES</w:t>
      </w:r>
    </w:p>
    <w:p w:rsidR="00CA05B8" w:rsidRPr="00323BFB" w:rsidRDefault="00CA05B8" w:rsidP="00CA05B8">
      <w:pPr>
        <w:spacing w:after="0" w:line="240" w:lineRule="auto"/>
        <w:jc w:val="both"/>
        <w:rPr>
          <w:rFonts w:ascii="Times New Roman" w:eastAsia="Times New Roman" w:hAnsi="Times New Roman" w:cs="Times New Roman"/>
          <w:sz w:val="24"/>
          <w:szCs w:val="24"/>
          <w:lang w:val="es-ES" w:eastAsia="es-MX"/>
        </w:rPr>
      </w:pPr>
    </w:p>
    <w:p w:rsidR="00CA05B8" w:rsidRPr="00323BFB" w:rsidRDefault="00CA05B8" w:rsidP="00CA05B8">
      <w:pPr>
        <w:spacing w:after="0" w:line="240" w:lineRule="auto"/>
        <w:jc w:val="both"/>
        <w:rPr>
          <w:rFonts w:ascii="Times New Roman" w:eastAsia="Times New Roman" w:hAnsi="Times New Roman" w:cs="Times New Roman"/>
          <w:sz w:val="24"/>
          <w:szCs w:val="24"/>
          <w:lang w:val="es-ES_tradnl" w:eastAsia="es-ES"/>
        </w:rPr>
      </w:pPr>
      <w:r w:rsidRPr="00323BFB">
        <w:rPr>
          <w:rFonts w:ascii="Times New Roman" w:eastAsia="Times New Roman" w:hAnsi="Times New Roman" w:cs="Times New Roman"/>
          <w:sz w:val="24"/>
          <w:szCs w:val="24"/>
          <w:lang w:eastAsia="es-ES"/>
        </w:rPr>
        <w:t>Mediante Oficio Nº 001-2015</w:t>
      </w:r>
      <w:r>
        <w:rPr>
          <w:rFonts w:ascii="Times New Roman" w:eastAsia="Times New Roman" w:hAnsi="Times New Roman" w:cs="Times New Roman"/>
          <w:sz w:val="24"/>
          <w:szCs w:val="24"/>
          <w:lang w:eastAsia="es-ES"/>
        </w:rPr>
        <w:t>-CE-LP 005-2014-HBT</w:t>
      </w:r>
      <w:r w:rsidRPr="00323BFB">
        <w:rPr>
          <w:rFonts w:ascii="Times New Roman" w:eastAsia="Times New Roman" w:hAnsi="Times New Roman" w:cs="Times New Roman"/>
          <w:sz w:val="24"/>
          <w:szCs w:val="24"/>
          <w:lang w:eastAsia="es-ES"/>
        </w:rPr>
        <w:t xml:space="preserve"> recibido con fecha </w:t>
      </w:r>
      <w:r>
        <w:rPr>
          <w:rFonts w:ascii="Times New Roman" w:eastAsia="Times New Roman" w:hAnsi="Times New Roman" w:cs="Times New Roman"/>
          <w:sz w:val="24"/>
          <w:szCs w:val="24"/>
          <w:lang w:eastAsia="es-ES"/>
        </w:rPr>
        <w:t>22</w:t>
      </w:r>
      <w:r w:rsidRPr="00323BFB">
        <w:rPr>
          <w:rFonts w:ascii="Times New Roman" w:eastAsia="Times New Roman" w:hAnsi="Times New Roman" w:cs="Times New Roman"/>
          <w:sz w:val="24"/>
          <w:szCs w:val="24"/>
          <w:lang w:eastAsia="es-ES"/>
        </w:rPr>
        <w:t xml:space="preserve">.ENE.2015, el Presidente </w:t>
      </w:r>
      <w:r w:rsidRPr="00323BFB">
        <w:rPr>
          <w:rFonts w:ascii="Times New Roman" w:eastAsia="Times New Roman" w:hAnsi="Times New Roman" w:cs="Times New Roman"/>
          <w:sz w:val="24"/>
          <w:szCs w:val="24"/>
          <w:lang w:val="es-ES" w:eastAsia="es-ES"/>
        </w:rPr>
        <w:t xml:space="preserve">del Comité Especial a cargo </w:t>
      </w:r>
      <w:r w:rsidRPr="00323BFB">
        <w:rPr>
          <w:rFonts w:ascii="Times New Roman" w:eastAsia="Times New Roman" w:hAnsi="Times New Roman" w:cs="Times New Roman"/>
          <w:sz w:val="24"/>
          <w:szCs w:val="24"/>
          <w:lang w:eastAsia="es-ES"/>
        </w:rPr>
        <w:t>del proceso de selección de la referencia remitió al Organismo Supervisor de las Contrataciones del Estado (OSCE) l</w:t>
      </w:r>
      <w:r>
        <w:rPr>
          <w:rFonts w:ascii="Times New Roman" w:eastAsia="Times New Roman" w:hAnsi="Times New Roman" w:cs="Times New Roman"/>
          <w:sz w:val="24"/>
          <w:szCs w:val="24"/>
          <w:lang w:eastAsia="es-ES"/>
        </w:rPr>
        <w:t>o</w:t>
      </w:r>
      <w:r w:rsidRPr="00323BFB">
        <w:rPr>
          <w:rFonts w:ascii="Times New Roman" w:eastAsia="Times New Roman" w:hAnsi="Times New Roman" w:cs="Times New Roman"/>
          <w:sz w:val="24"/>
          <w:szCs w:val="24"/>
          <w:lang w:eastAsia="es-ES"/>
        </w:rPr>
        <w:t xml:space="preserve">s </w:t>
      </w:r>
      <w:r>
        <w:rPr>
          <w:rFonts w:ascii="Times New Roman" w:eastAsia="Times New Roman" w:hAnsi="Times New Roman" w:cs="Times New Roman"/>
          <w:sz w:val="24"/>
          <w:szCs w:val="24"/>
          <w:lang w:eastAsia="es-ES"/>
        </w:rPr>
        <w:t>tres</w:t>
      </w:r>
      <w:r w:rsidRPr="00323BFB">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sz w:val="24"/>
          <w:szCs w:val="24"/>
          <w:lang w:eastAsia="es-ES"/>
        </w:rPr>
        <w:t>3</w:t>
      </w:r>
      <w:r w:rsidRPr="00323BFB">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sz w:val="24"/>
          <w:szCs w:val="24"/>
          <w:lang w:eastAsia="es-ES"/>
        </w:rPr>
        <w:t xml:space="preserve">cuestionamientos </w:t>
      </w:r>
      <w:r w:rsidRPr="00323BFB">
        <w:rPr>
          <w:rFonts w:ascii="Times New Roman" w:eastAsia="Times New Roman" w:hAnsi="Times New Roman" w:cs="Times New Roman"/>
          <w:sz w:val="24"/>
          <w:szCs w:val="24"/>
          <w:lang w:eastAsia="es-ES"/>
        </w:rPr>
        <w:t>formulad</w:t>
      </w:r>
      <w:r>
        <w:rPr>
          <w:rFonts w:ascii="Times New Roman" w:eastAsia="Times New Roman" w:hAnsi="Times New Roman" w:cs="Times New Roman"/>
          <w:sz w:val="24"/>
          <w:szCs w:val="24"/>
          <w:lang w:eastAsia="es-ES"/>
        </w:rPr>
        <w:t>o</w:t>
      </w:r>
      <w:r w:rsidRPr="00323BFB">
        <w:rPr>
          <w:rFonts w:ascii="Times New Roman" w:eastAsia="Times New Roman" w:hAnsi="Times New Roman" w:cs="Times New Roman"/>
          <w:sz w:val="24"/>
          <w:szCs w:val="24"/>
          <w:lang w:eastAsia="es-ES"/>
        </w:rPr>
        <w:t xml:space="preserve">s por el participante </w:t>
      </w:r>
      <w:r>
        <w:rPr>
          <w:rFonts w:ascii="Times New Roman" w:eastAsia="Times New Roman" w:hAnsi="Times New Roman" w:cs="Times New Roman"/>
          <w:b/>
          <w:sz w:val="24"/>
          <w:szCs w:val="24"/>
          <w:lang w:eastAsia="es-ES"/>
        </w:rPr>
        <w:t xml:space="preserve">LABORATORIOS ROKER PERU S.A. </w:t>
      </w:r>
      <w:r>
        <w:rPr>
          <w:rFonts w:ascii="Times New Roman" w:eastAsia="Times New Roman" w:hAnsi="Times New Roman" w:cs="Times New Roman"/>
          <w:sz w:val="24"/>
          <w:szCs w:val="24"/>
          <w:lang w:eastAsia="es-ES"/>
        </w:rPr>
        <w:t>y las dos (2) observaciones y</w:t>
      </w:r>
      <w:r w:rsidR="00EF3ABC">
        <w:rPr>
          <w:rFonts w:ascii="Times New Roman" w:eastAsia="Times New Roman" w:hAnsi="Times New Roman" w:cs="Times New Roman"/>
          <w:sz w:val="24"/>
          <w:szCs w:val="24"/>
          <w:lang w:eastAsia="es-ES"/>
        </w:rPr>
        <w:t xml:space="preserve"> el</w:t>
      </w:r>
      <w:r>
        <w:rPr>
          <w:rFonts w:ascii="Times New Roman" w:eastAsia="Times New Roman" w:hAnsi="Times New Roman" w:cs="Times New Roman"/>
          <w:sz w:val="24"/>
          <w:szCs w:val="24"/>
          <w:lang w:eastAsia="es-ES"/>
        </w:rPr>
        <w:t xml:space="preserve"> único (1) cuestionamiento formulado por </w:t>
      </w:r>
      <w:r>
        <w:rPr>
          <w:rFonts w:ascii="Times New Roman" w:eastAsia="Times New Roman" w:hAnsi="Times New Roman" w:cs="Times New Roman"/>
          <w:b/>
          <w:sz w:val="24"/>
          <w:szCs w:val="24"/>
          <w:lang w:eastAsia="es-ES"/>
        </w:rPr>
        <w:t>PLATINUM S.R.L.</w:t>
      </w:r>
      <w:r w:rsidRPr="00323BFB">
        <w:rPr>
          <w:rFonts w:ascii="Times New Roman" w:eastAsia="Times New Roman" w:hAnsi="Times New Roman" w:cs="Times New Roman"/>
          <w:b/>
          <w:sz w:val="24"/>
          <w:szCs w:val="24"/>
          <w:lang w:eastAsia="es-ES"/>
        </w:rPr>
        <w:t xml:space="preserve">, </w:t>
      </w:r>
      <w:r w:rsidRPr="00323BFB">
        <w:rPr>
          <w:rFonts w:ascii="Times New Roman" w:eastAsia="Times New Roman" w:hAnsi="Times New Roman" w:cs="Times New Roman"/>
          <w:sz w:val="24"/>
          <w:szCs w:val="24"/>
          <w:lang w:eastAsia="es-ES"/>
        </w:rPr>
        <w:t xml:space="preserve">así como el respectivo informe técnico, </w:t>
      </w:r>
      <w:r w:rsidRPr="00323BFB">
        <w:rPr>
          <w:rFonts w:ascii="Times New Roman" w:eastAsia="Times New Roman" w:hAnsi="Times New Roman" w:cs="Times New Roman"/>
          <w:sz w:val="24"/>
          <w:szCs w:val="24"/>
          <w:lang w:val="es-ES" w:eastAsia="es-ES"/>
        </w:rPr>
        <w:t>en cumplimiento de lo dispuesto por el artículo 28º</w:t>
      </w:r>
      <w:r w:rsidRPr="00323BFB">
        <w:rPr>
          <w:rFonts w:ascii="Times New Roman" w:eastAsia="Times New Roman" w:hAnsi="Times New Roman" w:cs="Times New Roman"/>
          <w:sz w:val="24"/>
          <w:szCs w:val="24"/>
          <w:lang w:val="es-ES" w:eastAsia="es-MX"/>
        </w:rPr>
        <w:t xml:space="preserve"> del Decreto Legislativo Nº 1017, </w:t>
      </w:r>
      <w:r w:rsidRPr="00323BFB">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CA05B8" w:rsidRPr="00323BFB" w:rsidRDefault="00CA05B8" w:rsidP="00CA05B8">
      <w:pPr>
        <w:spacing w:after="0" w:line="240" w:lineRule="auto"/>
        <w:jc w:val="both"/>
        <w:rPr>
          <w:rFonts w:ascii="Times New Roman" w:eastAsia="Times New Roman" w:hAnsi="Times New Roman" w:cs="Times New Roman"/>
          <w:sz w:val="24"/>
          <w:szCs w:val="24"/>
          <w:lang w:val="es-ES_tradnl" w:eastAsia="es-ES"/>
        </w:rPr>
      </w:pPr>
    </w:p>
    <w:p w:rsidR="00CA05B8" w:rsidRPr="00323BFB" w:rsidRDefault="00CE5D12" w:rsidP="00CA05B8">
      <w:pPr>
        <w:widowControl w:val="0"/>
        <w:spacing w:after="0" w:line="240" w:lineRule="auto"/>
        <w:ind w:left="1" w:firstLine="1"/>
        <w:jc w:val="both"/>
        <w:rPr>
          <w:rFonts w:ascii="Times New Roman" w:eastAsia="Times New Roman" w:hAnsi="Times New Roman" w:cs="Times New Roman"/>
          <w:sz w:val="24"/>
          <w:szCs w:val="24"/>
          <w:lang w:val="es-ES_tradnl" w:eastAsia="es-MX"/>
        </w:rPr>
      </w:pPr>
      <w:r>
        <w:rPr>
          <w:rFonts w:ascii="Times New Roman" w:eastAsia="Times New Roman" w:hAnsi="Times New Roman"/>
          <w:noProof/>
          <w:sz w:val="24"/>
          <w:szCs w:val="24"/>
          <w:lang w:eastAsia="es-PE"/>
        </w:rPr>
        <w:drawing>
          <wp:anchor distT="0" distB="0" distL="114300" distR="114300" simplePos="0" relativeHeight="251671552" behindDoc="0" locked="0" layoutInCell="1" allowOverlap="1" wp14:anchorId="71895213" wp14:editId="3C1E9C49">
            <wp:simplePos x="0" y="0"/>
            <wp:positionH relativeFrom="column">
              <wp:posOffset>-982345</wp:posOffset>
            </wp:positionH>
            <wp:positionV relativeFrom="paragraph">
              <wp:posOffset>982980</wp:posOffset>
            </wp:positionV>
            <wp:extent cx="971550" cy="3533775"/>
            <wp:effectExtent l="0" t="0" r="0"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CA05B8" w:rsidRPr="00323BFB">
        <w:rPr>
          <w:rFonts w:ascii="Times New Roman" w:eastAsia="Times New Roman" w:hAnsi="Times New Roman" w:cs="Times New Roman"/>
          <w:sz w:val="24"/>
          <w:szCs w:val="24"/>
          <w:lang w:eastAsia="es-ES"/>
        </w:rPr>
        <w:t xml:space="preserve">Al respecto, </w:t>
      </w:r>
      <w:r w:rsidR="00CA05B8" w:rsidRPr="00323BFB">
        <w:rPr>
          <w:rFonts w:ascii="Times New Roman" w:eastAsia="Times New Roman" w:hAnsi="Times New Roman" w:cs="Times New Roman"/>
          <w:sz w:val="24"/>
          <w:szCs w:val="24"/>
          <w:lang w:eastAsia="es-MX"/>
        </w:rPr>
        <w:t xml:space="preserve">atendiendo a lo dispuesto por el artículo 58 del Reglamento, independientemente de la denominación que les haya dado el participante, este Organismo Supervisor se pronunciará únicamente respecto de: </w:t>
      </w:r>
      <w:r w:rsidR="00CA05B8" w:rsidRPr="00323BFB">
        <w:rPr>
          <w:rFonts w:ascii="Times New Roman" w:eastAsia="Times New Roman" w:hAnsi="Times New Roman" w:cs="Times New Roman"/>
          <w:sz w:val="24"/>
          <w:szCs w:val="24"/>
          <w:lang w:val="es-ES_tradnl" w:eastAsia="es-MX"/>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w:t>
      </w:r>
      <w:r w:rsidR="00CA05B8" w:rsidRPr="00323BFB">
        <w:rPr>
          <w:rFonts w:ascii="Times New Roman" w:eastAsia="Times New Roman" w:hAnsi="Times New Roman" w:cs="Times New Roman"/>
          <w:sz w:val="24"/>
          <w:szCs w:val="24"/>
          <w:u w:val="single"/>
          <w:lang w:val="es-ES_tradnl" w:eastAsia="es-MX"/>
        </w:rPr>
        <w:t>siempre que se haya registrado como participante hasta el vencimiento del plazo previsto para formular observaciones</w:t>
      </w:r>
      <w:r w:rsidR="00CA05B8" w:rsidRPr="00323BFB">
        <w:rPr>
          <w:rFonts w:ascii="Times New Roman" w:eastAsia="Times New Roman" w:hAnsi="Times New Roman" w:cs="Times New Roman"/>
          <w:sz w:val="24"/>
          <w:szCs w:val="24"/>
          <w:lang w:val="es-ES_tradnl" w:eastAsia="es-MX"/>
        </w:rPr>
        <w:t xml:space="preserve">. </w:t>
      </w:r>
    </w:p>
    <w:p w:rsidR="00CA05B8" w:rsidRPr="00323BFB" w:rsidRDefault="00CA05B8" w:rsidP="00CA05B8">
      <w:pPr>
        <w:spacing w:after="0" w:line="240" w:lineRule="auto"/>
        <w:jc w:val="both"/>
        <w:rPr>
          <w:rFonts w:ascii="Times New Roman" w:eastAsia="Times New Roman" w:hAnsi="Times New Roman" w:cs="Times New Roman"/>
          <w:sz w:val="24"/>
          <w:szCs w:val="24"/>
          <w:lang w:val="es-ES_tradnl" w:eastAsia="es-ES"/>
        </w:rPr>
      </w:pPr>
    </w:p>
    <w:p w:rsidR="00CA05B8" w:rsidRPr="00323BFB" w:rsidRDefault="00CA05B8" w:rsidP="00CA05B8">
      <w:pPr>
        <w:widowControl w:val="0"/>
        <w:suppressAutoHyphens/>
        <w:spacing w:after="0" w:line="240" w:lineRule="auto"/>
        <w:jc w:val="both"/>
        <w:rPr>
          <w:rFonts w:ascii="Times New Roman" w:eastAsia="MS Mincho" w:hAnsi="Times New Roman" w:cs="Times New Roman"/>
          <w:sz w:val="24"/>
          <w:szCs w:val="24"/>
          <w:lang w:eastAsia="es-PE"/>
        </w:rPr>
      </w:pPr>
      <w:r w:rsidRPr="00323BFB">
        <w:rPr>
          <w:rFonts w:ascii="Times New Roman" w:eastAsia="MS Mincho" w:hAnsi="Times New Roman" w:cs="Times New Roman"/>
          <w:sz w:val="24"/>
          <w:szCs w:val="24"/>
          <w:lang w:val="es-ES_tradnl" w:eastAsia="es-PE"/>
        </w:rPr>
        <w:t xml:space="preserve">En relación con lo anterior, </w:t>
      </w:r>
      <w:r w:rsidRPr="00BA01AF">
        <w:rPr>
          <w:rFonts w:ascii="Times New Roman" w:eastAsia="MS Mincho" w:hAnsi="Times New Roman" w:cs="Times New Roman"/>
          <w:sz w:val="24"/>
          <w:szCs w:val="24"/>
          <w:lang w:eastAsia="es-PE"/>
        </w:rPr>
        <w:t xml:space="preserve">de la revisión de la documentación remitida por la Entidad con ocasión de la solicitud de elevación de observaciones, se advierte que el participante </w:t>
      </w:r>
      <w:r w:rsidRPr="00A75116">
        <w:rPr>
          <w:rFonts w:ascii="Times New Roman" w:eastAsia="MS Mincho" w:hAnsi="Times New Roman" w:cs="Times New Roman"/>
          <w:sz w:val="24"/>
          <w:szCs w:val="24"/>
          <w:lang w:eastAsia="es-PE"/>
        </w:rPr>
        <w:t>LABORATORIOS ROKER PERU S.A.</w:t>
      </w:r>
      <w:r w:rsidRPr="00BA01AF">
        <w:rPr>
          <w:rFonts w:ascii="Times New Roman" w:eastAsia="MS Mincho" w:hAnsi="Times New Roman" w:cs="Times New Roman"/>
          <w:b/>
          <w:sz w:val="24"/>
          <w:szCs w:val="24"/>
          <w:lang w:eastAsia="es-PE"/>
        </w:rPr>
        <w:t xml:space="preserve"> </w:t>
      </w:r>
      <w:r w:rsidRPr="00BA01AF">
        <w:rPr>
          <w:rFonts w:ascii="Times New Roman" w:eastAsia="MS Mincho" w:hAnsi="Times New Roman" w:cs="Times New Roman"/>
          <w:sz w:val="24"/>
          <w:szCs w:val="24"/>
          <w:lang w:eastAsia="es-PE"/>
        </w:rPr>
        <w:t xml:space="preserve">se registró como tal el </w:t>
      </w:r>
      <w:r>
        <w:rPr>
          <w:rFonts w:ascii="Times New Roman" w:eastAsia="MS Mincho" w:hAnsi="Times New Roman" w:cs="Times New Roman"/>
          <w:sz w:val="24"/>
          <w:szCs w:val="24"/>
          <w:lang w:eastAsia="es-PE"/>
        </w:rPr>
        <w:t>15</w:t>
      </w:r>
      <w:r w:rsidRPr="00BA01AF">
        <w:rPr>
          <w:rFonts w:ascii="Times New Roman" w:eastAsia="MS Mincho" w:hAnsi="Times New Roman" w:cs="Times New Roman"/>
          <w:sz w:val="24"/>
          <w:szCs w:val="24"/>
          <w:lang w:eastAsia="es-PE"/>
        </w:rPr>
        <w:t>.</w:t>
      </w:r>
      <w:r>
        <w:rPr>
          <w:rFonts w:ascii="Times New Roman" w:eastAsia="MS Mincho" w:hAnsi="Times New Roman" w:cs="Times New Roman"/>
          <w:sz w:val="24"/>
          <w:szCs w:val="24"/>
          <w:lang w:eastAsia="es-PE"/>
        </w:rPr>
        <w:t>ENE</w:t>
      </w:r>
      <w:r w:rsidRPr="00BA01AF">
        <w:rPr>
          <w:rFonts w:ascii="Times New Roman" w:eastAsia="MS Mincho" w:hAnsi="Times New Roman" w:cs="Times New Roman"/>
          <w:sz w:val="24"/>
          <w:szCs w:val="24"/>
          <w:lang w:eastAsia="es-PE"/>
        </w:rPr>
        <w:t>.201</w:t>
      </w:r>
      <w:r>
        <w:rPr>
          <w:rFonts w:ascii="Times New Roman" w:eastAsia="MS Mincho" w:hAnsi="Times New Roman" w:cs="Times New Roman"/>
          <w:sz w:val="24"/>
          <w:szCs w:val="24"/>
          <w:lang w:eastAsia="es-PE"/>
        </w:rPr>
        <w:t>5</w:t>
      </w:r>
      <w:r w:rsidRPr="00BA01AF">
        <w:rPr>
          <w:rFonts w:ascii="Times New Roman" w:eastAsia="MS Mincho" w:hAnsi="Times New Roman" w:cs="Times New Roman"/>
          <w:sz w:val="24"/>
          <w:szCs w:val="24"/>
          <w:lang w:eastAsia="es-PE"/>
        </w:rPr>
        <w:t xml:space="preserve">, no obstante que el plazo máximo para formular observaciones a las Bases vencía el </w:t>
      </w:r>
      <w:r>
        <w:rPr>
          <w:rFonts w:ascii="Times New Roman" w:eastAsia="MS Mincho" w:hAnsi="Times New Roman" w:cs="Times New Roman"/>
          <w:sz w:val="24"/>
          <w:szCs w:val="24"/>
          <w:lang w:eastAsia="es-PE"/>
        </w:rPr>
        <w:t>13</w:t>
      </w:r>
      <w:r w:rsidRPr="00BA01AF">
        <w:rPr>
          <w:rFonts w:ascii="Times New Roman" w:eastAsia="MS Mincho" w:hAnsi="Times New Roman" w:cs="Times New Roman"/>
          <w:sz w:val="24"/>
          <w:szCs w:val="24"/>
          <w:lang w:eastAsia="es-PE"/>
        </w:rPr>
        <w:t>.</w:t>
      </w:r>
      <w:r>
        <w:rPr>
          <w:rFonts w:ascii="Times New Roman" w:eastAsia="MS Mincho" w:hAnsi="Times New Roman" w:cs="Times New Roman"/>
          <w:sz w:val="24"/>
          <w:szCs w:val="24"/>
          <w:lang w:eastAsia="es-PE"/>
        </w:rPr>
        <w:t>ENE</w:t>
      </w:r>
      <w:r w:rsidRPr="00BA01AF">
        <w:rPr>
          <w:rFonts w:ascii="Times New Roman" w:eastAsia="MS Mincho" w:hAnsi="Times New Roman" w:cs="Times New Roman"/>
          <w:sz w:val="24"/>
          <w:szCs w:val="24"/>
          <w:lang w:eastAsia="es-PE"/>
        </w:rPr>
        <w:t>.201</w:t>
      </w:r>
      <w:r>
        <w:rPr>
          <w:rFonts w:ascii="Times New Roman" w:eastAsia="MS Mincho" w:hAnsi="Times New Roman" w:cs="Times New Roman"/>
          <w:sz w:val="24"/>
          <w:szCs w:val="24"/>
          <w:lang w:eastAsia="es-PE"/>
        </w:rPr>
        <w:t>5</w:t>
      </w:r>
      <w:r w:rsidRPr="00BA01AF">
        <w:rPr>
          <w:rFonts w:ascii="Times New Roman" w:eastAsia="MS Mincho" w:hAnsi="Times New Roman" w:cs="Times New Roman"/>
          <w:sz w:val="24"/>
          <w:szCs w:val="24"/>
          <w:lang w:eastAsia="es-PE"/>
        </w:rPr>
        <w:t>, en consecuencia, su registro se llevó a cabo fuera del plazo previsto para la formulación de observaciones; por lo tanto no corresponde que este Organismo Supervisor se pronuncie respecto de su</w:t>
      </w:r>
      <w:r>
        <w:rPr>
          <w:rFonts w:ascii="Times New Roman" w:eastAsia="MS Mincho" w:hAnsi="Times New Roman" w:cs="Times New Roman"/>
          <w:sz w:val="24"/>
          <w:szCs w:val="24"/>
          <w:lang w:eastAsia="es-PE"/>
        </w:rPr>
        <w:t>s</w:t>
      </w:r>
      <w:r w:rsidRPr="00BA01AF">
        <w:rPr>
          <w:rFonts w:ascii="Times New Roman" w:eastAsia="MS Mincho" w:hAnsi="Times New Roman" w:cs="Times New Roman"/>
          <w:sz w:val="24"/>
          <w:szCs w:val="24"/>
          <w:lang w:eastAsia="es-PE"/>
        </w:rPr>
        <w:t xml:space="preserve"> </w:t>
      </w:r>
      <w:r>
        <w:rPr>
          <w:rFonts w:ascii="Times New Roman" w:eastAsia="MS Mincho" w:hAnsi="Times New Roman" w:cs="Times New Roman"/>
          <w:sz w:val="24"/>
          <w:szCs w:val="24"/>
          <w:lang w:eastAsia="es-PE"/>
        </w:rPr>
        <w:t>tres (3)</w:t>
      </w:r>
      <w:r w:rsidRPr="00BA01AF">
        <w:rPr>
          <w:rFonts w:ascii="Times New Roman" w:eastAsia="MS Mincho" w:hAnsi="Times New Roman" w:cs="Times New Roman"/>
          <w:sz w:val="24"/>
          <w:szCs w:val="24"/>
          <w:lang w:eastAsia="es-PE"/>
        </w:rPr>
        <w:t xml:space="preserve"> cuestionamiento</w:t>
      </w:r>
      <w:r>
        <w:rPr>
          <w:rFonts w:ascii="Times New Roman" w:eastAsia="MS Mincho" w:hAnsi="Times New Roman" w:cs="Times New Roman"/>
          <w:sz w:val="24"/>
          <w:szCs w:val="24"/>
          <w:lang w:eastAsia="es-PE"/>
        </w:rPr>
        <w:t>s</w:t>
      </w:r>
      <w:r w:rsidRPr="00BA01AF">
        <w:rPr>
          <w:rFonts w:ascii="Times New Roman" w:eastAsia="MS Mincho" w:hAnsi="Times New Roman" w:cs="Times New Roman"/>
          <w:sz w:val="24"/>
          <w:szCs w:val="24"/>
          <w:lang w:eastAsia="es-PE"/>
        </w:rPr>
        <w:t>.</w:t>
      </w:r>
    </w:p>
    <w:p w:rsidR="00CA05B8" w:rsidRPr="00323BFB" w:rsidRDefault="00CA05B8" w:rsidP="00CA05B8">
      <w:pPr>
        <w:widowControl w:val="0"/>
        <w:suppressAutoHyphens/>
        <w:spacing w:after="0" w:line="240" w:lineRule="auto"/>
        <w:jc w:val="both"/>
        <w:rPr>
          <w:rFonts w:ascii="Times New Roman" w:eastAsia="MS Mincho" w:hAnsi="Times New Roman" w:cs="Times New Roman"/>
          <w:sz w:val="24"/>
          <w:szCs w:val="24"/>
          <w:lang w:eastAsia="es-PE"/>
        </w:rPr>
      </w:pPr>
    </w:p>
    <w:p w:rsidR="00CA05B8" w:rsidRDefault="00CA05B8" w:rsidP="00CA05B8">
      <w:pPr>
        <w:widowControl w:val="0"/>
        <w:suppressAutoHyphens/>
        <w:spacing w:after="0" w:line="240" w:lineRule="auto"/>
        <w:jc w:val="both"/>
        <w:rPr>
          <w:rFonts w:ascii="Times New Roman" w:eastAsia="MS Mincho" w:hAnsi="Times New Roman" w:cs="Times New Roman"/>
          <w:sz w:val="24"/>
          <w:szCs w:val="24"/>
          <w:lang w:val="es-ES" w:eastAsia="es-PE"/>
        </w:rPr>
      </w:pPr>
      <w:r w:rsidRPr="00323BFB">
        <w:rPr>
          <w:rFonts w:ascii="Times New Roman" w:eastAsia="MS Mincho" w:hAnsi="Times New Roman" w:cs="Times New Roman"/>
          <w:sz w:val="24"/>
          <w:szCs w:val="24"/>
          <w:lang w:eastAsia="es-PE"/>
        </w:rPr>
        <w:t xml:space="preserve">De otro lado, </w:t>
      </w:r>
      <w:r w:rsidRPr="00A75116">
        <w:rPr>
          <w:rFonts w:ascii="Times New Roman" w:eastAsia="MS Mincho" w:hAnsi="Times New Roman" w:cs="Times New Roman"/>
          <w:sz w:val="24"/>
          <w:szCs w:val="24"/>
          <w:lang w:val="es-ES" w:eastAsia="es-PE"/>
        </w:rPr>
        <w:t>corresponde señalar que</w:t>
      </w:r>
      <w:r w:rsidRPr="00A75116">
        <w:rPr>
          <w:rFonts w:ascii="Times New Roman" w:eastAsia="MS Mincho" w:hAnsi="Times New Roman" w:cs="Times New Roman"/>
          <w:sz w:val="24"/>
          <w:szCs w:val="24"/>
          <w:lang w:eastAsia="es-PE"/>
        </w:rPr>
        <w:t xml:space="preserve"> </w:t>
      </w:r>
      <w:r w:rsidRPr="00A75116">
        <w:rPr>
          <w:rFonts w:ascii="Times New Roman" w:eastAsia="MS Mincho" w:hAnsi="Times New Roman" w:cs="Times New Roman"/>
          <w:sz w:val="24"/>
          <w:szCs w:val="24"/>
          <w:lang w:val="es-ES" w:eastAsia="es-PE"/>
        </w:rPr>
        <w:t>este Organismo Supervisor no se pronunciará respecto</w:t>
      </w:r>
      <w:r>
        <w:rPr>
          <w:rFonts w:ascii="Times New Roman" w:eastAsia="MS Mincho" w:hAnsi="Times New Roman" w:cs="Times New Roman"/>
          <w:sz w:val="24"/>
          <w:szCs w:val="24"/>
          <w:lang w:val="es-ES" w:eastAsia="es-PE"/>
        </w:rPr>
        <w:t xml:space="preserve"> de la</w:t>
      </w:r>
      <w:r w:rsidRPr="00A75116">
        <w:rPr>
          <w:rFonts w:ascii="Times New Roman" w:eastAsia="MS Mincho" w:hAnsi="Times New Roman" w:cs="Times New Roman"/>
          <w:sz w:val="24"/>
          <w:szCs w:val="24"/>
          <w:lang w:val="es-ES" w:eastAsia="es-PE"/>
        </w:rPr>
        <w:t xml:space="preserve"> Observaci</w:t>
      </w:r>
      <w:r>
        <w:rPr>
          <w:rFonts w:ascii="Times New Roman" w:eastAsia="MS Mincho" w:hAnsi="Times New Roman" w:cs="Times New Roman"/>
          <w:sz w:val="24"/>
          <w:szCs w:val="24"/>
          <w:lang w:val="es-ES" w:eastAsia="es-PE"/>
        </w:rPr>
        <w:t>ón</w:t>
      </w:r>
      <w:r w:rsidRPr="00A75116">
        <w:rPr>
          <w:rFonts w:ascii="Times New Roman" w:eastAsia="MS Mincho" w:hAnsi="Times New Roman" w:cs="Times New Roman"/>
          <w:sz w:val="24"/>
          <w:szCs w:val="24"/>
          <w:lang w:val="es-ES" w:eastAsia="es-PE"/>
        </w:rPr>
        <w:t xml:space="preserve"> Nº </w:t>
      </w:r>
      <w:r>
        <w:rPr>
          <w:rFonts w:ascii="Times New Roman" w:eastAsia="MS Mincho" w:hAnsi="Times New Roman" w:cs="Times New Roman"/>
          <w:sz w:val="24"/>
          <w:szCs w:val="24"/>
          <w:lang w:val="es-ES" w:eastAsia="es-PE"/>
        </w:rPr>
        <w:t xml:space="preserve">1 del participante </w:t>
      </w:r>
      <w:r w:rsidRPr="00A75116">
        <w:rPr>
          <w:rFonts w:ascii="Times New Roman" w:eastAsia="Times New Roman" w:hAnsi="Times New Roman" w:cs="Times New Roman"/>
          <w:sz w:val="24"/>
          <w:szCs w:val="24"/>
          <w:lang w:eastAsia="es-ES"/>
        </w:rPr>
        <w:t>PLATINUM S.R.L.</w:t>
      </w:r>
      <w:r w:rsidRPr="00A75116">
        <w:rPr>
          <w:rFonts w:ascii="Times New Roman" w:eastAsia="MS Mincho" w:hAnsi="Times New Roman" w:cs="Times New Roman"/>
          <w:sz w:val="24"/>
          <w:szCs w:val="24"/>
          <w:lang w:val="es-ES" w:eastAsia="es-PE"/>
        </w:rPr>
        <w:t>, puesto que ésta ha sido acogida por el Comité Especial y no fue cuestionada por el participante en su solicitud de elevación de observaciones</w:t>
      </w:r>
      <w:r>
        <w:rPr>
          <w:rFonts w:ascii="Times New Roman" w:eastAsia="MS Mincho" w:hAnsi="Times New Roman" w:cs="Times New Roman"/>
          <w:sz w:val="24"/>
          <w:szCs w:val="24"/>
          <w:lang w:val="es-ES" w:eastAsia="es-PE"/>
        </w:rPr>
        <w:t>.</w:t>
      </w:r>
    </w:p>
    <w:p w:rsidR="00CA05B8" w:rsidRDefault="00CA05B8" w:rsidP="00CA05B8">
      <w:pPr>
        <w:widowControl w:val="0"/>
        <w:suppressAutoHyphens/>
        <w:spacing w:after="0" w:line="240" w:lineRule="auto"/>
        <w:jc w:val="both"/>
        <w:rPr>
          <w:rFonts w:ascii="Times New Roman" w:eastAsia="MS Mincho" w:hAnsi="Times New Roman" w:cs="Times New Roman"/>
          <w:sz w:val="24"/>
          <w:szCs w:val="24"/>
          <w:lang w:val="es-ES" w:eastAsia="es-PE"/>
        </w:rPr>
      </w:pPr>
    </w:p>
    <w:p w:rsidR="00CA05B8" w:rsidRPr="001C4A8E" w:rsidRDefault="00CA05B8" w:rsidP="00CA05B8">
      <w:pPr>
        <w:widowControl w:val="0"/>
        <w:suppressAutoHyphens/>
        <w:spacing w:after="0" w:line="240" w:lineRule="auto"/>
        <w:jc w:val="both"/>
        <w:rPr>
          <w:rFonts w:ascii="Times New Roman" w:eastAsia="MS Mincho" w:hAnsi="Times New Roman" w:cs="Times New Roman"/>
          <w:sz w:val="24"/>
          <w:szCs w:val="24"/>
          <w:lang w:val="es-ES" w:eastAsia="es-PE"/>
        </w:rPr>
      </w:pPr>
      <w:r>
        <w:rPr>
          <w:rFonts w:ascii="Times New Roman" w:eastAsia="MS Mincho" w:hAnsi="Times New Roman" w:cs="Times New Roman"/>
          <w:sz w:val="24"/>
          <w:szCs w:val="24"/>
          <w:lang w:val="es-ES" w:eastAsia="es-PE"/>
        </w:rPr>
        <w:t xml:space="preserve">Asimismo, </w:t>
      </w:r>
      <w:r w:rsidRPr="001C4A8E">
        <w:rPr>
          <w:rFonts w:ascii="Times New Roman" w:eastAsia="MS Mincho" w:hAnsi="Times New Roman" w:cs="Times New Roman"/>
          <w:sz w:val="24"/>
          <w:szCs w:val="24"/>
          <w:lang w:eastAsia="es-PE"/>
        </w:rPr>
        <w:t>debemos señalar que la Observaci</w:t>
      </w:r>
      <w:r>
        <w:rPr>
          <w:rFonts w:ascii="Times New Roman" w:eastAsia="MS Mincho" w:hAnsi="Times New Roman" w:cs="Times New Roman"/>
          <w:sz w:val="24"/>
          <w:szCs w:val="24"/>
          <w:lang w:eastAsia="es-PE"/>
        </w:rPr>
        <w:t>ón</w:t>
      </w:r>
      <w:r w:rsidRPr="001C4A8E">
        <w:rPr>
          <w:rFonts w:ascii="Times New Roman" w:eastAsia="MS Mincho" w:hAnsi="Times New Roman" w:cs="Times New Roman"/>
          <w:sz w:val="24"/>
          <w:szCs w:val="24"/>
          <w:lang w:eastAsia="es-PE"/>
        </w:rPr>
        <w:t xml:space="preserve"> Nº </w:t>
      </w:r>
      <w:r>
        <w:rPr>
          <w:rFonts w:ascii="Times New Roman" w:eastAsia="MS Mincho" w:hAnsi="Times New Roman" w:cs="Times New Roman"/>
          <w:sz w:val="24"/>
          <w:szCs w:val="24"/>
          <w:lang w:eastAsia="es-PE"/>
        </w:rPr>
        <w:t>2</w:t>
      </w:r>
      <w:r w:rsidRPr="001C4A8E">
        <w:rPr>
          <w:rFonts w:ascii="Times New Roman" w:eastAsia="MS Mincho" w:hAnsi="Times New Roman" w:cs="Times New Roman"/>
          <w:sz w:val="24"/>
          <w:szCs w:val="24"/>
          <w:lang w:eastAsia="es-PE"/>
        </w:rPr>
        <w:t xml:space="preserve"> del recurrente no se </w:t>
      </w:r>
      <w:r>
        <w:rPr>
          <w:rFonts w:ascii="Times New Roman" w:eastAsia="MS Mincho" w:hAnsi="Times New Roman" w:cs="Times New Roman"/>
          <w:sz w:val="24"/>
          <w:szCs w:val="24"/>
          <w:lang w:eastAsia="es-PE"/>
        </w:rPr>
        <w:t>enmarca</w:t>
      </w:r>
      <w:r w:rsidRPr="001C4A8E">
        <w:rPr>
          <w:rFonts w:ascii="Times New Roman" w:eastAsia="MS Mincho" w:hAnsi="Times New Roman" w:cs="Times New Roman"/>
          <w:sz w:val="24"/>
          <w:szCs w:val="24"/>
          <w:lang w:eastAsia="es-PE"/>
        </w:rPr>
        <w:t xml:space="preserve"> dentro de los supuestos establecidos en el artículo 58 del Reglamento, pues constituye</w:t>
      </w:r>
      <w:r>
        <w:rPr>
          <w:rFonts w:ascii="Times New Roman" w:eastAsia="MS Mincho" w:hAnsi="Times New Roman" w:cs="Times New Roman"/>
          <w:sz w:val="24"/>
          <w:szCs w:val="24"/>
          <w:lang w:eastAsia="es-PE"/>
        </w:rPr>
        <w:t xml:space="preserve"> una</w:t>
      </w:r>
      <w:r w:rsidRPr="001C4A8E">
        <w:rPr>
          <w:rFonts w:ascii="Times New Roman" w:eastAsia="MS Mincho" w:hAnsi="Times New Roman" w:cs="Times New Roman"/>
          <w:sz w:val="24"/>
          <w:szCs w:val="24"/>
          <w:lang w:eastAsia="es-PE"/>
        </w:rPr>
        <w:t xml:space="preserve"> </w:t>
      </w:r>
      <w:r w:rsidRPr="001C4A8E">
        <w:rPr>
          <w:rFonts w:ascii="Times New Roman" w:eastAsia="MS Mincho" w:hAnsi="Times New Roman" w:cs="Times New Roman"/>
          <w:sz w:val="24"/>
          <w:szCs w:val="24"/>
          <w:lang w:eastAsia="es-PE"/>
        </w:rPr>
        <w:lastRenderedPageBreak/>
        <w:t xml:space="preserve">solicitud de </w:t>
      </w:r>
      <w:r>
        <w:rPr>
          <w:rFonts w:ascii="Times New Roman" w:eastAsia="MS Mincho" w:hAnsi="Times New Roman" w:cs="Times New Roman"/>
          <w:sz w:val="24"/>
          <w:szCs w:val="24"/>
          <w:lang w:eastAsia="es-PE"/>
        </w:rPr>
        <w:t>modificación</w:t>
      </w:r>
      <w:r w:rsidRPr="001C4A8E">
        <w:rPr>
          <w:rFonts w:ascii="Times New Roman" w:eastAsia="MS Mincho" w:hAnsi="Times New Roman" w:cs="Times New Roman"/>
          <w:sz w:val="24"/>
          <w:szCs w:val="24"/>
          <w:lang w:eastAsia="es-PE"/>
        </w:rPr>
        <w:t xml:space="preserve"> y/o aclaración sobre cierto aspecto de las Bases; por lo que al tratarse en estricto de</w:t>
      </w:r>
      <w:r>
        <w:rPr>
          <w:rFonts w:ascii="Times New Roman" w:eastAsia="MS Mincho" w:hAnsi="Times New Roman" w:cs="Times New Roman"/>
          <w:sz w:val="24"/>
          <w:szCs w:val="24"/>
          <w:lang w:eastAsia="es-PE"/>
        </w:rPr>
        <w:t xml:space="preserve"> una</w:t>
      </w:r>
      <w:r w:rsidRPr="001C4A8E">
        <w:rPr>
          <w:rFonts w:ascii="Times New Roman" w:eastAsia="MS Mincho" w:hAnsi="Times New Roman" w:cs="Times New Roman"/>
          <w:sz w:val="24"/>
          <w:szCs w:val="24"/>
          <w:lang w:eastAsia="es-PE"/>
        </w:rPr>
        <w:t xml:space="preserve"> consulta, este Organismo Supervisor no se pronunciará respecto de ella</w:t>
      </w:r>
      <w:r w:rsidRPr="00323BFB">
        <w:rPr>
          <w:rFonts w:ascii="Times New Roman" w:eastAsia="MS Mincho" w:hAnsi="Times New Roman" w:cs="Times New Roman"/>
          <w:sz w:val="24"/>
          <w:szCs w:val="24"/>
          <w:lang w:eastAsia="es-PE"/>
        </w:rPr>
        <w:t>; sin perjuicio de las observaciones de oficio que puedan realizarse sobre aspectos relevantes de las Bases, al amparo de lo previsto por el inciso a) del artículo 58 de la Ley.</w:t>
      </w:r>
    </w:p>
    <w:p w:rsidR="00CA05B8" w:rsidRPr="00323BFB" w:rsidRDefault="00CA05B8" w:rsidP="00CA05B8">
      <w:pPr>
        <w:widowControl w:val="0"/>
        <w:suppressAutoHyphens/>
        <w:spacing w:after="0" w:line="240" w:lineRule="auto"/>
        <w:jc w:val="both"/>
        <w:rPr>
          <w:rFonts w:ascii="Times New Roman" w:eastAsia="Calibri" w:hAnsi="Times New Roman" w:cs="Times New Roman"/>
          <w:sz w:val="24"/>
          <w:szCs w:val="24"/>
          <w:lang w:val="es-ES_tradnl" w:eastAsia="es-PE"/>
        </w:rPr>
      </w:pPr>
    </w:p>
    <w:p w:rsidR="00CA05B8" w:rsidRPr="00323BFB" w:rsidRDefault="00CA05B8" w:rsidP="00CA05B8">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323BFB">
        <w:rPr>
          <w:rFonts w:ascii="Times New Roman" w:eastAsia="Times New Roman" w:hAnsi="Times New Roman" w:cs="Times New Roman"/>
          <w:b/>
          <w:sz w:val="24"/>
          <w:szCs w:val="24"/>
          <w:lang w:val="es-ES" w:eastAsia="es-MX"/>
        </w:rPr>
        <w:t>OBSERVACIONES</w:t>
      </w:r>
    </w:p>
    <w:p w:rsidR="00CA05B8" w:rsidRPr="00323BFB" w:rsidRDefault="00CA05B8" w:rsidP="00CA05B8">
      <w:pPr>
        <w:tabs>
          <w:tab w:val="left" w:pos="567"/>
        </w:tabs>
        <w:spacing w:after="0" w:line="240" w:lineRule="auto"/>
        <w:ind w:left="4253" w:hanging="4253"/>
        <w:jc w:val="both"/>
        <w:rPr>
          <w:rFonts w:ascii="Times New Roman" w:eastAsia="Times New Roman" w:hAnsi="Times New Roman" w:cs="Times New Roman"/>
          <w:b/>
          <w:sz w:val="24"/>
          <w:szCs w:val="24"/>
          <w:lang w:val="es-MX" w:eastAsia="es-MX"/>
        </w:rPr>
      </w:pPr>
    </w:p>
    <w:p w:rsidR="00CA05B8" w:rsidRPr="00323BFB" w:rsidRDefault="00CA05B8" w:rsidP="00CA05B8">
      <w:pPr>
        <w:tabs>
          <w:tab w:val="left" w:pos="567"/>
        </w:tabs>
        <w:spacing w:after="0" w:line="240" w:lineRule="auto"/>
        <w:ind w:left="4253" w:hanging="4253"/>
        <w:jc w:val="both"/>
        <w:rPr>
          <w:rFonts w:ascii="Times New Roman" w:eastAsia="MS Mincho" w:hAnsi="Times New Roman" w:cs="Times New Roman"/>
          <w:b/>
          <w:sz w:val="24"/>
          <w:szCs w:val="24"/>
          <w:lang w:val="es-ES" w:eastAsia="es-ES"/>
        </w:rPr>
      </w:pPr>
      <w:r w:rsidRPr="00323BFB">
        <w:rPr>
          <w:rFonts w:ascii="Times New Roman" w:eastAsia="Times New Roman" w:hAnsi="Times New Roman" w:cs="Times New Roman"/>
          <w:b/>
          <w:sz w:val="24"/>
          <w:szCs w:val="24"/>
          <w:lang w:val="es-MX" w:eastAsia="es-MX"/>
        </w:rPr>
        <w:t>Observante</w:t>
      </w:r>
      <w:r w:rsidRPr="00323BFB">
        <w:rPr>
          <w:rFonts w:ascii="Times New Roman" w:eastAsia="Times New Roman" w:hAnsi="Times New Roman" w:cs="Times New Roman"/>
          <w:b/>
          <w:sz w:val="24"/>
          <w:szCs w:val="24"/>
          <w:lang w:val="es-ES" w:eastAsia="es-MX"/>
        </w:rPr>
        <w:t>:</w:t>
      </w:r>
      <w:r w:rsidRPr="00323BFB">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ab/>
      </w:r>
      <w:r>
        <w:rPr>
          <w:rFonts w:ascii="Times New Roman" w:eastAsia="Times New Roman" w:hAnsi="Times New Roman" w:cs="Times New Roman"/>
          <w:b/>
          <w:sz w:val="24"/>
          <w:szCs w:val="24"/>
          <w:lang w:eastAsia="es-ES"/>
        </w:rPr>
        <w:t>PLATINUM S.R.L.</w:t>
      </w:r>
    </w:p>
    <w:p w:rsidR="00CA05B8" w:rsidRPr="00323BFB" w:rsidRDefault="00CA05B8" w:rsidP="00CA05B8">
      <w:pPr>
        <w:tabs>
          <w:tab w:val="left" w:pos="567"/>
        </w:tabs>
        <w:spacing w:after="0" w:line="240" w:lineRule="auto"/>
        <w:ind w:left="4253" w:hanging="4253"/>
        <w:jc w:val="both"/>
        <w:rPr>
          <w:rFonts w:ascii="Times New Roman" w:eastAsia="Times New Roman" w:hAnsi="Times New Roman" w:cs="Times New Roman"/>
          <w:sz w:val="24"/>
          <w:szCs w:val="24"/>
          <w:lang w:val="es-ES" w:eastAsia="es-MX"/>
        </w:rPr>
      </w:pPr>
    </w:p>
    <w:p w:rsidR="00CA05B8" w:rsidRPr="00323BFB" w:rsidRDefault="00CA05B8" w:rsidP="00CA05B8">
      <w:pPr>
        <w:tabs>
          <w:tab w:val="left" w:pos="567"/>
        </w:tabs>
        <w:spacing w:after="0" w:line="240" w:lineRule="auto"/>
        <w:ind w:left="4950" w:hanging="4950"/>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 xml:space="preserve">Cuestionamiento </w:t>
      </w:r>
      <w:r w:rsidR="00EF3ABC">
        <w:rPr>
          <w:rFonts w:ascii="Times New Roman" w:eastAsia="Times New Roman" w:hAnsi="Times New Roman" w:cs="Times New Roman"/>
          <w:b/>
          <w:sz w:val="24"/>
          <w:szCs w:val="24"/>
          <w:lang w:val="es-ES" w:eastAsia="es-MX"/>
        </w:rPr>
        <w:t>Único</w:t>
      </w:r>
      <w:r w:rsidRPr="00323BFB">
        <w:rPr>
          <w:rFonts w:ascii="Times New Roman" w:eastAsia="Times New Roman" w:hAnsi="Times New Roman" w:cs="Times New Roman"/>
          <w:b/>
          <w:sz w:val="24"/>
          <w:szCs w:val="24"/>
          <w:lang w:val="es-ES" w:eastAsia="es-MX"/>
        </w:rPr>
        <w:t xml:space="preserve">: </w:t>
      </w:r>
      <w:r w:rsidRPr="00323BFB">
        <w:rPr>
          <w:rFonts w:ascii="Times New Roman" w:eastAsia="Times New Roman" w:hAnsi="Times New Roman" w:cs="Times New Roman"/>
          <w:b/>
          <w:sz w:val="24"/>
          <w:szCs w:val="24"/>
          <w:lang w:val="es-ES" w:eastAsia="es-MX"/>
        </w:rPr>
        <w:tab/>
        <w:t>Contra los requerimientos técnicos mínimos</w:t>
      </w:r>
    </w:p>
    <w:p w:rsidR="00CA05B8" w:rsidRPr="00323BFB" w:rsidRDefault="00CA05B8" w:rsidP="00CA05B8">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CA05B8" w:rsidRDefault="00CA05B8" w:rsidP="00CA05B8">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El participante cuestiona la absolución de la Observación Nº 7 del participante FERCO MEDICAL S.A.C., a través de la cual el Comité Especial ha dejado sin efecto la respuesta a la Consulta Nº 9 formulada por el recurrente, señalando lo siguiente: </w:t>
      </w:r>
    </w:p>
    <w:p w:rsidR="00CA05B8" w:rsidRDefault="00CA05B8" w:rsidP="00CA05B8">
      <w:pPr>
        <w:spacing w:after="0" w:line="240" w:lineRule="auto"/>
        <w:jc w:val="both"/>
        <w:rPr>
          <w:rFonts w:ascii="Times New Roman" w:eastAsia="Times New Roman" w:hAnsi="Times New Roman" w:cs="Times New Roman"/>
          <w:sz w:val="24"/>
          <w:szCs w:val="24"/>
          <w:lang w:val="es-ES" w:eastAsia="es-MX"/>
        </w:rPr>
      </w:pPr>
    </w:p>
    <w:p w:rsidR="00CA05B8" w:rsidRDefault="00CA05B8" w:rsidP="00CA05B8">
      <w:pPr>
        <w:pStyle w:val="Prrafodelista"/>
        <w:numPr>
          <w:ilvl w:val="0"/>
          <w:numId w:val="5"/>
        </w:num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Con respecto a que el precio de un empaque de 35cm sería menor que uno de 40 cm, debe tenerse en cuenta </w:t>
      </w:r>
      <w:r w:rsidRPr="00C11492">
        <w:rPr>
          <w:rFonts w:ascii="Times New Roman" w:eastAsia="Times New Roman" w:hAnsi="Times New Roman" w:cs="Times New Roman"/>
          <w:sz w:val="24"/>
          <w:szCs w:val="24"/>
          <w:lang w:val="es-ES" w:eastAsia="es-MX"/>
        </w:rPr>
        <w:t xml:space="preserve">que el presente proceso es a suma alzada, </w:t>
      </w:r>
      <w:r>
        <w:rPr>
          <w:rFonts w:ascii="Times New Roman" w:eastAsia="Times New Roman" w:hAnsi="Times New Roman" w:cs="Times New Roman"/>
          <w:sz w:val="24"/>
          <w:szCs w:val="24"/>
          <w:lang w:val="es-ES" w:eastAsia="es-MX"/>
        </w:rPr>
        <w:t xml:space="preserve">por lo que lo relevante es </w:t>
      </w:r>
      <w:r w:rsidRPr="00C11492">
        <w:rPr>
          <w:rFonts w:ascii="Times New Roman" w:eastAsia="Times New Roman" w:hAnsi="Times New Roman" w:cs="Times New Roman"/>
          <w:sz w:val="24"/>
          <w:szCs w:val="24"/>
          <w:lang w:val="es-ES" w:eastAsia="es-MX"/>
        </w:rPr>
        <w:t>el valor del ítem paquete y no el de cada bien</w:t>
      </w:r>
      <w:r>
        <w:rPr>
          <w:rFonts w:ascii="Times New Roman" w:eastAsia="Times New Roman" w:hAnsi="Times New Roman" w:cs="Times New Roman"/>
          <w:sz w:val="24"/>
          <w:szCs w:val="24"/>
          <w:lang w:val="es-ES" w:eastAsia="es-MX"/>
        </w:rPr>
        <w:t xml:space="preserve"> individual, siendo que el valor de éstos habrían sido establecidos de manera referencial. </w:t>
      </w:r>
    </w:p>
    <w:p w:rsidR="00CA05B8" w:rsidRDefault="00CA05B8" w:rsidP="00CA05B8">
      <w:pPr>
        <w:pStyle w:val="Prrafodelista"/>
        <w:spacing w:after="0" w:line="240" w:lineRule="auto"/>
        <w:jc w:val="both"/>
        <w:rPr>
          <w:rFonts w:ascii="Times New Roman" w:eastAsia="Times New Roman" w:hAnsi="Times New Roman" w:cs="Times New Roman"/>
          <w:sz w:val="24"/>
          <w:szCs w:val="24"/>
          <w:lang w:val="es-ES" w:eastAsia="es-MX"/>
        </w:rPr>
      </w:pPr>
    </w:p>
    <w:p w:rsidR="00CA05B8" w:rsidRDefault="00CA05B8" w:rsidP="00CA05B8">
      <w:pPr>
        <w:pStyle w:val="Prrafodelista"/>
        <w:numPr>
          <w:ilvl w:val="0"/>
          <w:numId w:val="5"/>
        </w:num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En la medida que los fabricantes determinarían las características y dimensiones de sus productos, resultaría apropiado que no se establezcan especificaciones técnicas con dimensiones tan rígidas, siendo lo razonable que las dimensiones se establezcan a través de rangos. Así, en el presente caso, se habría aludido a una diferencia de 5 cm, los cuales no tendrían un impacto en el desempeño de los bienes, ni en su uso. </w:t>
      </w:r>
    </w:p>
    <w:p w:rsidR="00CA05B8" w:rsidRPr="002168BA" w:rsidRDefault="00CE5D12" w:rsidP="00CA05B8">
      <w:pPr>
        <w:pStyle w:val="Prrafodelista"/>
        <w:rPr>
          <w:rFonts w:ascii="Times New Roman" w:eastAsia="Times New Roman" w:hAnsi="Times New Roman" w:cs="Times New Roman"/>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69504" behindDoc="0" locked="0" layoutInCell="1" allowOverlap="1" wp14:anchorId="6FFD97D3" wp14:editId="6EB66B9E">
            <wp:simplePos x="0" y="0"/>
            <wp:positionH relativeFrom="column">
              <wp:posOffset>-1016454</wp:posOffset>
            </wp:positionH>
            <wp:positionV relativeFrom="paragraph">
              <wp:posOffset>85090</wp:posOffset>
            </wp:positionV>
            <wp:extent cx="971550" cy="353377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05B8" w:rsidRPr="002168BA" w:rsidRDefault="00CA05B8" w:rsidP="00CA05B8">
      <w:pPr>
        <w:pStyle w:val="Prrafodelista"/>
        <w:numPr>
          <w:ilvl w:val="0"/>
          <w:numId w:val="5"/>
        </w:num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Considerando</w:t>
      </w:r>
      <w:r w:rsidRPr="002168BA">
        <w:rPr>
          <w:rFonts w:ascii="Times New Roman" w:eastAsia="Times New Roman" w:hAnsi="Times New Roman" w:cs="Times New Roman"/>
          <w:sz w:val="24"/>
          <w:szCs w:val="24"/>
          <w:lang w:val="es-ES" w:eastAsia="es-MX"/>
        </w:rPr>
        <w:t xml:space="preserve"> que </w:t>
      </w:r>
      <w:r>
        <w:rPr>
          <w:rFonts w:ascii="Times New Roman" w:eastAsia="Times New Roman" w:hAnsi="Times New Roman" w:cs="Times New Roman"/>
          <w:sz w:val="24"/>
          <w:szCs w:val="24"/>
          <w:lang w:val="es-ES" w:eastAsia="es-MX"/>
        </w:rPr>
        <w:t xml:space="preserve">en el presente caso </w:t>
      </w:r>
      <w:r w:rsidRPr="002168BA">
        <w:rPr>
          <w:rFonts w:ascii="Times New Roman" w:eastAsia="Times New Roman" w:hAnsi="Times New Roman" w:cs="Times New Roman"/>
          <w:sz w:val="24"/>
          <w:szCs w:val="24"/>
          <w:lang w:val="es-ES" w:eastAsia="es-MX"/>
        </w:rPr>
        <w:t>para establecer el valor referencial se utilizó el precio histórico previsto por la Entidad en la licitación Pública Nº 002-2013, el requerimiento actual tendría que ser concordante con las especificaciones previstas en aquel proceso, siendo que en éste se hace referencia a la medida del empaque en el rango de 35 cm a 40 cm; en ese sentido, considera que establecer la medida únicamente en 40 cm conllevaría a una incorrecta determinación del valor referencial.</w:t>
      </w:r>
    </w:p>
    <w:p w:rsidR="00CA05B8" w:rsidRPr="002168BA" w:rsidRDefault="00CA05B8" w:rsidP="00CA05B8">
      <w:pPr>
        <w:pStyle w:val="Prrafodelista"/>
        <w:spacing w:after="0" w:line="240" w:lineRule="auto"/>
        <w:jc w:val="both"/>
        <w:rPr>
          <w:rFonts w:ascii="Times New Roman" w:eastAsia="Times New Roman" w:hAnsi="Times New Roman" w:cs="Times New Roman"/>
          <w:sz w:val="24"/>
          <w:szCs w:val="24"/>
          <w:lang w:val="es-ES" w:eastAsia="es-MX"/>
        </w:rPr>
      </w:pPr>
    </w:p>
    <w:p w:rsidR="00CA05B8" w:rsidRPr="00391F3F" w:rsidRDefault="00CA05B8" w:rsidP="00CA05B8">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Por lo expuesto, solicitaría que se mantenga la especificación prevista por el Comité Especial al absolver su Consulta Nº 9; es decir, que también se aceptará el empaque tipo </w:t>
      </w:r>
      <w:proofErr w:type="spellStart"/>
      <w:r>
        <w:rPr>
          <w:rFonts w:ascii="Times New Roman" w:eastAsia="Times New Roman" w:hAnsi="Times New Roman" w:cs="Times New Roman"/>
          <w:sz w:val="24"/>
          <w:szCs w:val="24"/>
          <w:lang w:val="es-ES" w:eastAsia="es-MX"/>
        </w:rPr>
        <w:t>tyveck</w:t>
      </w:r>
      <w:proofErr w:type="spellEnd"/>
      <w:r>
        <w:rPr>
          <w:rFonts w:ascii="Times New Roman" w:eastAsia="Times New Roman" w:hAnsi="Times New Roman" w:cs="Times New Roman"/>
          <w:sz w:val="24"/>
          <w:szCs w:val="24"/>
          <w:lang w:val="es-ES" w:eastAsia="es-MX"/>
        </w:rPr>
        <w:t xml:space="preserve"> para esterilización con peróxido de hidrógeno de 35 cm a 40 cm x 70 m a más. </w:t>
      </w:r>
    </w:p>
    <w:p w:rsidR="00CA05B8" w:rsidRPr="00323BFB" w:rsidRDefault="00CA05B8" w:rsidP="00CA05B8">
      <w:pPr>
        <w:spacing w:after="0" w:line="240" w:lineRule="auto"/>
        <w:jc w:val="both"/>
        <w:rPr>
          <w:rFonts w:ascii="Times New Roman" w:eastAsia="Times New Roman" w:hAnsi="Times New Roman" w:cs="Times New Roman"/>
          <w:sz w:val="24"/>
          <w:szCs w:val="24"/>
          <w:lang w:val="es-ES" w:eastAsia="es-MX"/>
        </w:rPr>
      </w:pPr>
    </w:p>
    <w:p w:rsidR="00CA05B8" w:rsidRDefault="00CA05B8" w:rsidP="00CA05B8">
      <w:pPr>
        <w:spacing w:after="0" w:line="240" w:lineRule="auto"/>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Pronunciamiento</w:t>
      </w:r>
    </w:p>
    <w:p w:rsidR="00CA05B8" w:rsidRPr="00ED424A" w:rsidRDefault="00CA05B8" w:rsidP="00CA05B8">
      <w:pPr>
        <w:spacing w:after="0" w:line="240" w:lineRule="auto"/>
        <w:rPr>
          <w:rFonts w:ascii="Times New Roman" w:eastAsia="Times New Roman" w:hAnsi="Times New Roman" w:cs="Times New Roman"/>
          <w:b/>
          <w:sz w:val="24"/>
          <w:szCs w:val="24"/>
          <w:lang w:val="es-ES" w:eastAsia="es-MX"/>
        </w:rPr>
      </w:pPr>
    </w:p>
    <w:p w:rsidR="00CA05B8" w:rsidRPr="00323BFB" w:rsidRDefault="00CA05B8" w:rsidP="00CA05B8">
      <w:pPr>
        <w:spacing w:after="0" w:line="240" w:lineRule="auto"/>
        <w:jc w:val="both"/>
        <w:rPr>
          <w:rFonts w:ascii="Times New Roman" w:eastAsia="Times New Roman" w:hAnsi="Times New Roman" w:cs="Times New Roman"/>
          <w:sz w:val="24"/>
          <w:szCs w:val="24"/>
          <w:lang w:val="es-ES" w:eastAsia="es-MX"/>
        </w:rPr>
      </w:pPr>
      <w:r w:rsidRPr="00323BFB">
        <w:rPr>
          <w:rFonts w:ascii="Times New Roman" w:eastAsia="Times New Roman" w:hAnsi="Times New Roman" w:cs="Times New Roman"/>
          <w:sz w:val="24"/>
          <w:szCs w:val="24"/>
          <w:lang w:val="es-ES" w:eastAsia="es-MX"/>
        </w:rPr>
        <w:t>De la r</w:t>
      </w:r>
      <w:r>
        <w:rPr>
          <w:rFonts w:ascii="Times New Roman" w:eastAsia="Times New Roman" w:hAnsi="Times New Roman" w:cs="Times New Roman"/>
          <w:sz w:val="24"/>
          <w:szCs w:val="24"/>
          <w:lang w:val="es-ES" w:eastAsia="es-MX"/>
        </w:rPr>
        <w:t>evisión de las Bases se aprecia</w:t>
      </w:r>
      <w:r w:rsidRPr="00323BFB">
        <w:rPr>
          <w:rFonts w:ascii="Times New Roman" w:eastAsia="Times New Roman" w:hAnsi="Times New Roman" w:cs="Times New Roman"/>
          <w:sz w:val="24"/>
          <w:szCs w:val="24"/>
          <w:lang w:val="es-ES" w:eastAsia="es-MX"/>
        </w:rPr>
        <w:t xml:space="preserve"> </w:t>
      </w:r>
      <w:r>
        <w:rPr>
          <w:rFonts w:ascii="Times New Roman" w:eastAsia="Times New Roman" w:hAnsi="Times New Roman" w:cs="Times New Roman"/>
          <w:sz w:val="24"/>
          <w:szCs w:val="24"/>
          <w:lang w:val="es-ES" w:eastAsia="es-MX"/>
        </w:rPr>
        <w:t>las especificaciones técnicas para el ítem 19</w:t>
      </w:r>
      <w:r w:rsidRPr="00323BFB">
        <w:rPr>
          <w:rFonts w:ascii="Times New Roman" w:eastAsia="Times New Roman" w:hAnsi="Times New Roman" w:cs="Times New Roman"/>
          <w:sz w:val="24"/>
          <w:szCs w:val="24"/>
          <w:lang w:val="es-ES" w:eastAsia="es-MX"/>
        </w:rPr>
        <w:t>:</w:t>
      </w:r>
    </w:p>
    <w:p w:rsidR="00CA05B8" w:rsidRPr="00323BFB" w:rsidRDefault="00CA05B8" w:rsidP="00CA05B8">
      <w:pPr>
        <w:spacing w:after="0" w:line="240" w:lineRule="auto"/>
        <w:jc w:val="both"/>
        <w:rPr>
          <w:rFonts w:ascii="Times New Roman" w:eastAsia="Times New Roman" w:hAnsi="Times New Roman" w:cs="Times New Roman"/>
          <w:sz w:val="24"/>
          <w:szCs w:val="24"/>
          <w:lang w:val="es-ES" w:eastAsia="es-MX"/>
        </w:rPr>
      </w:pPr>
    </w:p>
    <w:tbl>
      <w:tblPr>
        <w:tblW w:w="9567" w:type="dxa"/>
        <w:tblInd w:w="58" w:type="dxa"/>
        <w:tblCellMar>
          <w:left w:w="70" w:type="dxa"/>
          <w:right w:w="70" w:type="dxa"/>
        </w:tblCellMar>
        <w:tblLook w:val="04A0" w:firstRow="1" w:lastRow="0" w:firstColumn="1" w:lastColumn="0" w:noHBand="0" w:noVBand="1"/>
      </w:tblPr>
      <w:tblGrid>
        <w:gridCol w:w="640"/>
        <w:gridCol w:w="4620"/>
        <w:gridCol w:w="905"/>
        <w:gridCol w:w="827"/>
        <w:gridCol w:w="1095"/>
        <w:gridCol w:w="1480"/>
      </w:tblGrid>
      <w:tr w:rsidR="00CA05B8" w:rsidRPr="009A4B01" w:rsidTr="00CA05B8">
        <w:trPr>
          <w:trHeight w:val="80"/>
        </w:trPr>
        <w:tc>
          <w:tcPr>
            <w:tcW w:w="640" w:type="dxa"/>
            <w:tcBorders>
              <w:top w:val="single" w:sz="4" w:space="0" w:color="auto"/>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19</w:t>
            </w:r>
          </w:p>
        </w:tc>
        <w:tc>
          <w:tcPr>
            <w:tcW w:w="4620" w:type="dxa"/>
            <w:tcBorders>
              <w:top w:val="single" w:sz="4" w:space="0" w:color="auto"/>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EMPAQUE TIPO TYVEX PARA ESTERILIZACION A PLASMA</w:t>
            </w:r>
          </w:p>
        </w:tc>
        <w:tc>
          <w:tcPr>
            <w:tcW w:w="905" w:type="dxa"/>
            <w:tcBorders>
              <w:top w:val="single" w:sz="4" w:space="0" w:color="auto"/>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 </w:t>
            </w:r>
          </w:p>
        </w:tc>
        <w:tc>
          <w:tcPr>
            <w:tcW w:w="827" w:type="dxa"/>
            <w:tcBorders>
              <w:top w:val="single" w:sz="4" w:space="0" w:color="auto"/>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 </w:t>
            </w:r>
          </w:p>
        </w:tc>
        <w:tc>
          <w:tcPr>
            <w:tcW w:w="1095" w:type="dxa"/>
            <w:tcBorders>
              <w:top w:val="single" w:sz="4" w:space="0" w:color="auto"/>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 </w:t>
            </w:r>
          </w:p>
        </w:tc>
        <w:tc>
          <w:tcPr>
            <w:tcW w:w="1480" w:type="dxa"/>
            <w:tcBorders>
              <w:top w:val="single" w:sz="4" w:space="0" w:color="auto"/>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106,905.00</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center"/>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EMPAQUE TIPO TYVECK PARA ESTERILIZACION CON PLASMA PEROXIDO DE HIDROGENO 7.5 CMX 70 M a más.</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c>
          <w:tcPr>
            <w:tcW w:w="827"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70</w:t>
            </w:r>
          </w:p>
        </w:tc>
        <w:tc>
          <w:tcPr>
            <w:tcW w:w="109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165,75</w:t>
            </w:r>
          </w:p>
        </w:tc>
        <w:tc>
          <w:tcPr>
            <w:tcW w:w="1480"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11,602.50</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lastRenderedPageBreak/>
              <w:t> </w:t>
            </w:r>
          </w:p>
        </w:tc>
        <w:tc>
          <w:tcPr>
            <w:tcW w:w="4620" w:type="dxa"/>
            <w:tcBorders>
              <w:top w:val="nil"/>
              <w:left w:val="nil"/>
              <w:bottom w:val="single" w:sz="8" w:space="0" w:color="auto"/>
              <w:right w:val="single" w:sz="8" w:space="0" w:color="auto"/>
            </w:tcBorders>
            <w:shd w:val="clear" w:color="auto" w:fill="auto"/>
            <w:vAlign w:val="center"/>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EMPAQUE TIPO TYVECK PARA ESTERILIZACION CON PLASMA PEROXIDO DE HIDROGENO 10CM X 70 M a más.</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c>
          <w:tcPr>
            <w:tcW w:w="827"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 xml:space="preserve">     55</w:t>
            </w:r>
          </w:p>
        </w:tc>
        <w:tc>
          <w:tcPr>
            <w:tcW w:w="109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206,50</w:t>
            </w:r>
          </w:p>
        </w:tc>
        <w:tc>
          <w:tcPr>
            <w:tcW w:w="1480"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11,357.50</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center"/>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EMPAQUE TIPO TYVECK PARA ESTERILIZACION CON PLASMA  PEROXIDO DE HIDROGENO 15CM X 70m a mas</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c>
          <w:tcPr>
            <w:tcW w:w="827"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70</w:t>
            </w:r>
          </w:p>
        </w:tc>
        <w:tc>
          <w:tcPr>
            <w:tcW w:w="109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281,00</w:t>
            </w:r>
          </w:p>
        </w:tc>
        <w:tc>
          <w:tcPr>
            <w:tcW w:w="1480"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19,670.00</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rPr>
                <w:rFonts w:ascii="Arial" w:eastAsia="Times New Roman" w:hAnsi="Arial" w:cs="Arial"/>
                <w:color w:val="000000"/>
                <w:sz w:val="18"/>
                <w:szCs w:val="18"/>
                <w:u w:val="single"/>
                <w:lang w:val="es-ES" w:eastAsia="es-ES"/>
              </w:rPr>
            </w:pPr>
            <w:r w:rsidRPr="009A4B01">
              <w:rPr>
                <w:rFonts w:ascii="Arial" w:eastAsia="Times New Roman" w:hAnsi="Arial" w:cs="Arial"/>
                <w:color w:val="000000"/>
                <w:sz w:val="18"/>
                <w:szCs w:val="18"/>
                <w:u w:val="single"/>
                <w:lang w:val="es-ES" w:eastAsia="es-ES"/>
              </w:rPr>
              <w:t>EMPAQUE TIPO TYVECK PARA ESTERILIZACION CON PEROXIDO DE HIDROGENO 40CM X 100 M</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c>
          <w:tcPr>
            <w:tcW w:w="827"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50</w:t>
            </w:r>
          </w:p>
        </w:tc>
        <w:tc>
          <w:tcPr>
            <w:tcW w:w="109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760,50</w:t>
            </w:r>
          </w:p>
        </w:tc>
        <w:tc>
          <w:tcPr>
            <w:tcW w:w="1480"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38,025.00</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EMPAQUE TIPO TYVEX PARA ESTERILIZACION A PLASMA DE 20 X 100M</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c>
          <w:tcPr>
            <w:tcW w:w="827"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30</w:t>
            </w:r>
          </w:p>
        </w:tc>
        <w:tc>
          <w:tcPr>
            <w:tcW w:w="109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480,00</w:t>
            </w:r>
          </w:p>
        </w:tc>
        <w:tc>
          <w:tcPr>
            <w:tcW w:w="1480"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14,400.00</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EMPAQUE TIPO TYVECK PARA ESTERILIZACION CON PLASMA  PEROXIDO DE HIDROGENO 35CM X 100m.</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c>
          <w:tcPr>
            <w:tcW w:w="827"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20</w:t>
            </w:r>
          </w:p>
        </w:tc>
        <w:tc>
          <w:tcPr>
            <w:tcW w:w="109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592,50</w:t>
            </w:r>
          </w:p>
        </w:tc>
        <w:tc>
          <w:tcPr>
            <w:tcW w:w="1480"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right"/>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11,850.00</w:t>
            </w:r>
          </w:p>
        </w:tc>
      </w:tr>
    </w:tbl>
    <w:p w:rsidR="00CA05B8" w:rsidRDefault="00CA05B8" w:rsidP="00CA05B8">
      <w:pPr>
        <w:spacing w:after="0" w:line="240" w:lineRule="auto"/>
        <w:jc w:val="both"/>
        <w:rPr>
          <w:rFonts w:ascii="Times New Roman" w:eastAsia="Times New Roman" w:hAnsi="Times New Roman" w:cs="Times New Roman"/>
          <w:sz w:val="24"/>
          <w:szCs w:val="24"/>
          <w:lang w:val="es-ES" w:eastAsia="es-MX"/>
        </w:rPr>
      </w:pPr>
    </w:p>
    <w:p w:rsidR="00CA05B8" w:rsidRDefault="00CA05B8" w:rsidP="00CA05B8">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sz w:val="24"/>
          <w:szCs w:val="24"/>
          <w:lang w:val="es-ES" w:eastAsia="es-MX"/>
        </w:rPr>
        <w:t xml:space="preserve">Al respecto, al absolver la Consulta Nº 9 del participante PLATINUM S.R.L., el Comité Especial señaló respecto de las medidas del sub ítem empaque tipo </w:t>
      </w:r>
      <w:proofErr w:type="spellStart"/>
      <w:r>
        <w:rPr>
          <w:rFonts w:ascii="Times New Roman" w:eastAsia="Times New Roman" w:hAnsi="Times New Roman" w:cs="Times New Roman"/>
          <w:sz w:val="24"/>
          <w:szCs w:val="24"/>
          <w:lang w:val="es-ES" w:eastAsia="es-MX"/>
        </w:rPr>
        <w:t>tyveck</w:t>
      </w:r>
      <w:proofErr w:type="spellEnd"/>
      <w:r>
        <w:rPr>
          <w:rFonts w:ascii="Times New Roman" w:eastAsia="Times New Roman" w:hAnsi="Times New Roman" w:cs="Times New Roman"/>
          <w:sz w:val="24"/>
          <w:szCs w:val="24"/>
          <w:lang w:val="es-ES" w:eastAsia="es-MX"/>
        </w:rPr>
        <w:t xml:space="preserve"> para esterilización con peróxido de hidrógeno que </w:t>
      </w:r>
      <w:r>
        <w:rPr>
          <w:rFonts w:ascii="Times New Roman" w:eastAsia="Times New Roman" w:hAnsi="Times New Roman" w:cs="Times New Roman"/>
          <w:i/>
          <w:sz w:val="24"/>
          <w:szCs w:val="24"/>
          <w:lang w:val="es-ES" w:eastAsia="es-MX"/>
        </w:rPr>
        <w:t>“también se aceptará de 35 a 40 x 70 m a más”.</w:t>
      </w:r>
    </w:p>
    <w:p w:rsidR="00CA05B8" w:rsidRDefault="00CA05B8" w:rsidP="00CA05B8">
      <w:pPr>
        <w:spacing w:after="0" w:line="240" w:lineRule="auto"/>
        <w:jc w:val="both"/>
        <w:rPr>
          <w:rFonts w:ascii="Times New Roman" w:eastAsia="Times New Roman" w:hAnsi="Times New Roman" w:cs="Times New Roman"/>
          <w:i/>
          <w:sz w:val="24"/>
          <w:szCs w:val="24"/>
          <w:lang w:val="es-ES" w:eastAsia="es-MX"/>
        </w:rPr>
      </w:pPr>
    </w:p>
    <w:p w:rsidR="00CA05B8" w:rsidRDefault="00CA05B8" w:rsidP="00CA05B8">
      <w:pPr>
        <w:spacing w:after="0" w:line="240" w:lineRule="auto"/>
        <w:jc w:val="both"/>
        <w:rPr>
          <w:rFonts w:ascii="Times New Roman" w:eastAsia="Times New Roman" w:hAnsi="Times New Roman" w:cs="Times New Roman"/>
          <w:sz w:val="24"/>
          <w:szCs w:val="24"/>
          <w:lang w:eastAsia="es-MX"/>
        </w:rPr>
      </w:pPr>
      <w:r w:rsidRPr="00323BFB">
        <w:rPr>
          <w:rFonts w:ascii="Times New Roman" w:eastAsia="Times New Roman" w:hAnsi="Times New Roman" w:cs="Times New Roman"/>
          <w:sz w:val="24"/>
          <w:szCs w:val="24"/>
          <w:lang w:eastAsia="es-MX"/>
        </w:rPr>
        <w:t xml:space="preserve">Ahora bien, </w:t>
      </w:r>
      <w:r>
        <w:rPr>
          <w:rFonts w:ascii="Times New Roman" w:eastAsia="Times New Roman" w:hAnsi="Times New Roman" w:cs="Times New Roman"/>
          <w:sz w:val="24"/>
          <w:szCs w:val="24"/>
          <w:lang w:eastAsia="es-MX"/>
        </w:rPr>
        <w:t>de la revisión del pliego absolutorio de observaciones se aprecia que el participante FERCO MEDICAL S.A.C. objetó lo dispuesto en el párrafo anterior, ante lo cual el Comité Especial señaló lo siguiente:</w:t>
      </w:r>
    </w:p>
    <w:p w:rsidR="00CA05B8" w:rsidRDefault="00CA05B8" w:rsidP="00CA05B8">
      <w:pPr>
        <w:spacing w:after="0" w:line="240" w:lineRule="auto"/>
        <w:jc w:val="both"/>
        <w:rPr>
          <w:rFonts w:ascii="Times New Roman" w:eastAsia="Times New Roman" w:hAnsi="Times New Roman" w:cs="Times New Roman"/>
          <w:sz w:val="24"/>
          <w:szCs w:val="24"/>
          <w:lang w:eastAsia="es-MX"/>
        </w:rPr>
      </w:pPr>
    </w:p>
    <w:p w:rsidR="00CA05B8" w:rsidRDefault="00CA05B8" w:rsidP="00CA05B8">
      <w:pPr>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i/>
          <w:sz w:val="24"/>
          <w:szCs w:val="24"/>
          <w:lang w:eastAsia="es-MX"/>
        </w:rPr>
        <w:t xml:space="preserve">“En consulta con el área usuaria, se acoge su observación, y </w:t>
      </w:r>
      <w:r w:rsidRPr="00880088">
        <w:rPr>
          <w:rFonts w:ascii="Times New Roman" w:eastAsia="Times New Roman" w:hAnsi="Times New Roman" w:cs="Times New Roman"/>
          <w:i/>
          <w:sz w:val="24"/>
          <w:szCs w:val="24"/>
          <w:lang w:eastAsia="es-MX"/>
        </w:rPr>
        <w:t xml:space="preserve">se deja sin efecto la respuesta a la empresa </w:t>
      </w:r>
      <w:proofErr w:type="spellStart"/>
      <w:r w:rsidRPr="00880088">
        <w:rPr>
          <w:rFonts w:ascii="Times New Roman" w:eastAsia="Times New Roman" w:hAnsi="Times New Roman" w:cs="Times New Roman"/>
          <w:i/>
          <w:sz w:val="24"/>
          <w:szCs w:val="24"/>
          <w:lang w:eastAsia="es-MX"/>
        </w:rPr>
        <w:t>Platinium</w:t>
      </w:r>
      <w:proofErr w:type="spellEnd"/>
      <w:r w:rsidRPr="00880088">
        <w:rPr>
          <w:rFonts w:ascii="Times New Roman" w:eastAsia="Times New Roman" w:hAnsi="Times New Roman" w:cs="Times New Roman"/>
          <w:i/>
          <w:sz w:val="24"/>
          <w:szCs w:val="24"/>
          <w:lang w:eastAsia="es-MX"/>
        </w:rPr>
        <w:t>, ya que se estaría duplicando el requerimiento</w:t>
      </w:r>
      <w:r>
        <w:rPr>
          <w:rFonts w:ascii="Times New Roman" w:eastAsia="Times New Roman" w:hAnsi="Times New Roman" w:cs="Times New Roman"/>
          <w:i/>
          <w:sz w:val="24"/>
          <w:szCs w:val="24"/>
          <w:lang w:eastAsia="es-MX"/>
        </w:rPr>
        <w:t xml:space="preserve">”. </w:t>
      </w:r>
      <w:r>
        <w:rPr>
          <w:rFonts w:ascii="Times New Roman" w:eastAsia="Times New Roman" w:hAnsi="Times New Roman" w:cs="Times New Roman"/>
          <w:sz w:val="24"/>
          <w:szCs w:val="24"/>
          <w:lang w:eastAsia="es-MX"/>
        </w:rPr>
        <w:t xml:space="preserve"> </w:t>
      </w:r>
    </w:p>
    <w:p w:rsidR="00CA05B8" w:rsidRPr="00323BFB" w:rsidRDefault="00CA05B8" w:rsidP="00CA05B8">
      <w:pPr>
        <w:spacing w:after="0" w:line="240" w:lineRule="auto"/>
        <w:jc w:val="both"/>
        <w:rPr>
          <w:rFonts w:ascii="Times New Roman" w:eastAsia="Times New Roman" w:hAnsi="Times New Roman" w:cs="Times New Roman"/>
          <w:sz w:val="24"/>
          <w:szCs w:val="24"/>
          <w:lang w:val="es-ES_tradnl" w:eastAsia="es-MX"/>
        </w:rPr>
      </w:pPr>
    </w:p>
    <w:p w:rsidR="00CA05B8" w:rsidRDefault="00CA05B8" w:rsidP="00CA05B8">
      <w:pPr>
        <w:tabs>
          <w:tab w:val="left" w:pos="3969"/>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Adicionalmente, en el Informe Nº 013-2015-GR/LL/GRDS/DRSP-HBT-DPTO ENF remitido por la Entidad con ocasión de la solicitud de elevación de observaciones, el área usuaria señaló lo siguiente:</w:t>
      </w:r>
    </w:p>
    <w:p w:rsidR="00CA05B8" w:rsidRDefault="00CE5D12" w:rsidP="00CA05B8">
      <w:pPr>
        <w:tabs>
          <w:tab w:val="left" w:pos="3969"/>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67456" behindDoc="0" locked="0" layoutInCell="1" allowOverlap="1" wp14:anchorId="44A82523" wp14:editId="01A58D74">
            <wp:simplePos x="0" y="0"/>
            <wp:positionH relativeFrom="column">
              <wp:posOffset>-1021715</wp:posOffset>
            </wp:positionH>
            <wp:positionV relativeFrom="paragraph">
              <wp:posOffset>85725</wp:posOffset>
            </wp:positionV>
            <wp:extent cx="971550" cy="3533775"/>
            <wp:effectExtent l="0" t="0" r="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05B8" w:rsidRDefault="00CA05B8" w:rsidP="00CA05B8">
      <w:pPr>
        <w:tabs>
          <w:tab w:val="left" w:pos="3969"/>
        </w:tabs>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3. Como área usuaria nos RATIFICAMOS en la absolución de observaciones respecto al ítem Nº 19: Empaque tipo </w:t>
      </w:r>
      <w:proofErr w:type="spellStart"/>
      <w:r>
        <w:rPr>
          <w:rFonts w:ascii="Times New Roman" w:eastAsia="Times New Roman" w:hAnsi="Times New Roman" w:cs="Times New Roman"/>
          <w:i/>
          <w:sz w:val="24"/>
          <w:szCs w:val="24"/>
          <w:lang w:val="es-ES" w:eastAsia="es-MX"/>
        </w:rPr>
        <w:t>Tyvex</w:t>
      </w:r>
      <w:proofErr w:type="spellEnd"/>
      <w:r>
        <w:rPr>
          <w:rFonts w:ascii="Times New Roman" w:eastAsia="Times New Roman" w:hAnsi="Times New Roman" w:cs="Times New Roman"/>
          <w:i/>
          <w:sz w:val="24"/>
          <w:szCs w:val="24"/>
          <w:lang w:val="es-ES" w:eastAsia="es-MX"/>
        </w:rPr>
        <w:t xml:space="preserve"> para Esterilización a Plasma porque dentro del ítem paquete ya existe la manga (de 35 cm x 70 a más) de las mismas medidas solicitadas, no podemos aceptar que nos entreguen mangas de 35 cm x 70 m a más, en lugar de mangas de 40 cm x 70 m a más, ya que estaríamos duplicando estas medidas de mangas, como se puede observar en las bases integradas, las cuales transcribimos</w:t>
      </w:r>
      <w:r w:rsidR="002904D1">
        <w:rPr>
          <w:rStyle w:val="Refdenotaalpie"/>
          <w:rFonts w:ascii="Times New Roman" w:eastAsia="Times New Roman" w:hAnsi="Times New Roman" w:cs="Times New Roman"/>
          <w:i/>
          <w:sz w:val="24"/>
          <w:szCs w:val="24"/>
          <w:lang w:val="es-ES" w:eastAsia="es-MX"/>
        </w:rPr>
        <w:footnoteReference w:id="1"/>
      </w:r>
      <w:r>
        <w:rPr>
          <w:rFonts w:ascii="Times New Roman" w:eastAsia="Times New Roman" w:hAnsi="Times New Roman" w:cs="Times New Roman"/>
          <w:i/>
          <w:sz w:val="24"/>
          <w:szCs w:val="24"/>
          <w:lang w:val="es-ES" w:eastAsia="es-MX"/>
        </w:rPr>
        <w:t>:</w:t>
      </w:r>
    </w:p>
    <w:p w:rsidR="00CA05B8" w:rsidRDefault="00CA05B8" w:rsidP="00CA05B8">
      <w:pPr>
        <w:tabs>
          <w:tab w:val="left" w:pos="3969"/>
        </w:tabs>
        <w:spacing w:after="0" w:line="240" w:lineRule="auto"/>
        <w:jc w:val="both"/>
        <w:rPr>
          <w:rFonts w:ascii="Times New Roman" w:eastAsia="Times New Roman" w:hAnsi="Times New Roman" w:cs="Times New Roman"/>
          <w:i/>
          <w:sz w:val="24"/>
          <w:szCs w:val="24"/>
          <w:lang w:val="es-ES" w:eastAsia="es-MX"/>
        </w:rPr>
      </w:pPr>
    </w:p>
    <w:tbl>
      <w:tblPr>
        <w:tblW w:w="9567" w:type="dxa"/>
        <w:tblInd w:w="58" w:type="dxa"/>
        <w:tblCellMar>
          <w:left w:w="70" w:type="dxa"/>
          <w:right w:w="70" w:type="dxa"/>
        </w:tblCellMar>
        <w:tblLook w:val="04A0" w:firstRow="1" w:lastRow="0" w:firstColumn="1" w:lastColumn="0" w:noHBand="0" w:noVBand="1"/>
      </w:tblPr>
      <w:tblGrid>
        <w:gridCol w:w="994"/>
        <w:gridCol w:w="7169"/>
        <w:gridCol w:w="1404"/>
      </w:tblGrid>
      <w:tr w:rsidR="00CA05B8" w:rsidRPr="009A4B01" w:rsidTr="00CA05B8">
        <w:trPr>
          <w:trHeight w:val="80"/>
        </w:trPr>
        <w:tc>
          <w:tcPr>
            <w:tcW w:w="640" w:type="dxa"/>
            <w:tcBorders>
              <w:top w:val="single" w:sz="4" w:space="0" w:color="auto"/>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19</w:t>
            </w:r>
          </w:p>
        </w:tc>
        <w:tc>
          <w:tcPr>
            <w:tcW w:w="4620" w:type="dxa"/>
            <w:tcBorders>
              <w:top w:val="single" w:sz="4" w:space="0" w:color="auto"/>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EMPAQUE TIPO TYVEX PARA ESTERILIZACION A PLASMA</w:t>
            </w:r>
          </w:p>
        </w:tc>
        <w:tc>
          <w:tcPr>
            <w:tcW w:w="905" w:type="dxa"/>
            <w:tcBorders>
              <w:top w:val="single" w:sz="4" w:space="0" w:color="auto"/>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 </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center"/>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EMPAQUE TIPO TYVECK PARA ESTERILIZACION CON PLASMA PEROXIDO DE HIDROGENO 7.5 CMX 70 M a más.</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center"/>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EMPAQUE TIPO TYVECK PARA ESTERILIZACION CON PLASMA PEROXIDO DE HIDROGENO 10CM X 70 M a más.</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center"/>
          </w:tcPr>
          <w:p w:rsidR="00CA05B8" w:rsidRPr="009A4B01" w:rsidRDefault="00CA05B8" w:rsidP="00CA05B8">
            <w:pPr>
              <w:spacing w:after="0" w:line="240" w:lineRule="auto"/>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EMPAQUE TIPO TYVECK PARA ESTERILIZACION CON PLASMA  PEROXIDO DE HIDROGENO 15CM X 70m a mas</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bottom"/>
          </w:tcPr>
          <w:p w:rsidR="00CA05B8" w:rsidRPr="002904D1" w:rsidRDefault="00CA05B8" w:rsidP="00CA05B8">
            <w:pPr>
              <w:spacing w:after="0" w:line="240" w:lineRule="auto"/>
              <w:rPr>
                <w:rFonts w:ascii="Arial" w:eastAsia="Times New Roman" w:hAnsi="Arial" w:cs="Arial"/>
                <w:color w:val="000000"/>
                <w:sz w:val="18"/>
                <w:szCs w:val="18"/>
                <w:lang w:val="es-ES" w:eastAsia="es-ES"/>
              </w:rPr>
            </w:pPr>
            <w:r w:rsidRPr="002904D1">
              <w:rPr>
                <w:rFonts w:ascii="Arial" w:eastAsia="Times New Roman" w:hAnsi="Arial" w:cs="Arial"/>
                <w:color w:val="000000"/>
                <w:sz w:val="18"/>
                <w:szCs w:val="18"/>
                <w:lang w:val="es-ES" w:eastAsia="es-ES"/>
              </w:rPr>
              <w:t>EMPAQUE TIPO TYVECK PARA ESTERILIZACION CON PEROXIDO DE HIDROGENO 40CM X 70 a más</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bottom"/>
          </w:tcPr>
          <w:p w:rsidR="00CA05B8" w:rsidRPr="00314BFF" w:rsidRDefault="00CA05B8" w:rsidP="00CA05B8">
            <w:pPr>
              <w:spacing w:after="0" w:line="240" w:lineRule="auto"/>
              <w:rPr>
                <w:rFonts w:ascii="Arial" w:eastAsia="Times New Roman" w:hAnsi="Arial" w:cs="Arial"/>
                <w:color w:val="000000"/>
                <w:sz w:val="18"/>
                <w:szCs w:val="18"/>
                <w:lang w:val="es-ES" w:eastAsia="es-ES"/>
              </w:rPr>
            </w:pPr>
            <w:r w:rsidRPr="00314BFF">
              <w:rPr>
                <w:rFonts w:ascii="Arial" w:eastAsia="Times New Roman" w:hAnsi="Arial" w:cs="Arial"/>
                <w:color w:val="000000"/>
                <w:sz w:val="18"/>
                <w:szCs w:val="18"/>
                <w:lang w:val="es-ES" w:eastAsia="es-ES"/>
              </w:rPr>
              <w:t>EMPAQUE TIPO TYVEX PARA ESTERILIZACION A PLASMA DE 20 X 100M</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r>
      <w:tr w:rsidR="00CA05B8" w:rsidRPr="009A4B01" w:rsidTr="00CA05B8">
        <w:trPr>
          <w:trHeight w:val="80"/>
        </w:trPr>
        <w:tc>
          <w:tcPr>
            <w:tcW w:w="640" w:type="dxa"/>
            <w:tcBorders>
              <w:top w:val="nil"/>
              <w:left w:val="single" w:sz="8" w:space="0" w:color="auto"/>
              <w:bottom w:val="single" w:sz="8" w:space="0" w:color="auto"/>
              <w:right w:val="single" w:sz="8" w:space="0" w:color="auto"/>
            </w:tcBorders>
            <w:shd w:val="clear" w:color="auto" w:fill="auto"/>
            <w:noWrap/>
            <w:vAlign w:val="bottom"/>
          </w:tcPr>
          <w:p w:rsidR="00CA05B8" w:rsidRPr="009A4B01" w:rsidRDefault="00CA05B8" w:rsidP="00CA05B8">
            <w:pPr>
              <w:spacing w:after="0" w:line="240" w:lineRule="auto"/>
              <w:jc w:val="center"/>
              <w:rPr>
                <w:rFonts w:ascii="Arial" w:eastAsia="Times New Roman" w:hAnsi="Arial" w:cs="Arial"/>
                <w:b/>
                <w:bCs/>
                <w:color w:val="000000"/>
                <w:sz w:val="18"/>
                <w:szCs w:val="18"/>
                <w:lang w:val="es-ES" w:eastAsia="es-ES"/>
              </w:rPr>
            </w:pPr>
            <w:r w:rsidRPr="009A4B01">
              <w:rPr>
                <w:rFonts w:ascii="Arial" w:eastAsia="Times New Roman" w:hAnsi="Arial" w:cs="Arial"/>
                <w:b/>
                <w:bCs/>
                <w:color w:val="000000"/>
                <w:sz w:val="18"/>
                <w:szCs w:val="18"/>
                <w:lang w:val="es-ES" w:eastAsia="es-ES"/>
              </w:rPr>
              <w:t> </w:t>
            </w:r>
          </w:p>
        </w:tc>
        <w:tc>
          <w:tcPr>
            <w:tcW w:w="4620" w:type="dxa"/>
            <w:tcBorders>
              <w:top w:val="nil"/>
              <w:left w:val="nil"/>
              <w:bottom w:val="single" w:sz="8" w:space="0" w:color="auto"/>
              <w:right w:val="single" w:sz="8" w:space="0" w:color="auto"/>
            </w:tcBorders>
            <w:shd w:val="clear" w:color="auto" w:fill="auto"/>
            <w:vAlign w:val="bottom"/>
          </w:tcPr>
          <w:p w:rsidR="00CA05B8" w:rsidRPr="00314BFF" w:rsidRDefault="00CA05B8" w:rsidP="00CA05B8">
            <w:pPr>
              <w:spacing w:after="0" w:line="240" w:lineRule="auto"/>
              <w:rPr>
                <w:rFonts w:ascii="Arial" w:eastAsia="Times New Roman" w:hAnsi="Arial" w:cs="Arial"/>
                <w:color w:val="000000"/>
                <w:sz w:val="18"/>
                <w:szCs w:val="18"/>
                <w:lang w:val="es-ES" w:eastAsia="es-ES"/>
              </w:rPr>
            </w:pPr>
            <w:r w:rsidRPr="00314BFF">
              <w:rPr>
                <w:rFonts w:ascii="Arial" w:eastAsia="Times New Roman" w:hAnsi="Arial" w:cs="Arial"/>
                <w:color w:val="000000"/>
                <w:sz w:val="18"/>
                <w:szCs w:val="18"/>
                <w:lang w:val="es-ES" w:eastAsia="es-ES"/>
              </w:rPr>
              <w:t>EMPAQUE TIPO TYVECK PARA ESTERILIZACION CON PLASMA  PEROXIDO DE HIDROGENO 35CM X 70 m. a más</w:t>
            </w:r>
          </w:p>
        </w:tc>
        <w:tc>
          <w:tcPr>
            <w:tcW w:w="905" w:type="dxa"/>
            <w:tcBorders>
              <w:top w:val="nil"/>
              <w:left w:val="nil"/>
              <w:bottom w:val="single" w:sz="8" w:space="0" w:color="auto"/>
              <w:right w:val="single" w:sz="8" w:space="0" w:color="auto"/>
            </w:tcBorders>
            <w:shd w:val="clear" w:color="auto" w:fill="auto"/>
            <w:vAlign w:val="bottom"/>
          </w:tcPr>
          <w:p w:rsidR="00CA05B8" w:rsidRPr="009A4B01" w:rsidRDefault="00CA05B8" w:rsidP="00CA05B8">
            <w:pPr>
              <w:spacing w:after="0" w:line="240" w:lineRule="auto"/>
              <w:jc w:val="center"/>
              <w:rPr>
                <w:rFonts w:ascii="Arial" w:eastAsia="Times New Roman" w:hAnsi="Arial" w:cs="Arial"/>
                <w:color w:val="000000"/>
                <w:sz w:val="18"/>
                <w:szCs w:val="18"/>
                <w:lang w:val="es-ES" w:eastAsia="es-ES"/>
              </w:rPr>
            </w:pPr>
            <w:r w:rsidRPr="009A4B01">
              <w:rPr>
                <w:rFonts w:ascii="Arial" w:eastAsia="Times New Roman" w:hAnsi="Arial" w:cs="Arial"/>
                <w:color w:val="000000"/>
                <w:sz w:val="18"/>
                <w:szCs w:val="18"/>
                <w:lang w:val="es-ES" w:eastAsia="es-ES"/>
              </w:rPr>
              <w:t>ROLLO</w:t>
            </w:r>
          </w:p>
        </w:tc>
      </w:tr>
    </w:tbl>
    <w:p w:rsidR="00CA05B8" w:rsidRDefault="00CA05B8" w:rsidP="00CA05B8">
      <w:pPr>
        <w:tabs>
          <w:tab w:val="left" w:pos="3969"/>
        </w:tabs>
        <w:spacing w:after="0" w:line="240" w:lineRule="auto"/>
        <w:jc w:val="both"/>
        <w:rPr>
          <w:rFonts w:ascii="Times New Roman" w:eastAsia="Times New Roman" w:hAnsi="Times New Roman" w:cs="Times New Roman"/>
          <w:sz w:val="24"/>
          <w:szCs w:val="24"/>
          <w:lang w:val="es-ES" w:eastAsia="es-MX"/>
        </w:rPr>
      </w:pPr>
    </w:p>
    <w:p w:rsidR="00CA05B8" w:rsidRPr="00323BFB" w:rsidRDefault="00CA05B8" w:rsidP="00CA05B8">
      <w:pPr>
        <w:tabs>
          <w:tab w:val="left" w:pos="3969"/>
        </w:tabs>
        <w:spacing w:after="0" w:line="240" w:lineRule="auto"/>
        <w:jc w:val="both"/>
        <w:rPr>
          <w:rFonts w:ascii="Times New Roman" w:eastAsia="Times New Roman" w:hAnsi="Times New Roman" w:cs="Times New Roman"/>
          <w:sz w:val="24"/>
          <w:szCs w:val="24"/>
          <w:lang w:val="es-ES" w:eastAsia="es-MX"/>
        </w:rPr>
      </w:pPr>
      <w:r w:rsidRPr="00323BFB">
        <w:rPr>
          <w:rFonts w:ascii="Times New Roman" w:eastAsia="Times New Roman" w:hAnsi="Times New Roman" w:cs="Times New Roman"/>
          <w:sz w:val="24"/>
          <w:szCs w:val="24"/>
          <w:lang w:val="es-ES" w:eastAsia="es-MX"/>
        </w:rPr>
        <w:t xml:space="preserve">Sobre el particular, cabe precisar que de acuerdo a lo dispuesto en el artículo 13 de la Ley, concordado con el artículo 11 del Reglamento, es facultad de la Entidad determinar, </w:t>
      </w:r>
      <w:r w:rsidRPr="00323BFB">
        <w:rPr>
          <w:rFonts w:ascii="Times New Roman" w:eastAsia="Times New Roman" w:hAnsi="Times New Roman" w:cs="Times New Roman"/>
          <w:sz w:val="24"/>
          <w:szCs w:val="24"/>
          <w:u w:val="single"/>
          <w:lang w:val="es-ES" w:eastAsia="es-MX"/>
        </w:rPr>
        <w:t>sobre la base de sus propias necesidades</w:t>
      </w:r>
      <w:r w:rsidRPr="00323BFB">
        <w:rPr>
          <w:rFonts w:ascii="Times New Roman" w:eastAsia="Times New Roman" w:hAnsi="Times New Roman" w:cs="Times New Roman"/>
          <w:sz w:val="24"/>
          <w:szCs w:val="24"/>
          <w:lang w:val="es-ES" w:eastAsia="es-MX"/>
        </w:rPr>
        <w:t xml:space="preserve">, las características, requerimientos y especificaciones técnicas de los bienes, servicios u obras que desea adquirir y/o contratar, </w:t>
      </w:r>
      <w:r w:rsidRPr="00323BFB">
        <w:rPr>
          <w:rFonts w:ascii="Times New Roman" w:eastAsia="Times New Roman" w:hAnsi="Times New Roman" w:cs="Times New Roman"/>
          <w:sz w:val="24"/>
          <w:szCs w:val="24"/>
          <w:u w:val="single"/>
          <w:lang w:val="es-ES" w:eastAsia="es-MX"/>
        </w:rPr>
        <w:t>los que deberán incidir sobre los objetivos, funciones y operatividad de aquellos</w:t>
      </w:r>
      <w:r w:rsidRPr="00323BFB">
        <w:rPr>
          <w:rFonts w:ascii="Times New Roman" w:eastAsia="Times New Roman" w:hAnsi="Times New Roman" w:cs="Times New Roman"/>
          <w:sz w:val="24"/>
          <w:szCs w:val="24"/>
          <w:lang w:val="es-ES" w:eastAsia="es-MX"/>
        </w:rPr>
        <w:t>.</w:t>
      </w:r>
    </w:p>
    <w:p w:rsidR="00CA05B8" w:rsidRPr="00323BFB" w:rsidRDefault="00CA05B8" w:rsidP="00CA05B8">
      <w:pPr>
        <w:tabs>
          <w:tab w:val="left" w:pos="3969"/>
        </w:tabs>
        <w:spacing w:after="0" w:line="240" w:lineRule="auto"/>
        <w:jc w:val="both"/>
        <w:rPr>
          <w:rFonts w:ascii="Times New Roman" w:eastAsia="Times New Roman" w:hAnsi="Times New Roman" w:cs="Times New Roman"/>
          <w:sz w:val="24"/>
          <w:szCs w:val="24"/>
          <w:lang w:val="es-ES" w:eastAsia="es-MX"/>
        </w:rPr>
      </w:pPr>
    </w:p>
    <w:p w:rsidR="00CA05B8" w:rsidRPr="00323BFB" w:rsidRDefault="00CA05B8" w:rsidP="00CA05B8">
      <w:pPr>
        <w:widowControl w:val="0"/>
        <w:spacing w:after="0" w:line="240" w:lineRule="auto"/>
        <w:jc w:val="both"/>
        <w:rPr>
          <w:rFonts w:ascii="Times New Roman" w:eastAsia="Times New Roman" w:hAnsi="Times New Roman" w:cs="Times New Roman"/>
          <w:snapToGrid w:val="0"/>
          <w:sz w:val="24"/>
          <w:szCs w:val="24"/>
          <w:lang w:eastAsia="es-MX"/>
        </w:rPr>
      </w:pPr>
      <w:r w:rsidRPr="00323BFB">
        <w:rPr>
          <w:rFonts w:ascii="Times New Roman" w:eastAsia="Times New Roman" w:hAnsi="Times New Roman" w:cs="Times New Roman"/>
          <w:snapToGrid w:val="0"/>
          <w:sz w:val="24"/>
          <w:szCs w:val="24"/>
          <w:lang w:val="es-ES" w:eastAsia="es-MX"/>
        </w:rPr>
        <w:t>De este modo</w:t>
      </w:r>
      <w:r w:rsidRPr="00323BFB">
        <w:rPr>
          <w:rFonts w:ascii="Times New Roman" w:eastAsia="Times New Roman" w:hAnsi="Times New Roman" w:cs="Times New Roman"/>
          <w:snapToGrid w:val="0"/>
          <w:sz w:val="24"/>
          <w:szCs w:val="24"/>
          <w:lang w:eastAsia="es-MX"/>
        </w:rPr>
        <w:t xml:space="preserve">, los requisitos técnicos mínimos cumplen con la función de asegurar a </w:t>
      </w:r>
      <w:smartTag w:uri="urn:schemas-microsoft-com:office:smarttags" w:element="PersonName">
        <w:smartTagPr>
          <w:attr w:name="ProductID" w:val="la Entidad"/>
        </w:smartTagPr>
        <w:r w:rsidRPr="00323BFB">
          <w:rPr>
            <w:rFonts w:ascii="Times New Roman" w:eastAsia="Times New Roman" w:hAnsi="Times New Roman" w:cs="Times New Roman"/>
            <w:snapToGrid w:val="0"/>
            <w:sz w:val="24"/>
            <w:szCs w:val="24"/>
            <w:lang w:eastAsia="es-MX"/>
          </w:rPr>
          <w:t>la Entidad</w:t>
        </w:r>
      </w:smartTag>
      <w:r w:rsidRPr="00323BFB">
        <w:rPr>
          <w:rFonts w:ascii="Times New Roman" w:eastAsia="Times New Roman" w:hAnsi="Times New Roman" w:cs="Times New Roman"/>
          <w:snapToGrid w:val="0"/>
          <w:sz w:val="24"/>
          <w:szCs w:val="24"/>
          <w:lang w:eastAsia="es-MX"/>
        </w:rPr>
        <w:t xml:space="preserve"> que el postor ofertará lo mínimo necesario para cubrir adecuadamente la operatividad y funcionalidad de los bienes requeridos.</w:t>
      </w:r>
    </w:p>
    <w:p w:rsidR="00CA05B8" w:rsidRPr="00323BFB" w:rsidRDefault="00CA05B8" w:rsidP="00CA05B8">
      <w:pPr>
        <w:widowControl w:val="0"/>
        <w:tabs>
          <w:tab w:val="left" w:pos="5103"/>
        </w:tabs>
        <w:spacing w:after="0" w:line="240" w:lineRule="auto"/>
        <w:jc w:val="both"/>
        <w:rPr>
          <w:rFonts w:ascii="Times New Roman" w:eastAsia="Times New Roman" w:hAnsi="Times New Roman" w:cs="Times New Roman"/>
          <w:noProof/>
          <w:sz w:val="24"/>
          <w:szCs w:val="24"/>
          <w:lang w:eastAsia="es-PE"/>
        </w:rPr>
      </w:pPr>
    </w:p>
    <w:p w:rsidR="00CA05B8" w:rsidRPr="00323BFB" w:rsidRDefault="00CA05B8" w:rsidP="00CA05B8">
      <w:pPr>
        <w:spacing w:after="0" w:line="240" w:lineRule="auto"/>
        <w:jc w:val="both"/>
        <w:rPr>
          <w:rFonts w:ascii="Times New Roman" w:eastAsia="Times New Roman" w:hAnsi="Times New Roman" w:cs="Times New Roman"/>
          <w:sz w:val="24"/>
          <w:szCs w:val="24"/>
          <w:lang w:val="es-ES" w:eastAsia="es-PE"/>
        </w:rPr>
      </w:pPr>
      <w:r w:rsidRPr="00323BFB">
        <w:rPr>
          <w:rFonts w:ascii="Times New Roman" w:eastAsia="Times New Roman" w:hAnsi="Times New Roman" w:cs="Times New Roman"/>
          <w:sz w:val="24"/>
          <w:szCs w:val="24"/>
          <w:lang w:val="es-ES" w:eastAsia="es-PE"/>
        </w:rPr>
        <w:t xml:space="preserve">Asimismo, en los numerales 4.2 y 4.3 del “Formato de Resumen Ejecutivo” la Entidad ha declarado que existe </w:t>
      </w:r>
      <w:r w:rsidRPr="00323BFB">
        <w:rPr>
          <w:rFonts w:ascii="Times New Roman" w:eastAsia="Times New Roman" w:hAnsi="Times New Roman" w:cs="Times New Roman"/>
          <w:i/>
          <w:sz w:val="24"/>
          <w:szCs w:val="24"/>
          <w:lang w:val="es-ES" w:eastAsia="es-PE"/>
        </w:rPr>
        <w:t>pluralidad de proveedores y de marcas</w:t>
      </w:r>
      <w:r w:rsidRPr="00323BFB">
        <w:rPr>
          <w:rFonts w:ascii="Times New Roman" w:eastAsia="Times New Roman" w:hAnsi="Times New Roman" w:cs="Times New Roman"/>
          <w:sz w:val="24"/>
          <w:szCs w:val="24"/>
          <w:lang w:val="es-ES" w:eastAsia="es-PE"/>
        </w:rPr>
        <w:t xml:space="preserve"> que cumplen con los requerimientos técnicos mínimos, lo que abarca </w:t>
      </w:r>
      <w:r w:rsidRPr="00323BFB">
        <w:rPr>
          <w:rFonts w:ascii="Times New Roman" w:eastAsia="Times New Roman" w:hAnsi="Times New Roman" w:cs="Times New Roman"/>
          <w:sz w:val="24"/>
          <w:szCs w:val="24"/>
          <w:lang w:eastAsia="es-PE"/>
        </w:rPr>
        <w:t xml:space="preserve">las especificaciones de los bienes contemplados en las Bases, incluida aquella cuestionada por el participante. </w:t>
      </w:r>
    </w:p>
    <w:p w:rsidR="00CA05B8" w:rsidRPr="00323BFB" w:rsidRDefault="00CA05B8" w:rsidP="00CA05B8">
      <w:pPr>
        <w:spacing w:after="0" w:line="240" w:lineRule="auto"/>
        <w:jc w:val="both"/>
        <w:rPr>
          <w:rFonts w:ascii="Times New Roman" w:eastAsia="Times New Roman" w:hAnsi="Times New Roman" w:cs="Times New Roman"/>
          <w:sz w:val="24"/>
          <w:szCs w:val="24"/>
          <w:lang w:val="es-ES" w:eastAsia="es-PE"/>
        </w:rPr>
      </w:pPr>
    </w:p>
    <w:p w:rsidR="002904D1" w:rsidRPr="002904D1" w:rsidRDefault="00CA05B8" w:rsidP="002904D1">
      <w:pPr>
        <w:widowControl w:val="0"/>
        <w:tabs>
          <w:tab w:val="left" w:pos="5103"/>
        </w:tabs>
        <w:spacing w:after="0" w:line="240" w:lineRule="auto"/>
        <w:jc w:val="both"/>
        <w:rPr>
          <w:rFonts w:ascii="Times New Roman" w:eastAsia="Times New Roman" w:hAnsi="Times New Roman" w:cs="Times New Roman"/>
          <w:sz w:val="24"/>
          <w:szCs w:val="24"/>
          <w:lang w:val="es-MX" w:eastAsia="es-MX"/>
        </w:rPr>
      </w:pPr>
      <w:r w:rsidRPr="00323BFB">
        <w:rPr>
          <w:rFonts w:ascii="Times New Roman" w:eastAsia="Times New Roman" w:hAnsi="Times New Roman" w:cs="Times New Roman"/>
          <w:noProof/>
          <w:sz w:val="24"/>
          <w:szCs w:val="24"/>
          <w:lang w:eastAsia="es-PE"/>
        </w:rPr>
        <w:t xml:space="preserve">En ese sentido, </w:t>
      </w:r>
      <w:r w:rsidRPr="00323BFB">
        <w:rPr>
          <w:rFonts w:ascii="Times New Roman" w:eastAsia="Times New Roman" w:hAnsi="Times New Roman" w:cs="Times New Roman"/>
          <w:sz w:val="24"/>
          <w:szCs w:val="24"/>
          <w:lang w:val="es-ES" w:eastAsia="es-MX"/>
        </w:rPr>
        <w:t xml:space="preserve">considerando que </w:t>
      </w:r>
      <w:r w:rsidRPr="00323BFB">
        <w:rPr>
          <w:rFonts w:ascii="Times New Roman" w:eastAsia="Times New Roman" w:hAnsi="Times New Roman" w:cs="Times New Roman"/>
          <w:sz w:val="24"/>
          <w:szCs w:val="24"/>
          <w:lang w:val="es-MX" w:eastAsia="es-MX"/>
        </w:rPr>
        <w:t>la determinación de los requerimientos técnicos mínimos es responsabilidad de la Entidad</w:t>
      </w:r>
      <w:r w:rsidR="00F219D1">
        <w:rPr>
          <w:rFonts w:ascii="Times New Roman" w:eastAsia="Times New Roman" w:hAnsi="Times New Roman" w:cs="Times New Roman"/>
          <w:sz w:val="24"/>
          <w:szCs w:val="24"/>
          <w:lang w:val="es-MX" w:eastAsia="es-MX"/>
        </w:rPr>
        <w:t xml:space="preserve"> en atención al mejor conocimiento de sus necesidades</w:t>
      </w:r>
      <w:r w:rsidRPr="00323BFB">
        <w:rPr>
          <w:rFonts w:ascii="Times New Roman" w:eastAsia="Times New Roman" w:hAnsi="Times New Roman" w:cs="Times New Roman"/>
          <w:sz w:val="24"/>
          <w:szCs w:val="24"/>
          <w:lang w:val="es-MX" w:eastAsia="es-MX"/>
        </w:rPr>
        <w:t xml:space="preserve">, </w:t>
      </w:r>
      <w:r w:rsidR="00F219D1">
        <w:rPr>
          <w:rFonts w:ascii="Times New Roman" w:eastAsia="Times New Roman" w:hAnsi="Times New Roman" w:cs="Times New Roman"/>
          <w:sz w:val="24"/>
          <w:szCs w:val="24"/>
          <w:lang w:val="es-MX" w:eastAsia="es-MX"/>
        </w:rPr>
        <w:t>y que</w:t>
      </w:r>
      <w:r w:rsidRPr="00323BFB">
        <w:rPr>
          <w:rFonts w:ascii="Times New Roman" w:eastAsia="Times New Roman" w:hAnsi="Times New Roman" w:cs="Times New Roman"/>
          <w:sz w:val="24"/>
          <w:szCs w:val="24"/>
          <w:lang w:val="es-MX" w:eastAsia="es-MX"/>
        </w:rPr>
        <w:t xml:space="preserve"> ha declarado que en el presente proceso existe pluralidad de postores y de marcas en la capacidad de cumplir con las especific</w:t>
      </w:r>
      <w:r>
        <w:rPr>
          <w:rFonts w:ascii="Times New Roman" w:eastAsia="Times New Roman" w:hAnsi="Times New Roman" w:cs="Times New Roman"/>
          <w:sz w:val="24"/>
          <w:szCs w:val="24"/>
          <w:lang w:val="es-MX" w:eastAsia="es-MX"/>
        </w:rPr>
        <w:t>aciones previstas en las Bases</w:t>
      </w:r>
      <w:r w:rsidRPr="00323BFB">
        <w:rPr>
          <w:rFonts w:ascii="Times New Roman" w:eastAsia="Times New Roman" w:hAnsi="Times New Roman" w:cs="Times New Roman"/>
          <w:sz w:val="24"/>
          <w:szCs w:val="24"/>
          <w:lang w:val="es-MX" w:eastAsia="es-MX"/>
        </w:rPr>
        <w:t xml:space="preserve">, este Organismo Supervisor ha decidido </w:t>
      </w:r>
      <w:r w:rsidRPr="00323BFB">
        <w:rPr>
          <w:rFonts w:ascii="Times New Roman" w:eastAsia="Times New Roman" w:hAnsi="Times New Roman" w:cs="Times New Roman"/>
          <w:b/>
          <w:sz w:val="24"/>
          <w:szCs w:val="24"/>
          <w:lang w:val="es-MX" w:eastAsia="es-MX"/>
        </w:rPr>
        <w:t xml:space="preserve">NO ACOGER </w:t>
      </w:r>
      <w:r>
        <w:rPr>
          <w:rFonts w:ascii="Times New Roman" w:eastAsia="Times New Roman" w:hAnsi="Times New Roman" w:cs="Times New Roman"/>
          <w:sz w:val="24"/>
          <w:szCs w:val="24"/>
          <w:lang w:val="es-MX" w:eastAsia="es-MX"/>
        </w:rPr>
        <w:t>el cuestionamiento</w:t>
      </w:r>
      <w:r w:rsidRPr="00323BFB">
        <w:rPr>
          <w:rFonts w:ascii="Times New Roman" w:eastAsia="Times New Roman" w:hAnsi="Times New Roman" w:cs="Times New Roman"/>
          <w:sz w:val="24"/>
          <w:szCs w:val="24"/>
          <w:lang w:val="es-MX" w:eastAsia="es-MX"/>
        </w:rPr>
        <w:t xml:space="preserve"> Nº </w:t>
      </w:r>
      <w:r>
        <w:rPr>
          <w:rFonts w:ascii="Times New Roman" w:eastAsia="Times New Roman" w:hAnsi="Times New Roman" w:cs="Times New Roman"/>
          <w:sz w:val="24"/>
          <w:szCs w:val="24"/>
          <w:lang w:val="es-MX" w:eastAsia="es-MX"/>
        </w:rPr>
        <w:t>1</w:t>
      </w:r>
      <w:r w:rsidRPr="00323BFB">
        <w:rPr>
          <w:rFonts w:ascii="Times New Roman" w:eastAsia="Times New Roman" w:hAnsi="Times New Roman" w:cs="Times New Roman"/>
          <w:sz w:val="24"/>
          <w:szCs w:val="24"/>
          <w:lang w:val="es-MX" w:eastAsia="es-MX"/>
        </w:rPr>
        <w:t xml:space="preserve">. </w:t>
      </w:r>
    </w:p>
    <w:p w:rsidR="002904D1" w:rsidRPr="00323BFB" w:rsidRDefault="002904D1" w:rsidP="00314BFF">
      <w:pPr>
        <w:widowControl w:val="0"/>
        <w:tabs>
          <w:tab w:val="left" w:pos="0"/>
        </w:tabs>
        <w:spacing w:after="0" w:line="240" w:lineRule="auto"/>
        <w:jc w:val="both"/>
        <w:rPr>
          <w:rFonts w:ascii="Times New Roman" w:eastAsia="Times New Roman" w:hAnsi="Times New Roman" w:cs="Times New Roman"/>
          <w:sz w:val="24"/>
          <w:szCs w:val="24"/>
          <w:lang w:val="es-ES" w:eastAsia="es-MX"/>
        </w:rPr>
      </w:pPr>
    </w:p>
    <w:p w:rsidR="00CA05B8" w:rsidRPr="00323BFB" w:rsidRDefault="00CA05B8" w:rsidP="00CA05B8">
      <w:pPr>
        <w:widowControl w:val="0"/>
        <w:numPr>
          <w:ilvl w:val="0"/>
          <w:numId w:val="1"/>
        </w:numPr>
        <w:spacing w:after="0" w:line="240" w:lineRule="auto"/>
        <w:ind w:left="284" w:hanging="284"/>
        <w:jc w:val="both"/>
        <w:rPr>
          <w:rFonts w:ascii="Times New Roman" w:eastAsia="Times New Roman" w:hAnsi="Times New Roman" w:cs="Times New Roman"/>
          <w:b/>
          <w:sz w:val="24"/>
          <w:szCs w:val="24"/>
          <w:lang w:eastAsia="es-MX"/>
        </w:rPr>
      </w:pPr>
      <w:r w:rsidRPr="00323BFB">
        <w:rPr>
          <w:rFonts w:ascii="Times New Roman" w:eastAsia="Times New Roman" w:hAnsi="Times New Roman" w:cs="Times New Roman"/>
          <w:b/>
          <w:sz w:val="24"/>
          <w:szCs w:val="24"/>
          <w:lang w:val="es-ES" w:eastAsia="es-MX"/>
        </w:rPr>
        <w:t>CONTENIDO</w:t>
      </w:r>
      <w:r w:rsidRPr="00323BFB">
        <w:rPr>
          <w:rFonts w:ascii="Times New Roman" w:eastAsia="Times New Roman" w:hAnsi="Times New Roman" w:cs="Times New Roman"/>
          <w:b/>
          <w:sz w:val="24"/>
          <w:szCs w:val="24"/>
          <w:lang w:eastAsia="es-MX"/>
        </w:rPr>
        <w:t xml:space="preserve"> DE LAS BASES CONTRARIO A LA NORMATIVA SOBRE  CONTRATACIONES DEL ESTADO </w:t>
      </w:r>
    </w:p>
    <w:p w:rsidR="00CA05B8" w:rsidRPr="00323BFB" w:rsidRDefault="00CA05B8" w:rsidP="00CA05B8">
      <w:pPr>
        <w:widowControl w:val="0"/>
        <w:tabs>
          <w:tab w:val="left" w:pos="0"/>
        </w:tabs>
        <w:spacing w:after="0" w:line="240" w:lineRule="auto"/>
        <w:jc w:val="both"/>
        <w:rPr>
          <w:rFonts w:ascii="Times New Roman" w:eastAsia="Times New Roman" w:hAnsi="Times New Roman" w:cs="Times New Roman"/>
          <w:b/>
          <w:sz w:val="24"/>
          <w:szCs w:val="24"/>
          <w:lang w:val="es-ES" w:eastAsia="es-MX"/>
        </w:rPr>
      </w:pPr>
      <w:r w:rsidRPr="00323BFB">
        <w:rPr>
          <w:rFonts w:ascii="Times New Roman" w:eastAsia="Times New Roman" w:hAnsi="Times New Roman" w:cs="Times New Roman"/>
          <w:sz w:val="24"/>
          <w:szCs w:val="24"/>
          <w:lang w:val="es-ES" w:eastAsia="es-MX"/>
        </w:rPr>
        <w:t xml:space="preserve"> </w:t>
      </w:r>
    </w:p>
    <w:p w:rsidR="00CA05B8" w:rsidRPr="00323BFB" w:rsidRDefault="00CE5D12" w:rsidP="00CA05B8">
      <w:pPr>
        <w:widowControl w:val="0"/>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65408" behindDoc="0" locked="0" layoutInCell="1" allowOverlap="1" wp14:anchorId="626908E5" wp14:editId="7287113B">
            <wp:simplePos x="0" y="0"/>
            <wp:positionH relativeFrom="column">
              <wp:posOffset>-962025</wp:posOffset>
            </wp:positionH>
            <wp:positionV relativeFrom="paragraph">
              <wp:posOffset>300990</wp:posOffset>
            </wp:positionV>
            <wp:extent cx="971550" cy="3533775"/>
            <wp:effectExtent l="0" t="0" r="0"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CA05B8" w:rsidRPr="00323BFB">
        <w:rPr>
          <w:rFonts w:ascii="Times New Roman" w:eastAsia="Times New Roman" w:hAnsi="Times New Roman" w:cs="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el artículo 59 del Reglamento.</w:t>
      </w: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b/>
          <w:sz w:val="24"/>
          <w:szCs w:val="24"/>
          <w:lang w:eastAsia="es-PE"/>
        </w:rPr>
      </w:pPr>
    </w:p>
    <w:p w:rsidR="00CA05B8" w:rsidRPr="00323BFB" w:rsidRDefault="00CA05B8" w:rsidP="00CA05B8">
      <w:pPr>
        <w:widowControl w:val="0"/>
        <w:numPr>
          <w:ilvl w:val="1"/>
          <w:numId w:val="3"/>
        </w:numPr>
        <w:tabs>
          <w:tab w:val="left" w:pos="540"/>
        </w:tabs>
        <w:spacing w:after="0" w:line="240" w:lineRule="auto"/>
        <w:ind w:left="567" w:hanging="567"/>
        <w:contextualSpacing/>
        <w:jc w:val="both"/>
        <w:rPr>
          <w:rFonts w:ascii="Times New Roman" w:eastAsia="MS Mincho" w:hAnsi="Times New Roman" w:cs="Times New Roman"/>
          <w:b/>
          <w:sz w:val="24"/>
          <w:szCs w:val="24"/>
          <w:lang w:eastAsia="es-PE"/>
        </w:rPr>
      </w:pPr>
      <w:r w:rsidRPr="00323BFB">
        <w:rPr>
          <w:rFonts w:ascii="Times New Roman" w:eastAsia="MS Mincho" w:hAnsi="Times New Roman" w:cs="Times New Roman"/>
          <w:b/>
          <w:sz w:val="24"/>
          <w:szCs w:val="24"/>
          <w:lang w:eastAsia="es-PE"/>
        </w:rPr>
        <w:t>Prestaciones accesorias</w:t>
      </w: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r w:rsidRPr="00323BFB">
        <w:rPr>
          <w:rFonts w:ascii="Times New Roman" w:eastAsia="MS Mincho" w:hAnsi="Times New Roman" w:cs="Times New Roman"/>
          <w:sz w:val="24"/>
          <w:szCs w:val="24"/>
          <w:lang w:val="es-ES" w:eastAsia="es-PE"/>
        </w:rPr>
        <w:t>En el</w:t>
      </w:r>
      <w:r w:rsidR="00314BFF">
        <w:rPr>
          <w:rFonts w:ascii="Times New Roman" w:eastAsia="MS Mincho" w:hAnsi="Times New Roman" w:cs="Times New Roman"/>
          <w:sz w:val="24"/>
          <w:szCs w:val="24"/>
          <w:lang w:val="es-ES" w:eastAsia="es-PE"/>
        </w:rPr>
        <w:t xml:space="preserve"> numeral 3.3.6 del acápite “3.3. Consideraciones de la Propuesta” del Capítulo III de la Sección Específica de las Bases </w:t>
      </w:r>
      <w:r w:rsidRPr="00323BFB">
        <w:rPr>
          <w:rFonts w:ascii="Times New Roman" w:eastAsia="MS Mincho" w:hAnsi="Times New Roman" w:cs="Times New Roman"/>
          <w:sz w:val="24"/>
          <w:szCs w:val="24"/>
          <w:lang w:val="es-ES" w:eastAsia="es-PE"/>
        </w:rPr>
        <w:t>se ha previsto lo siguiente:</w:t>
      </w: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p>
    <w:p w:rsidR="00CA05B8" w:rsidRPr="00314BFF" w:rsidRDefault="00CA05B8" w:rsidP="00CA05B8">
      <w:pPr>
        <w:widowControl w:val="0"/>
        <w:tabs>
          <w:tab w:val="left" w:pos="540"/>
        </w:tabs>
        <w:spacing w:after="0" w:line="240" w:lineRule="auto"/>
        <w:contextualSpacing/>
        <w:jc w:val="both"/>
        <w:rPr>
          <w:rFonts w:ascii="Times New Roman" w:eastAsia="MS Mincho" w:hAnsi="Times New Roman" w:cs="Times New Roman"/>
          <w:i/>
          <w:sz w:val="24"/>
          <w:szCs w:val="24"/>
          <w:lang w:val="es-ES" w:eastAsia="es-PE"/>
        </w:rPr>
      </w:pPr>
      <w:r w:rsidRPr="00323BFB">
        <w:rPr>
          <w:rFonts w:ascii="Times New Roman" w:eastAsia="MS Mincho" w:hAnsi="Times New Roman" w:cs="Times New Roman"/>
          <w:i/>
          <w:sz w:val="24"/>
          <w:szCs w:val="24"/>
          <w:lang w:val="es-ES" w:eastAsia="es-PE"/>
        </w:rPr>
        <w:t>“</w:t>
      </w:r>
      <w:r w:rsidR="00314BFF" w:rsidRPr="00314BFF">
        <w:rPr>
          <w:rFonts w:ascii="Times New Roman" w:eastAsia="MS Mincho" w:hAnsi="Times New Roman" w:cs="Times New Roman"/>
          <w:i/>
          <w:sz w:val="24"/>
          <w:szCs w:val="24"/>
          <w:lang w:val="es-ES" w:eastAsia="es-PE"/>
        </w:rPr>
        <w:t>3.3.6</w:t>
      </w:r>
      <w:r w:rsidR="00314BFF" w:rsidRPr="00314BFF">
        <w:rPr>
          <w:rFonts w:ascii="Times New Roman" w:eastAsia="MS Mincho" w:hAnsi="Times New Roman" w:cs="Times New Roman"/>
          <w:i/>
          <w:sz w:val="24"/>
          <w:szCs w:val="24"/>
          <w:lang w:val="es-ES" w:eastAsia="es-PE"/>
        </w:rPr>
        <w:tab/>
        <w:t xml:space="preserve">El postor adjudicado en los ítem/paquete 16 y 19 (mangas de uso médico y  Empaque tipo </w:t>
      </w:r>
      <w:proofErr w:type="spellStart"/>
      <w:r w:rsidR="00314BFF" w:rsidRPr="00314BFF">
        <w:rPr>
          <w:rFonts w:ascii="Times New Roman" w:eastAsia="MS Mincho" w:hAnsi="Times New Roman" w:cs="Times New Roman"/>
          <w:i/>
          <w:sz w:val="24"/>
          <w:szCs w:val="24"/>
          <w:lang w:val="es-ES" w:eastAsia="es-PE"/>
        </w:rPr>
        <w:t>Tyvex</w:t>
      </w:r>
      <w:proofErr w:type="spellEnd"/>
      <w:r w:rsidR="00314BFF" w:rsidRPr="00314BFF">
        <w:rPr>
          <w:rFonts w:ascii="Times New Roman" w:eastAsia="MS Mincho" w:hAnsi="Times New Roman" w:cs="Times New Roman"/>
          <w:i/>
          <w:sz w:val="24"/>
          <w:szCs w:val="24"/>
          <w:lang w:val="es-ES" w:eastAsia="es-PE"/>
        </w:rPr>
        <w:t xml:space="preserve"> plasma) deberá dejar en cesión de uso mínimo una máquina de sellado continuo, y una  guillotina a fin de poder utilizar dicho material, </w:t>
      </w:r>
      <w:r w:rsidR="00314BFF" w:rsidRPr="00BF00A3">
        <w:rPr>
          <w:rFonts w:ascii="Times New Roman" w:eastAsia="MS Mincho" w:hAnsi="Times New Roman" w:cs="Times New Roman"/>
          <w:i/>
          <w:sz w:val="24"/>
          <w:szCs w:val="24"/>
          <w:u w:val="single"/>
          <w:lang w:val="es-ES" w:eastAsia="es-PE"/>
        </w:rPr>
        <w:t>así mismo el postor se compromete a rea</w:t>
      </w:r>
      <w:r w:rsidR="00BF00A3">
        <w:rPr>
          <w:rFonts w:ascii="Times New Roman" w:eastAsia="MS Mincho" w:hAnsi="Times New Roman" w:cs="Times New Roman"/>
          <w:i/>
          <w:sz w:val="24"/>
          <w:szCs w:val="24"/>
          <w:u w:val="single"/>
          <w:lang w:val="es-ES" w:eastAsia="es-PE"/>
        </w:rPr>
        <w:t xml:space="preserve">lizar mantenimiento preventivo </w:t>
      </w:r>
      <w:r w:rsidR="00314BFF" w:rsidRPr="00BF00A3">
        <w:rPr>
          <w:rFonts w:ascii="Times New Roman" w:eastAsia="MS Mincho" w:hAnsi="Times New Roman" w:cs="Times New Roman"/>
          <w:i/>
          <w:sz w:val="24"/>
          <w:szCs w:val="24"/>
          <w:u w:val="single"/>
          <w:lang w:val="es-ES" w:eastAsia="es-PE"/>
        </w:rPr>
        <w:t>a la maquina sin costo  adicional para la institución</w:t>
      </w:r>
      <w:r w:rsidRPr="00323BFB">
        <w:rPr>
          <w:rFonts w:ascii="Times New Roman" w:eastAsia="MS Mincho" w:hAnsi="Times New Roman" w:cs="Times New Roman"/>
          <w:i/>
          <w:sz w:val="24"/>
          <w:szCs w:val="24"/>
          <w:lang w:eastAsia="es-PE"/>
        </w:rPr>
        <w:t xml:space="preserve">”. </w:t>
      </w:r>
      <w:r w:rsidRPr="00323BFB">
        <w:rPr>
          <w:rFonts w:ascii="Times New Roman" w:eastAsia="MS Mincho" w:hAnsi="Times New Roman" w:cs="Times New Roman"/>
          <w:sz w:val="24"/>
          <w:szCs w:val="24"/>
          <w:lang w:eastAsia="es-PE"/>
        </w:rPr>
        <w:t>(El subrayado es agregado).</w:t>
      </w: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r w:rsidRPr="00323BFB">
        <w:rPr>
          <w:rFonts w:ascii="Times New Roman" w:eastAsia="MS Mincho" w:hAnsi="Times New Roman" w:cs="Times New Roman"/>
          <w:sz w:val="24"/>
          <w:szCs w:val="24"/>
          <w:lang w:val="es-ES" w:eastAsia="es-PE"/>
        </w:rPr>
        <w:t xml:space="preserve">Al respecto, si bien el objeto del presente proceso es el suministro de </w:t>
      </w:r>
      <w:r w:rsidR="00BF00A3">
        <w:rPr>
          <w:rFonts w:ascii="Times New Roman" w:eastAsia="MS Mincho" w:hAnsi="Times New Roman" w:cs="Times New Roman"/>
          <w:sz w:val="24"/>
          <w:szCs w:val="24"/>
          <w:lang w:val="es-ES" w:eastAsia="es-PE"/>
        </w:rPr>
        <w:t>material médico</w:t>
      </w:r>
      <w:r w:rsidRPr="00323BFB">
        <w:rPr>
          <w:rFonts w:ascii="Times New Roman" w:eastAsia="MS Mincho" w:hAnsi="Times New Roman" w:cs="Times New Roman"/>
          <w:sz w:val="24"/>
          <w:szCs w:val="24"/>
          <w:lang w:val="es-ES" w:eastAsia="es-PE"/>
        </w:rPr>
        <w:t xml:space="preserve"> con equipo de cesión en uso</w:t>
      </w:r>
      <w:r w:rsidR="00BF00A3">
        <w:rPr>
          <w:rFonts w:ascii="Times New Roman" w:eastAsia="MS Mincho" w:hAnsi="Times New Roman" w:cs="Times New Roman"/>
          <w:sz w:val="24"/>
          <w:szCs w:val="24"/>
          <w:lang w:val="es-ES" w:eastAsia="es-PE"/>
        </w:rPr>
        <w:t xml:space="preserve"> (para los ítems Nº 16 y Nº 19)</w:t>
      </w:r>
      <w:r w:rsidRPr="00323BFB">
        <w:rPr>
          <w:rFonts w:ascii="Times New Roman" w:eastAsia="MS Mincho" w:hAnsi="Times New Roman" w:cs="Times New Roman"/>
          <w:sz w:val="24"/>
          <w:szCs w:val="24"/>
          <w:lang w:val="es-ES" w:eastAsia="es-PE"/>
        </w:rPr>
        <w:t xml:space="preserve">, de la revisión </w:t>
      </w:r>
      <w:r w:rsidR="00BF00A3">
        <w:rPr>
          <w:rFonts w:ascii="Times New Roman" w:eastAsia="MS Mincho" w:hAnsi="Times New Roman" w:cs="Times New Roman"/>
          <w:sz w:val="24"/>
          <w:szCs w:val="24"/>
          <w:lang w:val="es-ES" w:eastAsia="es-PE"/>
        </w:rPr>
        <w:t>del requerimiento</w:t>
      </w:r>
      <w:r w:rsidRPr="00323BFB">
        <w:rPr>
          <w:rFonts w:ascii="Times New Roman" w:eastAsia="MS Mincho" w:hAnsi="Times New Roman" w:cs="Times New Roman"/>
          <w:sz w:val="24"/>
          <w:szCs w:val="24"/>
          <w:lang w:val="es-ES" w:eastAsia="es-PE"/>
        </w:rPr>
        <w:t xml:space="preserve"> </w:t>
      </w:r>
      <w:r w:rsidR="00BF00A3">
        <w:rPr>
          <w:rFonts w:ascii="Times New Roman" w:eastAsia="MS Mincho" w:hAnsi="Times New Roman" w:cs="Times New Roman"/>
          <w:sz w:val="24"/>
          <w:szCs w:val="24"/>
          <w:lang w:val="es-ES" w:eastAsia="es-PE"/>
        </w:rPr>
        <w:t>c</w:t>
      </w:r>
      <w:r w:rsidRPr="00323BFB">
        <w:rPr>
          <w:rFonts w:ascii="Times New Roman" w:eastAsia="MS Mincho" w:hAnsi="Times New Roman" w:cs="Times New Roman"/>
          <w:sz w:val="24"/>
          <w:szCs w:val="24"/>
          <w:lang w:val="es-ES" w:eastAsia="es-PE"/>
        </w:rPr>
        <w:t xml:space="preserve">itado se advierte que se ha previsto la prestación de </w:t>
      </w:r>
      <w:r w:rsidR="00BF00A3">
        <w:rPr>
          <w:rFonts w:ascii="Times New Roman" w:eastAsia="MS Mincho" w:hAnsi="Times New Roman" w:cs="Times New Roman"/>
          <w:sz w:val="24"/>
          <w:szCs w:val="24"/>
          <w:lang w:val="es-ES" w:eastAsia="es-PE"/>
        </w:rPr>
        <w:t>un servicio</w:t>
      </w:r>
      <w:r w:rsidRPr="00323BFB">
        <w:rPr>
          <w:rFonts w:ascii="Times New Roman" w:eastAsia="MS Mincho" w:hAnsi="Times New Roman" w:cs="Times New Roman"/>
          <w:sz w:val="24"/>
          <w:szCs w:val="24"/>
          <w:lang w:val="es-ES" w:eastAsia="es-PE"/>
        </w:rPr>
        <w:t xml:space="preserve"> </w:t>
      </w:r>
      <w:r w:rsidR="00BF00A3">
        <w:rPr>
          <w:rFonts w:ascii="Times New Roman" w:eastAsia="MS Mincho" w:hAnsi="Times New Roman" w:cs="Times New Roman"/>
          <w:sz w:val="24"/>
          <w:szCs w:val="24"/>
          <w:lang w:val="es-ES" w:eastAsia="es-PE"/>
        </w:rPr>
        <w:t>preventivo</w:t>
      </w:r>
      <w:r w:rsidRPr="00323BFB">
        <w:rPr>
          <w:rFonts w:ascii="Times New Roman" w:eastAsia="MS Mincho" w:hAnsi="Times New Roman" w:cs="Times New Roman"/>
          <w:sz w:val="24"/>
          <w:szCs w:val="24"/>
          <w:lang w:val="es-ES" w:eastAsia="es-PE"/>
        </w:rPr>
        <w:t>, cuya finalidad sería conservar el adecuado funcionamiento del equipamiento a contratarse.</w:t>
      </w: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r w:rsidRPr="00323BFB">
        <w:rPr>
          <w:rFonts w:ascii="Times New Roman" w:eastAsia="MS Mincho" w:hAnsi="Times New Roman" w:cs="Times New Roman"/>
          <w:sz w:val="24"/>
          <w:szCs w:val="24"/>
          <w:lang w:val="es-ES" w:eastAsia="es-PE"/>
        </w:rPr>
        <w:lastRenderedPageBreak/>
        <w:t xml:space="preserve">Sobre el particular, cabe precisar que el artículo 159 del Reglamento establece que, en las contrataciones de bienes, servicios o de obras que conllevan la ejecución de prestaciones accesorias, tales como </w:t>
      </w:r>
      <w:r w:rsidRPr="00323BFB">
        <w:rPr>
          <w:rFonts w:ascii="Times New Roman" w:eastAsia="MS Mincho" w:hAnsi="Times New Roman" w:cs="Times New Roman"/>
          <w:i/>
          <w:sz w:val="24"/>
          <w:szCs w:val="24"/>
          <w:lang w:val="es-ES" w:eastAsia="es-PE"/>
        </w:rPr>
        <w:t>mantenimiento</w:t>
      </w:r>
      <w:r w:rsidRPr="00323BFB">
        <w:rPr>
          <w:rFonts w:ascii="Times New Roman" w:eastAsia="MS Mincho" w:hAnsi="Times New Roman" w:cs="Times New Roman"/>
          <w:sz w:val="24"/>
          <w:szCs w:val="24"/>
          <w:lang w:val="es-ES" w:eastAsia="es-PE"/>
        </w:rPr>
        <w:t>, reparación o actividades afines, se otorgará una garantía adicional por este concepto, la misma que se renovará periódicamente hasta el cumplimiento total de las obligaciones garantizadas.</w:t>
      </w: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r w:rsidRPr="00323BFB">
        <w:rPr>
          <w:rFonts w:ascii="Times New Roman" w:eastAsia="MS Mincho" w:hAnsi="Times New Roman" w:cs="Times New Roman"/>
          <w:sz w:val="24"/>
          <w:szCs w:val="24"/>
          <w:lang w:val="es-ES" w:eastAsia="es-PE"/>
        </w:rPr>
        <w:t xml:space="preserve">De otro lado, conforme a lo dispuesto en la Directiva Nº 009-209-OSCE/CD, “Lineamientos para la aplicación de la garantía de fiel cumplimiento por prestaciones accesorias”, las prestaciones accesorias están vinculadas al objeto del contrato y existen en función de la prestación principal, coadyuvando a que ésta se viabilice; es decir, a que se haga efectiva según los términos y condiciones previstos por la Entidad. En ese sentido, conforme a lo dispuesto en el numeral V.3. </w:t>
      </w:r>
      <w:proofErr w:type="gramStart"/>
      <w:r w:rsidRPr="00323BFB">
        <w:rPr>
          <w:rFonts w:ascii="Times New Roman" w:eastAsia="MS Mincho" w:hAnsi="Times New Roman" w:cs="Times New Roman"/>
          <w:sz w:val="24"/>
          <w:szCs w:val="24"/>
          <w:lang w:val="es-ES" w:eastAsia="es-PE"/>
        </w:rPr>
        <w:t>de</w:t>
      </w:r>
      <w:proofErr w:type="gramEnd"/>
      <w:r w:rsidRPr="00323BFB">
        <w:rPr>
          <w:rFonts w:ascii="Times New Roman" w:eastAsia="MS Mincho" w:hAnsi="Times New Roman" w:cs="Times New Roman"/>
          <w:sz w:val="24"/>
          <w:szCs w:val="24"/>
          <w:lang w:val="es-ES" w:eastAsia="es-PE"/>
        </w:rPr>
        <w:t xml:space="preserve"> la citada directiva, las prestaciones accesorias no están contenidas junto con la prestación principal en una relación obligatoria única, siendo que, para su formalización, se requiere la suscripción de contratos específicos.</w:t>
      </w: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r w:rsidRPr="00323BFB">
        <w:rPr>
          <w:rFonts w:ascii="Times New Roman" w:eastAsia="MS Mincho" w:hAnsi="Times New Roman" w:cs="Times New Roman"/>
          <w:sz w:val="24"/>
          <w:szCs w:val="24"/>
          <w:lang w:val="es-ES" w:eastAsia="es-PE"/>
        </w:rPr>
        <w:t xml:space="preserve">Considerando lo antes expuesto, con ocasión de la integración de las Bases, </w:t>
      </w:r>
      <w:r w:rsidRPr="00323BFB">
        <w:rPr>
          <w:rFonts w:ascii="Times New Roman" w:eastAsia="MS Mincho" w:hAnsi="Times New Roman" w:cs="Times New Roman"/>
          <w:sz w:val="24"/>
          <w:szCs w:val="24"/>
          <w:u w:val="single"/>
          <w:lang w:val="es-ES" w:eastAsia="es-PE"/>
        </w:rPr>
        <w:t>deberá precisarse</w:t>
      </w:r>
      <w:r w:rsidRPr="00323BFB">
        <w:rPr>
          <w:rFonts w:ascii="Times New Roman" w:eastAsia="MS Mincho" w:hAnsi="Times New Roman" w:cs="Times New Roman"/>
          <w:sz w:val="24"/>
          <w:szCs w:val="24"/>
          <w:lang w:val="es-ES" w:eastAsia="es-PE"/>
        </w:rPr>
        <w:t xml:space="preserve"> si </w:t>
      </w:r>
      <w:r w:rsidR="00BF00A3">
        <w:rPr>
          <w:rFonts w:ascii="Times New Roman" w:eastAsia="MS Mincho" w:hAnsi="Times New Roman" w:cs="Times New Roman"/>
          <w:sz w:val="24"/>
          <w:szCs w:val="24"/>
          <w:lang w:val="es-ES" w:eastAsia="es-PE"/>
        </w:rPr>
        <w:t>el servicio</w:t>
      </w:r>
      <w:r w:rsidRPr="00323BFB">
        <w:rPr>
          <w:rFonts w:ascii="Times New Roman" w:eastAsia="MS Mincho" w:hAnsi="Times New Roman" w:cs="Times New Roman"/>
          <w:sz w:val="24"/>
          <w:szCs w:val="24"/>
          <w:lang w:val="es-ES" w:eastAsia="es-PE"/>
        </w:rPr>
        <w:t xml:space="preserve"> de </w:t>
      </w:r>
      <w:r w:rsidRPr="00323BFB">
        <w:rPr>
          <w:rFonts w:ascii="Times New Roman" w:eastAsia="MS Mincho" w:hAnsi="Times New Roman" w:cs="Times New Roman"/>
          <w:i/>
          <w:sz w:val="24"/>
          <w:szCs w:val="24"/>
          <w:lang w:val="es-ES" w:eastAsia="es-PE"/>
        </w:rPr>
        <w:t xml:space="preserve">mantenimiento </w:t>
      </w:r>
      <w:r w:rsidR="00BF00A3">
        <w:rPr>
          <w:rFonts w:ascii="Times New Roman" w:eastAsia="MS Mincho" w:hAnsi="Times New Roman" w:cs="Times New Roman"/>
          <w:sz w:val="24"/>
          <w:szCs w:val="24"/>
          <w:lang w:val="es-ES" w:eastAsia="es-PE"/>
        </w:rPr>
        <w:t>previsto</w:t>
      </w:r>
      <w:r w:rsidRPr="00323BFB">
        <w:rPr>
          <w:rFonts w:ascii="Times New Roman" w:eastAsia="MS Mincho" w:hAnsi="Times New Roman" w:cs="Times New Roman"/>
          <w:sz w:val="24"/>
          <w:szCs w:val="24"/>
          <w:lang w:val="es-ES" w:eastAsia="es-PE"/>
        </w:rPr>
        <w:t xml:space="preserve"> en las Bases forman parte de la prestación principal o si corresponden a una prestación accesoria, en cuyo caso deberá tenerse en cuenta lo dispuesto en la  Directiva Nº 009-209-OSCE/CD, “Lineamientos para la aplicación de la garantía de fiel cumplimiento por prestaciones accesorias”.</w:t>
      </w:r>
    </w:p>
    <w:p w:rsidR="00BF00A3" w:rsidRDefault="00BF00A3" w:rsidP="00CA05B8">
      <w:pPr>
        <w:widowControl w:val="0"/>
        <w:tabs>
          <w:tab w:val="left" w:pos="540"/>
        </w:tabs>
        <w:spacing w:after="0" w:line="240" w:lineRule="auto"/>
        <w:contextualSpacing/>
        <w:jc w:val="both"/>
        <w:rPr>
          <w:rFonts w:ascii="Times New Roman" w:eastAsia="MS Mincho" w:hAnsi="Times New Roman" w:cs="Times New Roman"/>
          <w:b/>
          <w:sz w:val="24"/>
          <w:szCs w:val="24"/>
          <w:lang w:eastAsia="es-PE"/>
        </w:rPr>
      </w:pPr>
    </w:p>
    <w:p w:rsidR="00BF00A3" w:rsidRPr="00BF00A3" w:rsidRDefault="00BF00A3" w:rsidP="00BF00A3">
      <w:pPr>
        <w:widowControl w:val="0"/>
        <w:numPr>
          <w:ilvl w:val="1"/>
          <w:numId w:val="3"/>
        </w:numPr>
        <w:tabs>
          <w:tab w:val="left" w:pos="540"/>
        </w:tabs>
        <w:spacing w:after="0" w:line="240" w:lineRule="auto"/>
        <w:ind w:left="567" w:hanging="567"/>
        <w:contextualSpacing/>
        <w:jc w:val="both"/>
        <w:rPr>
          <w:rFonts w:ascii="Times New Roman" w:eastAsia="MS Mincho" w:hAnsi="Times New Roman" w:cs="Times New Roman"/>
          <w:b/>
          <w:sz w:val="24"/>
          <w:szCs w:val="24"/>
          <w:lang w:eastAsia="es-PE"/>
        </w:rPr>
      </w:pPr>
      <w:r w:rsidRPr="00BF00A3">
        <w:rPr>
          <w:rFonts w:ascii="Times New Roman" w:eastAsia="MS Mincho" w:hAnsi="Times New Roman" w:cs="Times New Roman"/>
          <w:b/>
          <w:sz w:val="24"/>
          <w:szCs w:val="24"/>
          <w:lang w:eastAsia="es-PE"/>
        </w:rPr>
        <w:t>Modificaciones al Reglamento derivadas de la entrada en vigencia del Decreto Supremo Nº 080-2014-EF Publicado en el Diario Oficial "El Peruano" el 22.04.2014</w:t>
      </w:r>
    </w:p>
    <w:p w:rsidR="00BF00A3" w:rsidRPr="00BF00A3" w:rsidRDefault="00BF00A3" w:rsidP="00BF00A3">
      <w:pPr>
        <w:spacing w:after="0" w:line="240" w:lineRule="exact"/>
        <w:jc w:val="both"/>
        <w:rPr>
          <w:rFonts w:ascii="Times New Roman" w:eastAsia="Times New Roman" w:hAnsi="Times New Roman" w:cs="Times New Roman"/>
          <w:sz w:val="24"/>
          <w:szCs w:val="24"/>
          <w:lang w:val="es-ES" w:eastAsia="es-MX"/>
        </w:rPr>
      </w:pPr>
    </w:p>
    <w:p w:rsidR="00BF00A3" w:rsidRPr="00BF00A3" w:rsidRDefault="00CE5D12" w:rsidP="00BF00A3">
      <w:pPr>
        <w:spacing w:after="0" w:line="240" w:lineRule="exact"/>
        <w:jc w:val="both"/>
        <w:rPr>
          <w:rFonts w:ascii="Times New Roman" w:eastAsia="Times New Roman" w:hAnsi="Times New Roman" w:cs="Times New Roman"/>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63360" behindDoc="0" locked="0" layoutInCell="1" allowOverlap="1" wp14:anchorId="183AA30D" wp14:editId="1C8DEBA9">
            <wp:simplePos x="0" y="0"/>
            <wp:positionH relativeFrom="column">
              <wp:posOffset>-1027793</wp:posOffset>
            </wp:positionH>
            <wp:positionV relativeFrom="paragraph">
              <wp:posOffset>127363</wp:posOffset>
            </wp:positionV>
            <wp:extent cx="971550" cy="3533775"/>
            <wp:effectExtent l="0" t="0" r="0"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BF00A3" w:rsidRPr="00BF00A3">
        <w:rPr>
          <w:rFonts w:ascii="Times New Roman" w:eastAsia="Times New Roman" w:hAnsi="Times New Roman" w:cs="Times New Roman"/>
          <w:sz w:val="24"/>
          <w:szCs w:val="24"/>
          <w:lang w:val="es-ES" w:eastAsia="es-MX"/>
        </w:rPr>
        <w:t>De conformidad con el Decreto Supremo N° 080-2014-EF, que modifica el Reglamento de la Ley de Contrataciones del estado, deberá adecuarse la siguiente sección de las Bases:</w:t>
      </w:r>
    </w:p>
    <w:p w:rsidR="00BF00A3" w:rsidRPr="00BF00A3" w:rsidRDefault="00BF00A3" w:rsidP="00BF00A3">
      <w:pPr>
        <w:widowControl w:val="0"/>
        <w:tabs>
          <w:tab w:val="num" w:pos="1250"/>
        </w:tabs>
        <w:spacing w:after="0" w:line="240" w:lineRule="auto"/>
        <w:jc w:val="both"/>
        <w:rPr>
          <w:rFonts w:ascii="Times New Roman" w:eastAsia="Times New Roman" w:hAnsi="Times New Roman" w:cs="Times New Roman"/>
          <w:i/>
          <w:sz w:val="24"/>
          <w:szCs w:val="24"/>
          <w:lang w:val="es-ES" w:eastAsia="es-MX"/>
        </w:rPr>
      </w:pPr>
    </w:p>
    <w:p w:rsidR="00BF00A3" w:rsidRPr="00BF00A3" w:rsidRDefault="00BF00A3" w:rsidP="00BF00A3">
      <w:pPr>
        <w:widowControl w:val="0"/>
        <w:tabs>
          <w:tab w:val="num" w:pos="1250"/>
        </w:tabs>
        <w:spacing w:after="0" w:line="240" w:lineRule="auto"/>
        <w:jc w:val="both"/>
        <w:rPr>
          <w:rFonts w:ascii="Times New Roman" w:eastAsia="Times New Roman" w:hAnsi="Times New Roman" w:cs="Times New Roman"/>
          <w:sz w:val="24"/>
          <w:szCs w:val="24"/>
          <w:lang w:val="es-ES" w:eastAsia="es-MX"/>
        </w:rPr>
      </w:pPr>
      <w:r w:rsidRPr="00BF00A3">
        <w:rPr>
          <w:rFonts w:ascii="Times New Roman" w:eastAsia="Times New Roman" w:hAnsi="Times New Roman" w:cs="Times New Roman"/>
          <w:sz w:val="24"/>
          <w:szCs w:val="24"/>
          <w:lang w:val="es-ES" w:eastAsia="es-MX"/>
        </w:rPr>
        <w:t>Deberá precisarse en el numeral 1.1</w:t>
      </w:r>
      <w:r w:rsidR="00FB6153">
        <w:rPr>
          <w:rFonts w:ascii="Times New Roman" w:eastAsia="Times New Roman" w:hAnsi="Times New Roman" w:cs="Times New Roman"/>
          <w:sz w:val="24"/>
          <w:szCs w:val="24"/>
          <w:lang w:val="es-ES" w:eastAsia="es-MX"/>
        </w:rPr>
        <w:t>0</w:t>
      </w:r>
      <w:r w:rsidRPr="00BF00A3">
        <w:rPr>
          <w:rFonts w:ascii="Times New Roman" w:eastAsia="Times New Roman" w:hAnsi="Times New Roman" w:cs="Times New Roman"/>
          <w:sz w:val="24"/>
          <w:szCs w:val="24"/>
          <w:lang w:val="es-ES" w:eastAsia="es-MX"/>
        </w:rPr>
        <w:t xml:space="preserve"> “Forma de presentación de propuestas y acreditación” del Capítulo I de la Sección General</w:t>
      </w:r>
      <w:r w:rsidR="00FB6153">
        <w:rPr>
          <w:rFonts w:ascii="Times New Roman" w:eastAsia="Times New Roman" w:hAnsi="Times New Roman" w:cs="Times New Roman"/>
          <w:sz w:val="24"/>
          <w:szCs w:val="24"/>
          <w:lang w:val="es-ES" w:eastAsia="es-MX"/>
        </w:rPr>
        <w:t xml:space="preserve"> y en el numeral 3.4 </w:t>
      </w:r>
      <w:r w:rsidR="00FB6153">
        <w:rPr>
          <w:rFonts w:ascii="Times New Roman" w:eastAsia="MS Mincho" w:hAnsi="Times New Roman" w:cs="Times New Roman"/>
          <w:sz w:val="24"/>
          <w:szCs w:val="24"/>
          <w:lang w:val="es-ES" w:eastAsia="es-PE"/>
        </w:rPr>
        <w:t>del Capítulo III de la Sección Específica de las Bases</w:t>
      </w:r>
      <w:r w:rsidRPr="00BF00A3">
        <w:rPr>
          <w:rFonts w:ascii="Times New Roman" w:eastAsia="Times New Roman" w:hAnsi="Times New Roman" w:cs="Times New Roman"/>
          <w:sz w:val="24"/>
          <w:szCs w:val="24"/>
          <w:lang w:val="es-ES" w:eastAsia="es-MX"/>
        </w:rPr>
        <w:t>, lo siguiente:</w:t>
      </w:r>
    </w:p>
    <w:p w:rsidR="00FB6153" w:rsidRDefault="00FB6153" w:rsidP="00BF00A3">
      <w:pPr>
        <w:widowControl w:val="0"/>
        <w:spacing w:after="0" w:line="240" w:lineRule="auto"/>
        <w:ind w:left="709"/>
        <w:jc w:val="both"/>
        <w:rPr>
          <w:rFonts w:ascii="Times New Roman" w:eastAsia="Times New Roman" w:hAnsi="Times New Roman" w:cs="Times New Roman"/>
          <w:i/>
          <w:sz w:val="24"/>
          <w:szCs w:val="24"/>
          <w:lang w:val="es-ES" w:eastAsia="es-MX"/>
        </w:rPr>
      </w:pPr>
    </w:p>
    <w:p w:rsidR="00BF00A3" w:rsidRPr="00BF00A3" w:rsidRDefault="00BF00A3" w:rsidP="00BF00A3">
      <w:pPr>
        <w:widowControl w:val="0"/>
        <w:spacing w:after="0" w:line="240" w:lineRule="auto"/>
        <w:ind w:left="709"/>
        <w:jc w:val="both"/>
        <w:rPr>
          <w:rFonts w:ascii="Times New Roman" w:eastAsia="MS Mincho" w:hAnsi="Times New Roman" w:cs="Times New Roman"/>
          <w:b/>
          <w:sz w:val="24"/>
          <w:szCs w:val="24"/>
          <w:lang w:eastAsia="es-PE"/>
        </w:rPr>
      </w:pPr>
      <w:r w:rsidRPr="00BF00A3">
        <w:rPr>
          <w:rFonts w:ascii="Times New Roman" w:eastAsia="Times New Roman" w:hAnsi="Times New Roman" w:cs="Times New Roman"/>
          <w:i/>
          <w:sz w:val="24"/>
          <w:szCs w:val="24"/>
          <w:lang w:val="es-ES" w:eastAsia="es-MX"/>
        </w:rPr>
        <w:t>“Todos los documentos que contengan información referida a los requisitos para la admisión de propuestas y factores de evaluación se presentan en idioma castellano o, en su defecto, acompañados de traducción oficial o sin valor oficial efectuada por traductor público juramentado o traducción certificada efectuada por traductor colegiado certificado, salvo el caso de la información técnica complementaria contenida en folletos, instructivos, catálogos o similares, que puede ser presentada en el idioma original. El postor es responsable de la exactitud y veracidad de dichos documentos”</w:t>
      </w:r>
    </w:p>
    <w:p w:rsidR="00314BFF" w:rsidRPr="00323BFB" w:rsidRDefault="00314BFF" w:rsidP="00CA05B8">
      <w:pPr>
        <w:widowControl w:val="0"/>
        <w:tabs>
          <w:tab w:val="left" w:pos="540"/>
        </w:tabs>
        <w:spacing w:after="0" w:line="240" w:lineRule="auto"/>
        <w:contextualSpacing/>
        <w:jc w:val="both"/>
        <w:rPr>
          <w:rFonts w:ascii="Times New Roman" w:eastAsia="MS Mincho" w:hAnsi="Times New Roman" w:cs="Times New Roman"/>
          <w:b/>
          <w:sz w:val="24"/>
          <w:szCs w:val="24"/>
          <w:lang w:eastAsia="es-PE"/>
        </w:rPr>
      </w:pPr>
    </w:p>
    <w:p w:rsidR="00CA05B8" w:rsidRPr="00323BFB" w:rsidRDefault="00CA05B8" w:rsidP="00CA05B8">
      <w:pPr>
        <w:widowControl w:val="0"/>
        <w:numPr>
          <w:ilvl w:val="1"/>
          <w:numId w:val="3"/>
        </w:numPr>
        <w:tabs>
          <w:tab w:val="left" w:pos="540"/>
        </w:tabs>
        <w:spacing w:after="0" w:line="240" w:lineRule="auto"/>
        <w:ind w:left="567" w:hanging="567"/>
        <w:contextualSpacing/>
        <w:jc w:val="both"/>
        <w:rPr>
          <w:rFonts w:ascii="Times New Roman" w:eastAsia="MS Mincho" w:hAnsi="Times New Roman" w:cs="Times New Roman"/>
          <w:b/>
          <w:sz w:val="24"/>
          <w:szCs w:val="24"/>
          <w:lang w:eastAsia="es-PE"/>
        </w:rPr>
      </w:pPr>
      <w:r w:rsidRPr="00323BFB">
        <w:rPr>
          <w:rFonts w:ascii="Times New Roman" w:eastAsia="MS Mincho" w:hAnsi="Times New Roman" w:cs="Times New Roman"/>
          <w:b/>
          <w:sz w:val="24"/>
          <w:szCs w:val="24"/>
          <w:lang w:eastAsia="es-PE"/>
        </w:rPr>
        <w:t>Resumen ejecutivo</w:t>
      </w:r>
    </w:p>
    <w:p w:rsidR="00CA05B8" w:rsidRPr="00323BFB" w:rsidRDefault="00CA05B8" w:rsidP="00CA05B8">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bookmarkStart w:id="0" w:name="_GoBack"/>
      <w:bookmarkEnd w:id="0"/>
    </w:p>
    <w:p w:rsidR="0055343F" w:rsidRDefault="00CA05B8" w:rsidP="00CA05B8">
      <w:pPr>
        <w:tabs>
          <w:tab w:val="left" w:pos="567"/>
        </w:tabs>
        <w:spacing w:after="0" w:line="240" w:lineRule="auto"/>
        <w:jc w:val="both"/>
        <w:rPr>
          <w:rFonts w:ascii="Times New Roman" w:eastAsia="MS Mincho" w:hAnsi="Times New Roman" w:cs="Times New Roman"/>
          <w:sz w:val="24"/>
          <w:szCs w:val="24"/>
          <w:lang w:eastAsia="es-PE"/>
        </w:rPr>
      </w:pPr>
      <w:r w:rsidRPr="00323BFB">
        <w:rPr>
          <w:rFonts w:ascii="Times New Roman" w:eastAsia="MS Mincho" w:hAnsi="Times New Roman" w:cs="Times New Roman"/>
          <w:sz w:val="24"/>
          <w:szCs w:val="24"/>
          <w:lang w:eastAsia="es-PE"/>
        </w:rPr>
        <w:t>De lo declarado por la Entidad en los cuadros comparativos no se evidencia pluralidad de proveedores en condiciones de cumplir con los requerimientos mínimos referidos al “plazo de entrega”</w:t>
      </w:r>
      <w:r w:rsidR="00AA4A9B">
        <w:rPr>
          <w:rFonts w:ascii="Times New Roman" w:eastAsia="MS Mincho" w:hAnsi="Times New Roman" w:cs="Times New Roman"/>
          <w:sz w:val="24"/>
          <w:szCs w:val="24"/>
          <w:lang w:eastAsia="es-PE"/>
        </w:rPr>
        <w:t xml:space="preserve"> </w:t>
      </w:r>
      <w:r w:rsidR="005507F4">
        <w:rPr>
          <w:rFonts w:ascii="Times New Roman" w:eastAsia="MS Mincho" w:hAnsi="Times New Roman" w:cs="Times New Roman"/>
          <w:sz w:val="24"/>
          <w:szCs w:val="24"/>
          <w:lang w:eastAsia="es-PE"/>
        </w:rPr>
        <w:t xml:space="preserve">y “garantía comercial” </w:t>
      </w:r>
      <w:r w:rsidR="00AA4A9B">
        <w:rPr>
          <w:rFonts w:ascii="Times New Roman" w:eastAsia="MS Mincho" w:hAnsi="Times New Roman" w:cs="Times New Roman"/>
          <w:sz w:val="24"/>
          <w:szCs w:val="24"/>
          <w:lang w:eastAsia="es-PE"/>
        </w:rPr>
        <w:t>para los ítems Nº 1</w:t>
      </w:r>
      <w:r w:rsidRPr="00323BFB">
        <w:rPr>
          <w:rFonts w:ascii="Times New Roman" w:eastAsia="MS Mincho" w:hAnsi="Times New Roman" w:cs="Times New Roman"/>
          <w:sz w:val="24"/>
          <w:szCs w:val="24"/>
          <w:lang w:eastAsia="es-PE"/>
        </w:rPr>
        <w:t>,</w:t>
      </w:r>
      <w:r w:rsidR="005507F4">
        <w:rPr>
          <w:rFonts w:ascii="Times New Roman" w:eastAsia="MS Mincho" w:hAnsi="Times New Roman" w:cs="Times New Roman"/>
          <w:sz w:val="24"/>
          <w:szCs w:val="24"/>
          <w:lang w:eastAsia="es-PE"/>
        </w:rPr>
        <w:t xml:space="preserve"> Nº 8, Nº 15 y Nº 20,</w:t>
      </w:r>
      <w:r w:rsidRPr="00323BFB">
        <w:rPr>
          <w:rFonts w:ascii="Times New Roman" w:eastAsia="MS Mincho" w:hAnsi="Times New Roman" w:cs="Times New Roman"/>
          <w:sz w:val="24"/>
          <w:szCs w:val="24"/>
          <w:lang w:eastAsia="es-PE"/>
        </w:rPr>
        <w:t xml:space="preserve"> pues de la revisión de las cotizaciones y/o precios históricos considerados en el estudio de mercado se </w:t>
      </w:r>
      <w:r w:rsidRPr="00323BFB">
        <w:rPr>
          <w:rFonts w:ascii="Times New Roman" w:eastAsia="MS Mincho" w:hAnsi="Times New Roman" w:cs="Times New Roman"/>
          <w:sz w:val="24"/>
          <w:szCs w:val="24"/>
          <w:lang w:eastAsia="es-PE"/>
        </w:rPr>
        <w:lastRenderedPageBreak/>
        <w:t xml:space="preserve">aprecia que los proveedores habrían propuesto plazos de entrega que no cumplirían con el requerido por la Entidad </w:t>
      </w:r>
      <w:r w:rsidR="005507F4">
        <w:rPr>
          <w:rFonts w:ascii="Times New Roman" w:eastAsia="MS Mincho" w:hAnsi="Times New Roman" w:cs="Times New Roman"/>
          <w:sz w:val="24"/>
          <w:szCs w:val="24"/>
          <w:lang w:eastAsia="es-PE"/>
        </w:rPr>
        <w:t>y, en otros casos, solo se habría considerado la cotización propuesta por un único postor respecto de tales</w:t>
      </w:r>
      <w:r w:rsidR="00DD19B3">
        <w:rPr>
          <w:rFonts w:ascii="Times New Roman" w:eastAsia="MS Mincho" w:hAnsi="Times New Roman" w:cs="Times New Roman"/>
          <w:sz w:val="24"/>
          <w:szCs w:val="24"/>
          <w:lang w:eastAsia="es-PE"/>
        </w:rPr>
        <w:t xml:space="preserve"> aspectos</w:t>
      </w:r>
      <w:r w:rsidRPr="00323BFB">
        <w:rPr>
          <w:rFonts w:ascii="Times New Roman" w:eastAsia="MS Mincho" w:hAnsi="Times New Roman" w:cs="Times New Roman"/>
          <w:sz w:val="24"/>
          <w:szCs w:val="24"/>
          <w:lang w:eastAsia="es-PE"/>
        </w:rPr>
        <w:t>, lo cual resultaría contradictorio si se considera lo declarado en el num</w:t>
      </w:r>
      <w:r w:rsidR="005507F4">
        <w:rPr>
          <w:rFonts w:ascii="Times New Roman" w:eastAsia="MS Mincho" w:hAnsi="Times New Roman" w:cs="Times New Roman"/>
          <w:sz w:val="24"/>
          <w:szCs w:val="24"/>
          <w:lang w:eastAsia="es-PE"/>
        </w:rPr>
        <w:t xml:space="preserve">eral 4.2 del Resumen Ejecutivo; mientras que </w:t>
      </w:r>
      <w:r w:rsidR="00DD19B3">
        <w:rPr>
          <w:rFonts w:ascii="Times New Roman" w:eastAsia="MS Mincho" w:hAnsi="Times New Roman" w:cs="Times New Roman"/>
          <w:sz w:val="24"/>
          <w:szCs w:val="24"/>
          <w:lang w:eastAsia="es-PE"/>
        </w:rPr>
        <w:t>en</w:t>
      </w:r>
      <w:r w:rsidR="005507F4">
        <w:rPr>
          <w:rFonts w:ascii="Times New Roman" w:eastAsia="MS Mincho" w:hAnsi="Times New Roman" w:cs="Times New Roman"/>
          <w:sz w:val="24"/>
          <w:szCs w:val="24"/>
          <w:lang w:eastAsia="es-PE"/>
        </w:rPr>
        <w:t xml:space="preserve"> los ítems</w:t>
      </w:r>
      <w:r w:rsidR="00DD19B3">
        <w:rPr>
          <w:rFonts w:ascii="Times New Roman" w:eastAsia="MS Mincho" w:hAnsi="Times New Roman" w:cs="Times New Roman"/>
          <w:sz w:val="24"/>
          <w:szCs w:val="24"/>
          <w:lang w:eastAsia="es-PE"/>
        </w:rPr>
        <w:t xml:space="preserve"> Nº 2, Nº 3, Nº 7, Nº 8, Nº 13 y </w:t>
      </w:r>
      <w:r w:rsidR="005507F4">
        <w:rPr>
          <w:rFonts w:ascii="Times New Roman" w:eastAsia="MS Mincho" w:hAnsi="Times New Roman" w:cs="Times New Roman"/>
          <w:sz w:val="24"/>
          <w:szCs w:val="24"/>
          <w:lang w:eastAsia="es-PE"/>
        </w:rPr>
        <w:t>Nº 18</w:t>
      </w:r>
      <w:r w:rsidR="00DD19B3">
        <w:rPr>
          <w:rFonts w:ascii="Times New Roman" w:eastAsia="MS Mincho" w:hAnsi="Times New Roman" w:cs="Times New Roman"/>
          <w:sz w:val="24"/>
          <w:szCs w:val="24"/>
          <w:lang w:eastAsia="es-PE"/>
        </w:rPr>
        <w:t>, varias de las cotizaciones presentadas no aplicarían para determinar el periodo de la “garantía comercial”, l</w:t>
      </w:r>
      <w:r w:rsidR="0055343F">
        <w:rPr>
          <w:rFonts w:ascii="Times New Roman" w:eastAsia="MS Mincho" w:hAnsi="Times New Roman" w:cs="Times New Roman"/>
          <w:sz w:val="24"/>
          <w:szCs w:val="24"/>
          <w:lang w:eastAsia="es-PE"/>
        </w:rPr>
        <w:t>o cual resultaría contradictorio</w:t>
      </w:r>
      <w:r w:rsidR="00DD19B3">
        <w:rPr>
          <w:rFonts w:ascii="Times New Roman" w:eastAsia="MS Mincho" w:hAnsi="Times New Roman" w:cs="Times New Roman"/>
          <w:sz w:val="24"/>
          <w:szCs w:val="24"/>
          <w:lang w:eastAsia="es-PE"/>
        </w:rPr>
        <w:t xml:space="preserve"> </w:t>
      </w:r>
      <w:r w:rsidR="0055343F">
        <w:rPr>
          <w:rFonts w:ascii="Times New Roman" w:eastAsia="MS Mincho" w:hAnsi="Times New Roman" w:cs="Times New Roman"/>
          <w:sz w:val="24"/>
          <w:szCs w:val="24"/>
          <w:lang w:eastAsia="es-PE"/>
        </w:rPr>
        <w:t>teniendo en cuenta que se</w:t>
      </w:r>
      <w:r w:rsidR="00DD19B3">
        <w:rPr>
          <w:rFonts w:ascii="Times New Roman" w:eastAsia="MS Mincho" w:hAnsi="Times New Roman" w:cs="Times New Roman"/>
          <w:sz w:val="24"/>
          <w:szCs w:val="24"/>
          <w:lang w:eastAsia="es-PE"/>
        </w:rPr>
        <w:t xml:space="preserve"> ha señalado que ellas cumplirían con los requerimientos técnicos mínimos</w:t>
      </w:r>
      <w:r w:rsidR="0055343F">
        <w:rPr>
          <w:rFonts w:ascii="Times New Roman" w:eastAsia="MS Mincho" w:hAnsi="Times New Roman" w:cs="Times New Roman"/>
          <w:sz w:val="24"/>
          <w:szCs w:val="24"/>
          <w:lang w:eastAsia="es-PE"/>
        </w:rPr>
        <w:t xml:space="preserve">. </w:t>
      </w:r>
    </w:p>
    <w:p w:rsidR="0055343F" w:rsidRDefault="0055343F" w:rsidP="00CA05B8">
      <w:pPr>
        <w:tabs>
          <w:tab w:val="left" w:pos="567"/>
        </w:tabs>
        <w:spacing w:after="0" w:line="240" w:lineRule="auto"/>
        <w:jc w:val="both"/>
        <w:rPr>
          <w:rFonts w:ascii="Times New Roman" w:eastAsia="MS Mincho" w:hAnsi="Times New Roman" w:cs="Times New Roman"/>
          <w:sz w:val="24"/>
          <w:szCs w:val="24"/>
          <w:lang w:eastAsia="es-PE"/>
        </w:rPr>
      </w:pPr>
    </w:p>
    <w:p w:rsidR="00CA05B8" w:rsidRPr="0055343F" w:rsidRDefault="00CA05B8" w:rsidP="00CA05B8">
      <w:pPr>
        <w:tabs>
          <w:tab w:val="left" w:pos="567"/>
        </w:tabs>
        <w:spacing w:after="0" w:line="240" w:lineRule="auto"/>
        <w:jc w:val="both"/>
        <w:rPr>
          <w:rFonts w:ascii="Times New Roman" w:eastAsia="MS Mincho" w:hAnsi="Times New Roman" w:cs="Times New Roman"/>
          <w:b/>
          <w:sz w:val="24"/>
          <w:szCs w:val="24"/>
          <w:u w:val="single"/>
          <w:lang w:eastAsia="es-PE"/>
        </w:rPr>
      </w:pPr>
      <w:r w:rsidRPr="00323BFB">
        <w:rPr>
          <w:rFonts w:ascii="Times New Roman" w:eastAsia="MS Mincho" w:hAnsi="Times New Roman" w:cs="Times New Roman"/>
          <w:sz w:val="24"/>
          <w:szCs w:val="24"/>
          <w:lang w:eastAsia="es-PE"/>
        </w:rPr>
        <w:t xml:space="preserve">En ese sentido, con ocasión de la integración de las Bases, </w:t>
      </w:r>
      <w:r w:rsidRPr="00323BFB">
        <w:rPr>
          <w:rFonts w:ascii="Times New Roman" w:eastAsia="MS Mincho" w:hAnsi="Times New Roman" w:cs="Times New Roman"/>
          <w:b/>
          <w:sz w:val="24"/>
          <w:szCs w:val="24"/>
          <w:u w:val="single"/>
          <w:lang w:eastAsia="es-PE"/>
        </w:rPr>
        <w:t xml:space="preserve">deberá verificarse la información declarada en los cuadros comparativos y, de corresponder, adecuar el plazo máximo de entrega y los periodos de las garantías comerciales conforme la información </w:t>
      </w:r>
      <w:r w:rsidRPr="00323BFB">
        <w:rPr>
          <w:rFonts w:ascii="Times New Roman" w:eastAsia="Times New Roman" w:hAnsi="Times New Roman" w:cs="Times New Roman"/>
          <w:b/>
          <w:color w:val="000000"/>
          <w:sz w:val="24"/>
          <w:szCs w:val="24"/>
          <w:u w:val="single"/>
          <w:lang w:eastAsia="es-PE"/>
        </w:rPr>
        <w:t xml:space="preserve">obtenida del estudio de </w:t>
      </w:r>
      <w:r w:rsidRPr="0055343F">
        <w:rPr>
          <w:rFonts w:ascii="Times New Roman" w:eastAsia="Times New Roman" w:hAnsi="Times New Roman" w:cs="Times New Roman"/>
          <w:b/>
          <w:color w:val="000000"/>
          <w:sz w:val="24"/>
          <w:szCs w:val="24"/>
          <w:u w:val="single"/>
          <w:lang w:eastAsia="es-PE"/>
        </w:rPr>
        <w:t>mercado</w:t>
      </w:r>
      <w:r w:rsidR="0055343F" w:rsidRPr="0055343F">
        <w:rPr>
          <w:rFonts w:ascii="Times New Roman" w:eastAsia="Times New Roman" w:hAnsi="Times New Roman" w:cs="Times New Roman"/>
          <w:b/>
          <w:color w:val="000000"/>
          <w:sz w:val="24"/>
          <w:szCs w:val="24"/>
          <w:u w:val="single"/>
          <w:lang w:eastAsia="es-PE"/>
        </w:rPr>
        <w:t xml:space="preserve">, a efectos de que se acredite la pluralidad de postores en la capacidad de cumplir con tales requisitos. </w:t>
      </w:r>
    </w:p>
    <w:p w:rsidR="00CA05B8" w:rsidRPr="00323BFB" w:rsidRDefault="00CA05B8" w:rsidP="00CA05B8">
      <w:pPr>
        <w:tabs>
          <w:tab w:val="left" w:pos="567"/>
        </w:tabs>
        <w:spacing w:after="0" w:line="240" w:lineRule="auto"/>
        <w:jc w:val="both"/>
        <w:rPr>
          <w:rFonts w:ascii="Times New Roman" w:eastAsia="MS Mincho" w:hAnsi="Times New Roman" w:cs="Times New Roman"/>
          <w:sz w:val="24"/>
          <w:szCs w:val="24"/>
          <w:lang w:val="es-ES" w:eastAsia="es-PE"/>
        </w:rPr>
      </w:pPr>
    </w:p>
    <w:p w:rsidR="00CA05B8" w:rsidRPr="00323BFB" w:rsidRDefault="00CA05B8" w:rsidP="00CA05B8">
      <w:pPr>
        <w:widowControl w:val="0"/>
        <w:numPr>
          <w:ilvl w:val="0"/>
          <w:numId w:val="1"/>
        </w:numPr>
        <w:tabs>
          <w:tab w:val="clear" w:pos="360"/>
          <w:tab w:val="num" w:pos="502"/>
        </w:tabs>
        <w:spacing w:after="0" w:line="240" w:lineRule="auto"/>
        <w:ind w:left="284" w:hanging="284"/>
        <w:jc w:val="both"/>
        <w:rPr>
          <w:rFonts w:ascii="Times New Roman" w:eastAsia="Times New Roman" w:hAnsi="Times New Roman" w:cs="Times New Roman"/>
          <w:b/>
          <w:snapToGrid w:val="0"/>
          <w:sz w:val="24"/>
          <w:szCs w:val="24"/>
          <w:lang w:val="es-ES" w:eastAsia="es-MX"/>
        </w:rPr>
      </w:pPr>
      <w:r w:rsidRPr="00323BFB">
        <w:rPr>
          <w:rFonts w:ascii="Times New Roman" w:eastAsia="Times New Roman" w:hAnsi="Times New Roman" w:cs="Times New Roman"/>
          <w:b/>
          <w:sz w:val="24"/>
          <w:szCs w:val="24"/>
          <w:lang w:val="es-MX" w:eastAsia="es-MX"/>
        </w:rPr>
        <w:t xml:space="preserve">CONCLUSIONES </w:t>
      </w:r>
    </w:p>
    <w:p w:rsidR="00CA05B8" w:rsidRPr="00323BFB" w:rsidRDefault="00CA05B8" w:rsidP="00CA05B8">
      <w:pPr>
        <w:widowControl w:val="0"/>
        <w:spacing w:after="0" w:line="240" w:lineRule="auto"/>
        <w:ind w:left="284"/>
        <w:jc w:val="both"/>
        <w:rPr>
          <w:rFonts w:ascii="Times New Roman" w:eastAsia="Times New Roman" w:hAnsi="Times New Roman" w:cs="Times New Roman"/>
          <w:b/>
          <w:snapToGrid w:val="0"/>
          <w:sz w:val="24"/>
          <w:szCs w:val="24"/>
          <w:lang w:val="es-ES" w:eastAsia="es-MX"/>
        </w:rPr>
      </w:pPr>
    </w:p>
    <w:p w:rsidR="00CA05B8" w:rsidRPr="00323BFB" w:rsidRDefault="00CA05B8" w:rsidP="00CA05B8">
      <w:pPr>
        <w:autoSpaceDE w:val="0"/>
        <w:autoSpaceDN w:val="0"/>
        <w:adjustRightInd w:val="0"/>
        <w:spacing w:after="0" w:line="240" w:lineRule="auto"/>
        <w:jc w:val="both"/>
        <w:rPr>
          <w:rFonts w:ascii="Times New Roman" w:eastAsia="Times New Roman" w:hAnsi="Times New Roman" w:cs="Times New Roman"/>
          <w:sz w:val="24"/>
          <w:szCs w:val="24"/>
          <w:lang w:val="es-ES_tradnl" w:eastAsia="es-MX"/>
        </w:rPr>
      </w:pPr>
      <w:r w:rsidRPr="00323BFB">
        <w:rPr>
          <w:rFonts w:ascii="Times New Roman" w:eastAsia="Times New Roman" w:hAnsi="Times New Roman" w:cs="Times New Roman"/>
          <w:sz w:val="24"/>
          <w:szCs w:val="24"/>
          <w:lang w:val="es-ES_tradnl" w:eastAsia="es-MX"/>
        </w:rPr>
        <w:t>En virtud de lo expuesto, este Organismo Supervisor ha dispuesto:</w:t>
      </w:r>
    </w:p>
    <w:p w:rsidR="006D2E2F" w:rsidRPr="006D2E2F" w:rsidRDefault="006D2E2F" w:rsidP="006D2E2F">
      <w:pPr>
        <w:spacing w:after="0" w:line="240" w:lineRule="auto"/>
        <w:jc w:val="both"/>
        <w:rPr>
          <w:rFonts w:ascii="Times New Roman" w:eastAsia="Times New Roman" w:hAnsi="Times New Roman" w:cs="Times New Roman"/>
          <w:sz w:val="24"/>
          <w:szCs w:val="24"/>
          <w:lang w:eastAsia="es-PE"/>
        </w:rPr>
      </w:pPr>
    </w:p>
    <w:p w:rsidR="006D2E2F" w:rsidRPr="006D2E2F" w:rsidRDefault="006D2E2F" w:rsidP="006D2E2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6D2E2F">
        <w:rPr>
          <w:rFonts w:ascii="Times New Roman" w:eastAsia="Times New Roman" w:hAnsi="Times New Roman" w:cs="Times New Roman"/>
          <w:sz w:val="24"/>
          <w:szCs w:val="24"/>
          <w:lang w:eastAsia="es-PE"/>
        </w:rPr>
        <w:t xml:space="preserve">El </w:t>
      </w:r>
      <w:r w:rsidRPr="006D2E2F">
        <w:rPr>
          <w:rFonts w:ascii="Times New Roman" w:eastAsia="Times New Roman" w:hAnsi="Times New Roman" w:cs="Times New Roman"/>
          <w:color w:val="000000"/>
          <w:sz w:val="24"/>
          <w:szCs w:val="24"/>
          <w:lang w:val="es-ES" w:eastAsia="es-PE"/>
        </w:rPr>
        <w:t>Comité Especial deberá cumplir con lo dispuesto por este Organismo Supervisor al absolver las observaciones indicadas en el numeral 2 del presente Pronunciamiento.</w:t>
      </w:r>
    </w:p>
    <w:p w:rsidR="006D2E2F" w:rsidRPr="006D2E2F" w:rsidRDefault="006D2E2F" w:rsidP="006D2E2F">
      <w:pPr>
        <w:spacing w:after="0" w:line="240" w:lineRule="auto"/>
        <w:ind w:left="709"/>
        <w:jc w:val="both"/>
        <w:rPr>
          <w:rFonts w:ascii="Times New Roman" w:eastAsia="Times New Roman" w:hAnsi="Times New Roman" w:cs="Times New Roman"/>
          <w:sz w:val="24"/>
          <w:szCs w:val="24"/>
          <w:lang w:eastAsia="es-PE"/>
        </w:rPr>
      </w:pPr>
    </w:p>
    <w:p w:rsidR="006D2E2F" w:rsidRPr="006D2E2F" w:rsidRDefault="00CE5D12" w:rsidP="006D2E2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Pr>
          <w:rFonts w:ascii="Times New Roman" w:eastAsia="Times New Roman" w:hAnsi="Times New Roman"/>
          <w:noProof/>
          <w:sz w:val="24"/>
          <w:szCs w:val="24"/>
          <w:lang w:eastAsia="es-PE"/>
        </w:rPr>
        <w:drawing>
          <wp:anchor distT="0" distB="0" distL="114300" distR="114300" simplePos="0" relativeHeight="251661312" behindDoc="0" locked="0" layoutInCell="1" allowOverlap="1" wp14:anchorId="77410BE9" wp14:editId="1572DDC9">
            <wp:simplePos x="0" y="0"/>
            <wp:positionH relativeFrom="column">
              <wp:posOffset>-962025</wp:posOffset>
            </wp:positionH>
            <wp:positionV relativeFrom="paragraph">
              <wp:posOffset>464185</wp:posOffset>
            </wp:positionV>
            <wp:extent cx="971550" cy="35337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6D2E2F" w:rsidRPr="006D2E2F">
        <w:rPr>
          <w:rFonts w:ascii="Times New Roman" w:eastAsia="Times New Roman" w:hAnsi="Times New Roman" w:cs="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6D2E2F" w:rsidRPr="006D2E2F" w:rsidRDefault="006D2E2F" w:rsidP="006D2E2F">
      <w:pPr>
        <w:spacing w:after="0" w:line="240" w:lineRule="auto"/>
        <w:ind w:left="567"/>
        <w:jc w:val="both"/>
        <w:rPr>
          <w:rFonts w:ascii="Times New Roman" w:eastAsia="Times New Roman" w:hAnsi="Times New Roman" w:cs="Times New Roman"/>
          <w:sz w:val="24"/>
          <w:szCs w:val="24"/>
          <w:lang w:eastAsia="es-PE"/>
        </w:rPr>
      </w:pPr>
    </w:p>
    <w:p w:rsidR="006D2E2F" w:rsidRPr="006D2E2F" w:rsidRDefault="006D2E2F" w:rsidP="006D2E2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6D2E2F">
        <w:rPr>
          <w:rFonts w:ascii="Times New Roman" w:eastAsia="Times New Roman" w:hAnsi="Times New Roman" w:cs="Times New Roman"/>
          <w:sz w:val="24"/>
          <w:szCs w:val="24"/>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D2E2F" w:rsidRPr="006D2E2F" w:rsidRDefault="006D2E2F" w:rsidP="006D2E2F">
      <w:pPr>
        <w:spacing w:after="0" w:line="240" w:lineRule="auto"/>
        <w:jc w:val="both"/>
        <w:rPr>
          <w:rFonts w:ascii="Times New Roman" w:eastAsia="Times New Roman" w:hAnsi="Times New Roman" w:cs="Times New Roman"/>
          <w:sz w:val="24"/>
          <w:szCs w:val="24"/>
          <w:lang w:eastAsia="es-PE"/>
        </w:rPr>
      </w:pPr>
    </w:p>
    <w:p w:rsidR="006D2E2F" w:rsidRPr="006D2E2F" w:rsidRDefault="006D2E2F" w:rsidP="006D2E2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6D2E2F">
        <w:rPr>
          <w:rFonts w:ascii="Times New Roman" w:eastAsia="Times New Roman" w:hAnsi="Times New Roman" w:cs="Times New Roman"/>
          <w:sz w:val="24"/>
          <w:szCs w:val="24"/>
          <w:lang w:eastAsia="es-PE"/>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6D2E2F" w:rsidRPr="006D2E2F" w:rsidRDefault="006D2E2F" w:rsidP="006D2E2F">
      <w:pPr>
        <w:spacing w:after="0" w:line="240" w:lineRule="auto"/>
        <w:jc w:val="both"/>
        <w:rPr>
          <w:rFonts w:ascii="Times New Roman" w:eastAsia="Times New Roman" w:hAnsi="Times New Roman" w:cs="Times New Roman"/>
          <w:sz w:val="24"/>
          <w:szCs w:val="24"/>
          <w:lang w:eastAsia="es-PE"/>
        </w:rPr>
      </w:pPr>
    </w:p>
    <w:p w:rsidR="006D2E2F" w:rsidRPr="006D2E2F" w:rsidRDefault="006D2E2F" w:rsidP="006D2E2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6D2E2F">
        <w:rPr>
          <w:rFonts w:ascii="Times New Roman" w:eastAsia="Times New Roman" w:hAnsi="Times New Roman" w:cs="Times New Roman"/>
          <w:sz w:val="24"/>
          <w:szCs w:val="24"/>
          <w:lang w:eastAsia="es-PE"/>
        </w:rPr>
        <w:lastRenderedPageBreak/>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6D2E2F" w:rsidRPr="006D2E2F" w:rsidRDefault="006D2E2F" w:rsidP="006D2E2F">
      <w:pPr>
        <w:spacing w:after="0" w:line="240" w:lineRule="auto"/>
        <w:jc w:val="both"/>
        <w:rPr>
          <w:rFonts w:ascii="Times New Roman" w:eastAsia="Times New Roman" w:hAnsi="Times New Roman" w:cs="Times New Roman"/>
          <w:sz w:val="24"/>
          <w:szCs w:val="24"/>
          <w:lang w:eastAsia="es-PE"/>
        </w:rPr>
      </w:pPr>
    </w:p>
    <w:p w:rsidR="006D2E2F" w:rsidRPr="006D2E2F" w:rsidRDefault="006D2E2F" w:rsidP="006D2E2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6D2E2F">
        <w:rPr>
          <w:rFonts w:ascii="Times New Roman" w:eastAsia="Times New Roman" w:hAnsi="Times New Roman" w:cs="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6D2E2F" w:rsidRPr="006D2E2F" w:rsidRDefault="006D2E2F" w:rsidP="006D2E2F">
      <w:pPr>
        <w:spacing w:after="0" w:line="240" w:lineRule="auto"/>
        <w:ind w:left="567"/>
        <w:jc w:val="both"/>
        <w:rPr>
          <w:rFonts w:ascii="Times New Roman" w:eastAsia="Times New Roman" w:hAnsi="Times New Roman" w:cs="Times New Roman"/>
          <w:sz w:val="24"/>
          <w:szCs w:val="24"/>
          <w:lang w:eastAsia="es-PE"/>
        </w:rPr>
      </w:pPr>
    </w:p>
    <w:p w:rsidR="006D2E2F" w:rsidRPr="006D2E2F" w:rsidRDefault="006D2E2F" w:rsidP="006D2E2F">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6D2E2F">
        <w:rPr>
          <w:rFonts w:ascii="Times New Roman" w:eastAsia="Times New Roman" w:hAnsi="Times New Roman" w:cs="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CA05B8" w:rsidRPr="00323BFB" w:rsidRDefault="00CA05B8" w:rsidP="00CA05B8">
      <w:pPr>
        <w:widowControl w:val="0"/>
        <w:spacing w:after="0" w:line="240" w:lineRule="auto"/>
        <w:ind w:left="3545" w:firstLine="709"/>
        <w:jc w:val="both"/>
        <w:rPr>
          <w:rFonts w:ascii="Times New Roman" w:eastAsia="Times New Roman" w:hAnsi="Times New Roman" w:cs="Times New Roman"/>
          <w:sz w:val="24"/>
          <w:szCs w:val="24"/>
          <w:lang w:eastAsia="es-MX"/>
        </w:rPr>
      </w:pPr>
    </w:p>
    <w:p w:rsidR="00CA05B8" w:rsidRPr="00323BFB" w:rsidRDefault="00CA05B8" w:rsidP="00CA05B8">
      <w:pPr>
        <w:widowControl w:val="0"/>
        <w:spacing w:after="0" w:line="240" w:lineRule="auto"/>
        <w:ind w:left="3545" w:firstLine="709"/>
        <w:jc w:val="both"/>
        <w:rPr>
          <w:rFonts w:ascii="Times New Roman" w:eastAsia="Times New Roman" w:hAnsi="Times New Roman" w:cs="Times New Roman"/>
          <w:sz w:val="24"/>
          <w:szCs w:val="24"/>
          <w:lang w:eastAsia="es-MX"/>
        </w:rPr>
      </w:pPr>
    </w:p>
    <w:p w:rsidR="00CA05B8" w:rsidRPr="00323BFB" w:rsidRDefault="00CA05B8" w:rsidP="00CA05B8">
      <w:pPr>
        <w:widowControl w:val="0"/>
        <w:spacing w:after="0" w:line="240" w:lineRule="auto"/>
        <w:ind w:left="3545" w:firstLine="709"/>
        <w:jc w:val="both"/>
        <w:rPr>
          <w:rFonts w:ascii="Times New Roman" w:eastAsia="Times New Roman" w:hAnsi="Times New Roman" w:cs="Times New Roman"/>
          <w:sz w:val="24"/>
          <w:szCs w:val="24"/>
          <w:lang w:eastAsia="es-MX"/>
        </w:rPr>
      </w:pPr>
    </w:p>
    <w:p w:rsidR="00CA05B8" w:rsidRPr="00323BFB" w:rsidRDefault="00CA05B8" w:rsidP="00CA05B8">
      <w:pPr>
        <w:widowControl w:val="0"/>
        <w:tabs>
          <w:tab w:val="left" w:pos="2660"/>
        </w:tabs>
        <w:spacing w:after="0" w:line="240" w:lineRule="auto"/>
        <w:ind w:left="3545" w:firstLine="709"/>
        <w:jc w:val="both"/>
        <w:rPr>
          <w:rFonts w:ascii="Times New Roman" w:eastAsia="Times New Roman" w:hAnsi="Times New Roman" w:cs="Times New Roman"/>
          <w:b/>
          <w:sz w:val="24"/>
          <w:szCs w:val="24"/>
          <w:lang w:val="es-ES" w:eastAsia="es-MX"/>
        </w:rPr>
      </w:pPr>
      <w:r w:rsidRPr="00323BFB">
        <w:rPr>
          <w:rFonts w:ascii="Times New Roman" w:eastAsia="Times New Roman" w:hAnsi="Times New Roman" w:cs="Times New Roman"/>
          <w:sz w:val="24"/>
          <w:szCs w:val="24"/>
          <w:lang w:val="es-ES" w:eastAsia="es-MX"/>
        </w:rPr>
        <w:tab/>
      </w:r>
      <w:r w:rsidR="00EF3ABC">
        <w:rPr>
          <w:rFonts w:ascii="Times New Roman" w:eastAsia="Times New Roman" w:hAnsi="Times New Roman" w:cs="Times New Roman"/>
          <w:sz w:val="24"/>
          <w:szCs w:val="24"/>
          <w:lang w:val="es-ES" w:eastAsia="es-MX"/>
        </w:rPr>
        <w:t xml:space="preserve">   </w:t>
      </w:r>
      <w:r w:rsidRPr="00323BFB">
        <w:rPr>
          <w:rFonts w:ascii="Times New Roman" w:eastAsia="Times New Roman" w:hAnsi="Times New Roman" w:cs="Times New Roman"/>
          <w:sz w:val="24"/>
          <w:szCs w:val="24"/>
          <w:lang w:val="es-ES" w:eastAsia="es-MX"/>
        </w:rPr>
        <w:t xml:space="preserve">Jesús María, </w:t>
      </w:r>
      <w:r w:rsidR="00803B54">
        <w:rPr>
          <w:rFonts w:ascii="Times New Roman" w:eastAsia="Times New Roman" w:hAnsi="Times New Roman" w:cs="Times New Roman"/>
          <w:sz w:val="24"/>
          <w:szCs w:val="24"/>
          <w:lang w:val="es-ES" w:eastAsia="es-MX"/>
        </w:rPr>
        <w:t>4</w:t>
      </w:r>
      <w:r w:rsidRPr="00323BFB">
        <w:rPr>
          <w:rFonts w:ascii="Times New Roman" w:eastAsia="Times New Roman" w:hAnsi="Times New Roman" w:cs="Times New Roman"/>
          <w:sz w:val="24"/>
          <w:szCs w:val="24"/>
          <w:lang w:val="es-ES" w:eastAsia="es-MX"/>
        </w:rPr>
        <w:t xml:space="preserve"> de </w:t>
      </w:r>
      <w:r w:rsidR="006D2E2F">
        <w:rPr>
          <w:rFonts w:ascii="Times New Roman" w:eastAsia="Times New Roman" w:hAnsi="Times New Roman" w:cs="Times New Roman"/>
          <w:sz w:val="24"/>
          <w:szCs w:val="24"/>
          <w:lang w:val="es-ES" w:eastAsia="es-MX"/>
        </w:rPr>
        <w:t>febrero</w:t>
      </w:r>
      <w:r w:rsidRPr="00323BFB">
        <w:rPr>
          <w:rFonts w:ascii="Times New Roman" w:eastAsia="Times New Roman" w:hAnsi="Times New Roman" w:cs="Times New Roman"/>
          <w:sz w:val="24"/>
          <w:szCs w:val="24"/>
          <w:lang w:val="es-ES" w:eastAsia="es-MX"/>
        </w:rPr>
        <w:t xml:space="preserve"> de 2015</w:t>
      </w:r>
    </w:p>
    <w:p w:rsidR="00CA05B8" w:rsidRPr="00323BFB" w:rsidRDefault="00CA05B8" w:rsidP="00CA05B8">
      <w:pPr>
        <w:widowControl w:val="0"/>
        <w:spacing w:after="0" w:line="240" w:lineRule="auto"/>
        <w:jc w:val="both"/>
        <w:rPr>
          <w:rFonts w:ascii="Times New Roman" w:eastAsia="MS Mincho" w:hAnsi="Times New Roman" w:cs="Times New Roman"/>
          <w:b/>
          <w:bCs/>
          <w:sz w:val="24"/>
          <w:szCs w:val="24"/>
          <w:lang w:val="es-ES_tradnl" w:eastAsia="es-PE"/>
        </w:rPr>
      </w:pPr>
    </w:p>
    <w:p w:rsidR="00CA05B8" w:rsidRPr="00323BFB" w:rsidRDefault="00CA05B8" w:rsidP="00CA05B8">
      <w:pPr>
        <w:widowControl w:val="0"/>
        <w:spacing w:after="0" w:line="240" w:lineRule="auto"/>
        <w:jc w:val="both"/>
        <w:rPr>
          <w:rFonts w:ascii="Times New Roman" w:eastAsia="MS Mincho" w:hAnsi="Times New Roman" w:cs="Times New Roman"/>
          <w:b/>
          <w:bCs/>
          <w:sz w:val="24"/>
          <w:szCs w:val="24"/>
          <w:lang w:val="es-ES_tradnl" w:eastAsia="es-PE"/>
        </w:rPr>
      </w:pPr>
    </w:p>
    <w:p w:rsidR="00CA05B8" w:rsidRPr="00323BFB" w:rsidRDefault="00CA05B8" w:rsidP="00CA05B8">
      <w:pPr>
        <w:widowControl w:val="0"/>
        <w:spacing w:after="0" w:line="240" w:lineRule="auto"/>
        <w:jc w:val="both"/>
        <w:rPr>
          <w:rFonts w:ascii="Times New Roman" w:eastAsia="MS Mincho" w:hAnsi="Times New Roman" w:cs="Times New Roman"/>
          <w:b/>
          <w:bCs/>
          <w:sz w:val="24"/>
          <w:szCs w:val="24"/>
          <w:lang w:val="es-ES_tradnl" w:eastAsia="es-PE"/>
        </w:rPr>
      </w:pPr>
    </w:p>
    <w:p w:rsidR="00CA05B8" w:rsidRPr="00323BFB" w:rsidRDefault="00CA05B8" w:rsidP="00CA05B8">
      <w:pPr>
        <w:widowControl w:val="0"/>
        <w:spacing w:after="0" w:line="240" w:lineRule="auto"/>
        <w:ind w:left="1080"/>
        <w:jc w:val="center"/>
        <w:rPr>
          <w:rFonts w:ascii="Times New Roman" w:eastAsia="MS Mincho" w:hAnsi="Times New Roman" w:cs="Times New Roman"/>
          <w:b/>
          <w:bCs/>
          <w:sz w:val="24"/>
          <w:szCs w:val="24"/>
          <w:lang w:val="es-ES_tradnl" w:eastAsia="es-PE"/>
        </w:rPr>
      </w:pPr>
    </w:p>
    <w:p w:rsidR="00CA05B8" w:rsidRPr="00323BFB" w:rsidRDefault="00EF3ABC" w:rsidP="00CA05B8">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PATRICIA ALARCÓN ALVIZURI</w:t>
      </w:r>
    </w:p>
    <w:p w:rsidR="00CA05B8" w:rsidRPr="00323BFB" w:rsidRDefault="00CA05B8" w:rsidP="00CA05B8">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323BFB">
        <w:rPr>
          <w:rFonts w:ascii="Times New Roman" w:eastAsia="Times New Roman" w:hAnsi="Times New Roman" w:cs="Times New Roman"/>
          <w:b/>
          <w:sz w:val="24"/>
          <w:szCs w:val="24"/>
          <w:lang w:val="es-ES" w:eastAsia="es-MX"/>
        </w:rPr>
        <w:t>Directora de  Supervisión</w:t>
      </w:r>
    </w:p>
    <w:p w:rsidR="00CA05B8" w:rsidRPr="00323BFB" w:rsidRDefault="00CA05B8" w:rsidP="00CA05B8">
      <w:pPr>
        <w:widowControl w:val="0"/>
        <w:spacing w:after="0" w:line="240" w:lineRule="auto"/>
        <w:jc w:val="both"/>
        <w:rPr>
          <w:rFonts w:ascii="Times New Roman" w:eastAsia="Times New Roman" w:hAnsi="Times New Roman" w:cs="Times New Roman"/>
          <w:sz w:val="20"/>
          <w:szCs w:val="20"/>
          <w:lang w:val="es-ES" w:eastAsia="es-MX"/>
        </w:rPr>
      </w:pPr>
    </w:p>
    <w:p w:rsidR="00CA05B8" w:rsidRPr="00323BFB" w:rsidRDefault="00CA05B8" w:rsidP="00CA05B8">
      <w:pPr>
        <w:widowControl w:val="0"/>
        <w:spacing w:after="0" w:line="240" w:lineRule="auto"/>
        <w:ind w:left="540" w:hanging="540"/>
        <w:jc w:val="both"/>
        <w:rPr>
          <w:rFonts w:ascii="Times New Roman" w:eastAsia="Times New Roman" w:hAnsi="Times New Roman" w:cs="Times New Roman"/>
          <w:sz w:val="20"/>
          <w:szCs w:val="20"/>
          <w:lang w:val="es-ES" w:eastAsia="es-MX"/>
        </w:rPr>
      </w:pPr>
    </w:p>
    <w:p w:rsidR="00CA05B8" w:rsidRPr="00323BFB" w:rsidRDefault="00CA05B8" w:rsidP="00CA05B8">
      <w:pPr>
        <w:widowControl w:val="0"/>
        <w:spacing w:after="0" w:line="240" w:lineRule="auto"/>
        <w:ind w:left="540" w:hanging="540"/>
        <w:jc w:val="both"/>
        <w:rPr>
          <w:rFonts w:ascii="Times New Roman" w:eastAsia="Times New Roman" w:hAnsi="Times New Roman" w:cs="Times New Roman"/>
          <w:sz w:val="20"/>
          <w:szCs w:val="20"/>
          <w:lang w:val="es-ES" w:eastAsia="es-MX"/>
        </w:rPr>
      </w:pPr>
      <w:r w:rsidRPr="00323BFB">
        <w:rPr>
          <w:rFonts w:ascii="Times New Roman" w:eastAsia="Times New Roman" w:hAnsi="Times New Roman" w:cs="Times New Roman"/>
          <w:sz w:val="20"/>
          <w:szCs w:val="20"/>
          <w:lang w:val="es-ES" w:eastAsia="es-MX"/>
        </w:rPr>
        <w:t>HIS/.</w:t>
      </w:r>
    </w:p>
    <w:p w:rsidR="00CA05B8" w:rsidRPr="00323BFB" w:rsidRDefault="00CE5D12" w:rsidP="00CA05B8">
      <w:pPr>
        <w:jc w:val="both"/>
        <w:rPr>
          <w:rFonts w:ascii="Calibri" w:eastAsia="Calibri" w:hAnsi="Calibri" w:cs="Times New Roman"/>
        </w:rPr>
      </w:pPr>
      <w:r>
        <w:rPr>
          <w:rFonts w:ascii="Times New Roman" w:eastAsia="Times New Roman" w:hAnsi="Times New Roman"/>
          <w:noProof/>
          <w:sz w:val="24"/>
          <w:szCs w:val="24"/>
          <w:lang w:eastAsia="es-PE"/>
        </w:rPr>
        <w:drawing>
          <wp:anchor distT="0" distB="0" distL="114300" distR="114300" simplePos="0" relativeHeight="251659264" behindDoc="0" locked="0" layoutInCell="1" allowOverlap="1" wp14:anchorId="175FD223" wp14:editId="520D4A0D">
            <wp:simplePos x="0" y="0"/>
            <wp:positionH relativeFrom="column">
              <wp:posOffset>-881380</wp:posOffset>
            </wp:positionH>
            <wp:positionV relativeFrom="paragraph">
              <wp:posOffset>238125</wp:posOffset>
            </wp:positionV>
            <wp:extent cx="970280" cy="2603500"/>
            <wp:effectExtent l="0" t="0" r="127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9">
                      <a:extLst>
                        <a:ext uri="{28A0092B-C50C-407E-A947-70E740481C1C}">
                          <a14:useLocalDpi xmlns:a14="http://schemas.microsoft.com/office/drawing/2010/main" val="0"/>
                        </a:ext>
                      </a:extLst>
                    </a:blip>
                    <a:srcRect t="26236"/>
                    <a:stretch>
                      <a:fillRect/>
                    </a:stretch>
                  </pic:blipFill>
                  <pic:spPr bwMode="auto">
                    <a:xfrm>
                      <a:off x="0" y="0"/>
                      <a:ext cx="970280" cy="260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05B8" w:rsidRPr="00323BFB" w:rsidRDefault="00CA05B8" w:rsidP="00CA05B8">
      <w:pPr>
        <w:jc w:val="both"/>
        <w:rPr>
          <w:rFonts w:ascii="Calibri" w:eastAsia="Calibri" w:hAnsi="Calibri" w:cs="Times New Roman"/>
        </w:rPr>
      </w:pPr>
    </w:p>
    <w:p w:rsidR="00CA05B8" w:rsidRPr="00323BFB" w:rsidRDefault="00CA05B8" w:rsidP="00CA05B8">
      <w:pPr>
        <w:rPr>
          <w:rFonts w:ascii="Calibri" w:eastAsia="Calibri" w:hAnsi="Calibri" w:cs="Times New Roman"/>
        </w:rPr>
      </w:pPr>
    </w:p>
    <w:p w:rsidR="00A75116" w:rsidRPr="00CA05B8" w:rsidRDefault="00A75116" w:rsidP="00CA05B8"/>
    <w:sectPr w:rsidR="00A75116" w:rsidRPr="00CA05B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D12" w:rsidRDefault="00CE5D12" w:rsidP="00323BFB">
      <w:pPr>
        <w:spacing w:after="0" w:line="240" w:lineRule="auto"/>
      </w:pPr>
      <w:r>
        <w:separator/>
      </w:r>
    </w:p>
  </w:endnote>
  <w:endnote w:type="continuationSeparator" w:id="0">
    <w:p w:rsidR="00CE5D12" w:rsidRDefault="00CE5D12" w:rsidP="00323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D12" w:rsidRDefault="00CE5D12" w:rsidP="00323BFB">
      <w:pPr>
        <w:spacing w:after="0" w:line="240" w:lineRule="auto"/>
      </w:pPr>
      <w:r>
        <w:separator/>
      </w:r>
    </w:p>
  </w:footnote>
  <w:footnote w:type="continuationSeparator" w:id="0">
    <w:p w:rsidR="00CE5D12" w:rsidRDefault="00CE5D12" w:rsidP="00323BFB">
      <w:pPr>
        <w:spacing w:after="0" w:line="240" w:lineRule="auto"/>
      </w:pPr>
      <w:r>
        <w:continuationSeparator/>
      </w:r>
    </w:p>
  </w:footnote>
  <w:footnote w:id="1">
    <w:p w:rsidR="00CE5D12" w:rsidRPr="002904D1" w:rsidRDefault="00CE5D12" w:rsidP="002904D1">
      <w:pPr>
        <w:pStyle w:val="Textonotapie"/>
        <w:jc w:val="both"/>
        <w:rPr>
          <w:rFonts w:ascii="Times New Roman" w:hAnsi="Times New Roman" w:cs="Times New Roman"/>
        </w:rPr>
      </w:pPr>
      <w:r w:rsidRPr="002904D1">
        <w:rPr>
          <w:rStyle w:val="Refdenotaalpie"/>
          <w:rFonts w:ascii="Times New Roman" w:hAnsi="Times New Roman" w:cs="Times New Roman"/>
        </w:rPr>
        <w:footnoteRef/>
      </w:r>
      <w:r w:rsidRPr="002904D1">
        <w:rPr>
          <w:rFonts w:ascii="Times New Roman" w:hAnsi="Times New Roman" w:cs="Times New Roman"/>
        </w:rPr>
        <w:t xml:space="preserve"> En función de la Consulta Nº 10 de PLATINUM S.R.L., el Comité Especial dispuso que las medidas de los empaques sean de 70 m a más.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3A0520C3"/>
    <w:multiLevelType w:val="hybridMultilevel"/>
    <w:tmpl w:val="36329578"/>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3F607F60"/>
    <w:multiLevelType w:val="hybridMultilevel"/>
    <w:tmpl w:val="919C951A"/>
    <w:lvl w:ilvl="0" w:tplc="AD8C47FC">
      <w:numFmt w:val="bullet"/>
      <w:lvlText w:val="-"/>
      <w:lvlJc w:val="left"/>
      <w:pPr>
        <w:ind w:left="720" w:hanging="360"/>
      </w:pPr>
      <w:rPr>
        <w:rFonts w:ascii="Times New Roman" w:eastAsia="Batang"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5B74FE5"/>
    <w:multiLevelType w:val="multilevel"/>
    <w:tmpl w:val="9C1ED2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7">
    <w:nsid w:val="5D3C0C3A"/>
    <w:multiLevelType w:val="hybridMultilevel"/>
    <w:tmpl w:val="9B7A1802"/>
    <w:lvl w:ilvl="0" w:tplc="AD8C47FC">
      <w:numFmt w:val="bullet"/>
      <w:lvlText w:val="-"/>
      <w:lvlJc w:val="left"/>
      <w:pPr>
        <w:ind w:left="720" w:hanging="360"/>
      </w:pPr>
      <w:rPr>
        <w:rFonts w:ascii="Times New Roman" w:eastAsia="Batang"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7"/>
  </w:num>
  <w:num w:numId="5">
    <w:abstractNumId w:val="3"/>
  </w:num>
  <w:num w:numId="6">
    <w:abstractNumId w:val="2"/>
  </w:num>
  <w:num w:numId="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BFB"/>
    <w:rsid w:val="00023C5C"/>
    <w:rsid w:val="00051A54"/>
    <w:rsid w:val="000C2D63"/>
    <w:rsid w:val="0012529C"/>
    <w:rsid w:val="0019369D"/>
    <w:rsid w:val="001C4A8E"/>
    <w:rsid w:val="002168BA"/>
    <w:rsid w:val="00231292"/>
    <w:rsid w:val="002904D1"/>
    <w:rsid w:val="00314BFF"/>
    <w:rsid w:val="00323BFB"/>
    <w:rsid w:val="00361C80"/>
    <w:rsid w:val="00391F3F"/>
    <w:rsid w:val="005507F4"/>
    <w:rsid w:val="0055343F"/>
    <w:rsid w:val="00576F58"/>
    <w:rsid w:val="005D14D5"/>
    <w:rsid w:val="006C1B68"/>
    <w:rsid w:val="006D2E2F"/>
    <w:rsid w:val="00746DCB"/>
    <w:rsid w:val="007668FB"/>
    <w:rsid w:val="00797C71"/>
    <w:rsid w:val="007A6096"/>
    <w:rsid w:val="007F388C"/>
    <w:rsid w:val="00802A96"/>
    <w:rsid w:val="00803B54"/>
    <w:rsid w:val="008115A7"/>
    <w:rsid w:val="00823A42"/>
    <w:rsid w:val="00834C68"/>
    <w:rsid w:val="00856C8D"/>
    <w:rsid w:val="00880088"/>
    <w:rsid w:val="009A4B01"/>
    <w:rsid w:val="00A1533F"/>
    <w:rsid w:val="00A75116"/>
    <w:rsid w:val="00AA4A9B"/>
    <w:rsid w:val="00AB49EF"/>
    <w:rsid w:val="00B6360A"/>
    <w:rsid w:val="00BA01AF"/>
    <w:rsid w:val="00BA0736"/>
    <w:rsid w:val="00BD0C16"/>
    <w:rsid w:val="00BF00A3"/>
    <w:rsid w:val="00C11492"/>
    <w:rsid w:val="00C57C79"/>
    <w:rsid w:val="00CA05B8"/>
    <w:rsid w:val="00CA1978"/>
    <w:rsid w:val="00CB4EB7"/>
    <w:rsid w:val="00CE5D12"/>
    <w:rsid w:val="00D1483A"/>
    <w:rsid w:val="00D80BA0"/>
    <w:rsid w:val="00DD19B3"/>
    <w:rsid w:val="00DF1052"/>
    <w:rsid w:val="00E027AE"/>
    <w:rsid w:val="00E365D4"/>
    <w:rsid w:val="00E94196"/>
    <w:rsid w:val="00ED424A"/>
    <w:rsid w:val="00ED69D2"/>
    <w:rsid w:val="00EF3ABC"/>
    <w:rsid w:val="00F219D1"/>
    <w:rsid w:val="00F377D9"/>
    <w:rsid w:val="00F651D8"/>
    <w:rsid w:val="00FA55FE"/>
    <w:rsid w:val="00FB6153"/>
    <w:rsid w:val="00FB65D1"/>
    <w:rsid w:val="00FD6A1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5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323BF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23BFB"/>
    <w:rPr>
      <w:sz w:val="20"/>
      <w:szCs w:val="20"/>
    </w:rPr>
  </w:style>
  <w:style w:type="character" w:styleId="Refdenotaalpie">
    <w:name w:val="footnote reference"/>
    <w:aliases w:val="16 Point,Superscript 6 Point,FC,referencia nota al pie"/>
    <w:unhideWhenUsed/>
    <w:rsid w:val="00323BFB"/>
    <w:rPr>
      <w:vertAlign w:val="superscript"/>
    </w:rPr>
  </w:style>
  <w:style w:type="paragraph" w:styleId="Textodeglobo">
    <w:name w:val="Balloon Text"/>
    <w:basedOn w:val="Normal"/>
    <w:link w:val="TextodegloboCar"/>
    <w:uiPriority w:val="99"/>
    <w:semiHidden/>
    <w:unhideWhenUsed/>
    <w:rsid w:val="00323B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3BFB"/>
    <w:rPr>
      <w:rFonts w:ascii="Tahoma" w:hAnsi="Tahoma" w:cs="Tahoma"/>
      <w:sz w:val="16"/>
      <w:szCs w:val="16"/>
    </w:rPr>
  </w:style>
  <w:style w:type="paragraph" w:styleId="Prrafodelista">
    <w:name w:val="List Paragraph"/>
    <w:basedOn w:val="Normal"/>
    <w:uiPriority w:val="34"/>
    <w:qFormat/>
    <w:rsid w:val="00B636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5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323BF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23BFB"/>
    <w:rPr>
      <w:sz w:val="20"/>
      <w:szCs w:val="20"/>
    </w:rPr>
  </w:style>
  <w:style w:type="character" w:styleId="Refdenotaalpie">
    <w:name w:val="footnote reference"/>
    <w:aliases w:val="16 Point,Superscript 6 Point,FC,referencia nota al pie"/>
    <w:unhideWhenUsed/>
    <w:rsid w:val="00323BFB"/>
    <w:rPr>
      <w:vertAlign w:val="superscript"/>
    </w:rPr>
  </w:style>
  <w:style w:type="paragraph" w:styleId="Textodeglobo">
    <w:name w:val="Balloon Text"/>
    <w:basedOn w:val="Normal"/>
    <w:link w:val="TextodegloboCar"/>
    <w:uiPriority w:val="99"/>
    <w:semiHidden/>
    <w:unhideWhenUsed/>
    <w:rsid w:val="00323B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3BFB"/>
    <w:rPr>
      <w:rFonts w:ascii="Tahoma" w:hAnsi="Tahoma" w:cs="Tahoma"/>
      <w:sz w:val="16"/>
      <w:szCs w:val="16"/>
    </w:rPr>
  </w:style>
  <w:style w:type="paragraph" w:styleId="Prrafodelista">
    <w:name w:val="List Paragraph"/>
    <w:basedOn w:val="Normal"/>
    <w:uiPriority w:val="34"/>
    <w:qFormat/>
    <w:rsid w:val="00B63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C1EC-EDD7-4D6F-BD11-C2012F8D8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7</Pages>
  <Words>2738</Words>
  <Characters>15060</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Jesus Iparraguirre Salas</dc:creator>
  <cp:lastModifiedBy>Hernan Jesus Iparraguirre Salas</cp:lastModifiedBy>
  <cp:revision>20</cp:revision>
  <cp:lastPrinted>2015-02-17T16:08:00Z</cp:lastPrinted>
  <dcterms:created xsi:type="dcterms:W3CDTF">2015-02-02T14:06:00Z</dcterms:created>
  <dcterms:modified xsi:type="dcterms:W3CDTF">2015-02-17T16:23:00Z</dcterms:modified>
</cp:coreProperties>
</file>