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6DAA" w:rsidRPr="002A52A0" w:rsidRDefault="00066DAA" w:rsidP="002A52A0">
      <w:pPr>
        <w:widowControl w:val="0"/>
        <w:spacing w:after="0" w:line="240" w:lineRule="auto"/>
        <w:jc w:val="center"/>
        <w:rPr>
          <w:rFonts w:ascii="Times New Roman" w:eastAsia="Times New Roman" w:hAnsi="Times New Roman"/>
          <w:b/>
          <w:sz w:val="24"/>
          <w:szCs w:val="24"/>
          <w:u w:val="single"/>
          <w:lang w:val="es-MX" w:eastAsia="es-MX"/>
        </w:rPr>
      </w:pPr>
      <w:r w:rsidRPr="002A52A0">
        <w:rPr>
          <w:rFonts w:ascii="Times New Roman" w:eastAsia="Times New Roman" w:hAnsi="Times New Roman"/>
          <w:b/>
          <w:sz w:val="24"/>
          <w:szCs w:val="24"/>
          <w:u w:val="single"/>
          <w:lang w:val="es-MX" w:eastAsia="es-MX"/>
        </w:rPr>
        <w:t xml:space="preserve">PRONUNCIAMIENTO Nº </w:t>
      </w:r>
      <w:r w:rsidR="00EF187A">
        <w:rPr>
          <w:rFonts w:ascii="Times New Roman" w:eastAsia="Times New Roman" w:hAnsi="Times New Roman"/>
          <w:b/>
          <w:sz w:val="24"/>
          <w:szCs w:val="24"/>
          <w:u w:val="single"/>
          <w:lang w:val="es-MX" w:eastAsia="es-MX"/>
        </w:rPr>
        <w:t>859</w:t>
      </w:r>
      <w:r w:rsidRPr="002A52A0">
        <w:rPr>
          <w:rFonts w:ascii="Times New Roman" w:eastAsia="Times New Roman" w:hAnsi="Times New Roman"/>
          <w:b/>
          <w:sz w:val="24"/>
          <w:szCs w:val="24"/>
          <w:u w:val="single"/>
          <w:lang w:val="es-MX" w:eastAsia="es-MX"/>
        </w:rPr>
        <w:t>-2015/DSU</w:t>
      </w:r>
    </w:p>
    <w:p w:rsidR="00066DAA" w:rsidRPr="002A52A0" w:rsidRDefault="00066DAA" w:rsidP="002A52A0">
      <w:pPr>
        <w:widowControl w:val="0"/>
        <w:tabs>
          <w:tab w:val="left" w:pos="1980"/>
        </w:tabs>
        <w:spacing w:after="0" w:line="240" w:lineRule="auto"/>
        <w:ind w:left="2880" w:hanging="2880"/>
        <w:jc w:val="both"/>
        <w:rPr>
          <w:rFonts w:ascii="Times New Roman" w:eastAsia="Times New Roman" w:hAnsi="Times New Roman"/>
          <w:sz w:val="24"/>
          <w:szCs w:val="24"/>
          <w:lang w:val="es-MX" w:eastAsia="es-MX"/>
        </w:rPr>
      </w:pPr>
      <w:r w:rsidRPr="002A52A0">
        <w:rPr>
          <w:rFonts w:ascii="Times New Roman" w:eastAsia="Times New Roman" w:hAnsi="Times New Roman"/>
          <w:sz w:val="24"/>
          <w:szCs w:val="24"/>
          <w:lang w:val="es-MX" w:eastAsia="es-MX"/>
        </w:rPr>
        <w:tab/>
      </w:r>
    </w:p>
    <w:p w:rsidR="00066DAA" w:rsidRPr="002A52A0" w:rsidRDefault="00066DAA" w:rsidP="002A52A0">
      <w:pPr>
        <w:widowControl w:val="0"/>
        <w:spacing w:after="0" w:line="240" w:lineRule="auto"/>
        <w:ind w:left="2835" w:hanging="2835"/>
        <w:jc w:val="both"/>
        <w:rPr>
          <w:rFonts w:ascii="Times New Roman" w:hAnsi="Times New Roman"/>
          <w:sz w:val="24"/>
          <w:szCs w:val="24"/>
        </w:rPr>
      </w:pPr>
      <w:r w:rsidRPr="002A52A0">
        <w:rPr>
          <w:rFonts w:ascii="Times New Roman" w:eastAsia="Times New Roman" w:hAnsi="Times New Roman"/>
          <w:b/>
          <w:sz w:val="24"/>
          <w:szCs w:val="24"/>
          <w:lang w:val="es-MX" w:eastAsia="es-MX"/>
        </w:rPr>
        <w:t>Entidad:</w:t>
      </w:r>
      <w:r w:rsidRPr="002A52A0">
        <w:rPr>
          <w:rFonts w:ascii="Times New Roman" w:eastAsia="Times New Roman" w:hAnsi="Times New Roman"/>
          <w:sz w:val="24"/>
          <w:szCs w:val="24"/>
          <w:lang w:val="es-MX" w:eastAsia="es-MX"/>
        </w:rPr>
        <w:tab/>
      </w:r>
      <w:r w:rsidRPr="002A52A0">
        <w:rPr>
          <w:rFonts w:ascii="Times New Roman" w:hAnsi="Times New Roman"/>
          <w:sz w:val="24"/>
          <w:szCs w:val="24"/>
        </w:rPr>
        <w:t>INPE – Dirección Regional Centro - Huancayo</w:t>
      </w:r>
    </w:p>
    <w:p w:rsidR="00066DAA" w:rsidRPr="002A52A0" w:rsidRDefault="00066DAA" w:rsidP="002A52A0">
      <w:pPr>
        <w:widowControl w:val="0"/>
        <w:spacing w:after="0" w:line="240" w:lineRule="auto"/>
        <w:ind w:left="2835" w:hanging="2835"/>
        <w:jc w:val="both"/>
        <w:rPr>
          <w:rFonts w:ascii="Times New Roman" w:eastAsia="Times New Roman" w:hAnsi="Times New Roman"/>
          <w:snapToGrid w:val="0"/>
          <w:sz w:val="24"/>
          <w:szCs w:val="24"/>
          <w:lang w:eastAsia="es-MX"/>
        </w:rPr>
      </w:pPr>
    </w:p>
    <w:p w:rsidR="00066DAA" w:rsidRPr="002A52A0" w:rsidRDefault="00066DAA" w:rsidP="002A52A0">
      <w:pPr>
        <w:widowControl w:val="0"/>
        <w:tabs>
          <w:tab w:val="left" w:pos="1980"/>
        </w:tabs>
        <w:spacing w:after="0" w:line="240" w:lineRule="auto"/>
        <w:ind w:left="2880" w:hanging="2880"/>
        <w:jc w:val="both"/>
        <w:rPr>
          <w:rFonts w:ascii="Times New Roman" w:eastAsia="Times New Roman" w:hAnsi="Times New Roman"/>
          <w:sz w:val="24"/>
          <w:szCs w:val="24"/>
          <w:lang w:val="es-ES_tradnl" w:eastAsia="es-MX"/>
        </w:rPr>
      </w:pPr>
      <w:r w:rsidRPr="002A52A0">
        <w:rPr>
          <w:rFonts w:ascii="Times New Roman" w:eastAsia="Times New Roman" w:hAnsi="Times New Roman"/>
          <w:b/>
          <w:sz w:val="24"/>
          <w:szCs w:val="24"/>
          <w:lang w:val="es-MX" w:eastAsia="es-MX"/>
        </w:rPr>
        <w:t>Referencia:</w:t>
      </w:r>
      <w:r w:rsidRPr="002A52A0">
        <w:rPr>
          <w:rFonts w:ascii="Times New Roman" w:eastAsia="Times New Roman" w:hAnsi="Times New Roman"/>
          <w:sz w:val="24"/>
          <w:szCs w:val="24"/>
          <w:lang w:val="es-MX" w:eastAsia="es-MX"/>
        </w:rPr>
        <w:tab/>
      </w:r>
      <w:r w:rsidRPr="002A52A0">
        <w:rPr>
          <w:rFonts w:ascii="Times New Roman" w:eastAsia="Times New Roman" w:hAnsi="Times New Roman"/>
          <w:sz w:val="24"/>
          <w:szCs w:val="24"/>
          <w:lang w:val="es-MX" w:eastAsia="es-MX"/>
        </w:rPr>
        <w:tab/>
      </w:r>
      <w:r w:rsidRPr="002A52A0">
        <w:rPr>
          <w:rFonts w:ascii="Times New Roman" w:eastAsia="Times New Roman" w:hAnsi="Times New Roman"/>
          <w:sz w:val="24"/>
          <w:szCs w:val="24"/>
          <w:lang w:val="es-ES_tradnl" w:eastAsia="es-MX"/>
        </w:rPr>
        <w:t>Concurso Público</w:t>
      </w:r>
      <w:r w:rsidR="00CC3CB8" w:rsidRPr="002A52A0">
        <w:rPr>
          <w:rFonts w:ascii="Times New Roman" w:eastAsia="Times New Roman" w:hAnsi="Times New Roman"/>
          <w:sz w:val="24"/>
          <w:szCs w:val="24"/>
          <w:lang w:val="es-ES_tradnl" w:eastAsia="es-MX"/>
        </w:rPr>
        <w:t xml:space="preserve"> </w:t>
      </w:r>
      <w:r w:rsidRPr="002A52A0">
        <w:rPr>
          <w:rFonts w:ascii="Times New Roman" w:eastAsia="Times New Roman" w:hAnsi="Times New Roman"/>
          <w:sz w:val="24"/>
          <w:szCs w:val="24"/>
          <w:lang w:val="es-ES_tradnl" w:eastAsia="es-MX"/>
        </w:rPr>
        <w:t xml:space="preserve">N° 002-2015-INPE/20 convocada para la contratación del “Servicio de alimentación para internos (as) niños y personal INPE que labora 24 X 48 horas de los establecimientos penitenciarios de Huancayo, Jauja y Concepción de la Oficina Regional Centro – Huancayo”. </w:t>
      </w:r>
    </w:p>
    <w:p w:rsidR="00066DAA" w:rsidRPr="002A52A0" w:rsidRDefault="00066DAA" w:rsidP="002A52A0">
      <w:pPr>
        <w:widowControl w:val="0"/>
        <w:pBdr>
          <w:bottom w:val="single" w:sz="6" w:space="1" w:color="auto"/>
        </w:pBdr>
        <w:spacing w:after="0" w:line="240" w:lineRule="auto"/>
        <w:jc w:val="both"/>
        <w:rPr>
          <w:rFonts w:ascii="Times New Roman" w:eastAsia="Times New Roman" w:hAnsi="Times New Roman"/>
          <w:sz w:val="24"/>
          <w:szCs w:val="24"/>
          <w:lang w:val="es-ES_tradnl" w:eastAsia="es-MX"/>
        </w:rPr>
      </w:pPr>
    </w:p>
    <w:p w:rsidR="00AA5061" w:rsidRPr="002A52A0" w:rsidRDefault="00AA5061" w:rsidP="002A52A0">
      <w:pPr>
        <w:widowControl w:val="0"/>
        <w:spacing w:after="0" w:line="240" w:lineRule="auto"/>
        <w:jc w:val="both"/>
        <w:rPr>
          <w:rFonts w:ascii="Times New Roman" w:eastAsia="Times New Roman" w:hAnsi="Times New Roman"/>
          <w:sz w:val="24"/>
          <w:szCs w:val="24"/>
          <w:lang w:val="es-MX" w:eastAsia="es-MX"/>
        </w:rPr>
      </w:pPr>
    </w:p>
    <w:p w:rsidR="00066DAA" w:rsidRPr="002A52A0" w:rsidRDefault="00066DAA" w:rsidP="002A52A0">
      <w:pPr>
        <w:widowControl w:val="0"/>
        <w:numPr>
          <w:ilvl w:val="0"/>
          <w:numId w:val="1"/>
        </w:numPr>
        <w:tabs>
          <w:tab w:val="clear" w:pos="360"/>
        </w:tabs>
        <w:spacing w:after="0" w:line="240" w:lineRule="auto"/>
        <w:ind w:left="567" w:hanging="567"/>
        <w:jc w:val="both"/>
        <w:rPr>
          <w:rFonts w:ascii="Times New Roman" w:eastAsia="Times New Roman" w:hAnsi="Times New Roman"/>
          <w:b/>
          <w:sz w:val="24"/>
          <w:szCs w:val="24"/>
          <w:lang w:val="es-MX" w:eastAsia="es-MX"/>
        </w:rPr>
      </w:pPr>
      <w:r w:rsidRPr="002A52A0">
        <w:rPr>
          <w:rFonts w:ascii="Times New Roman" w:eastAsia="Times New Roman" w:hAnsi="Times New Roman"/>
          <w:b/>
          <w:sz w:val="24"/>
          <w:szCs w:val="24"/>
          <w:lang w:val="es-MX" w:eastAsia="es-MX"/>
        </w:rPr>
        <w:t xml:space="preserve">ANTECEDENTES </w:t>
      </w:r>
    </w:p>
    <w:p w:rsidR="00066DAA" w:rsidRPr="002A52A0" w:rsidRDefault="00066DAA" w:rsidP="002A52A0">
      <w:pPr>
        <w:widowControl w:val="0"/>
        <w:spacing w:after="0" w:line="240" w:lineRule="auto"/>
        <w:jc w:val="both"/>
        <w:rPr>
          <w:rFonts w:ascii="Times New Roman" w:eastAsia="Times New Roman" w:hAnsi="Times New Roman"/>
          <w:sz w:val="24"/>
          <w:szCs w:val="24"/>
          <w:lang w:val="es-MX" w:eastAsia="es-MX"/>
        </w:rPr>
      </w:pPr>
    </w:p>
    <w:p w:rsidR="00066DAA" w:rsidRPr="002A52A0" w:rsidRDefault="00066DAA" w:rsidP="002A52A0">
      <w:pPr>
        <w:pStyle w:val="WW-Sangra3detindependiente"/>
        <w:widowControl/>
        <w:suppressAutoHyphens w:val="0"/>
        <w:ind w:left="2"/>
        <w:rPr>
          <w:szCs w:val="24"/>
        </w:rPr>
      </w:pPr>
      <w:r w:rsidRPr="002A52A0">
        <w:rPr>
          <w:szCs w:val="24"/>
        </w:rPr>
        <w:t xml:space="preserve">Mediante el </w:t>
      </w:r>
      <w:r w:rsidR="00C04EA2" w:rsidRPr="002A52A0">
        <w:rPr>
          <w:szCs w:val="24"/>
        </w:rPr>
        <w:t>Oficio N° 002</w:t>
      </w:r>
      <w:r w:rsidRPr="002A52A0">
        <w:rPr>
          <w:szCs w:val="24"/>
        </w:rPr>
        <w:t>-</w:t>
      </w:r>
      <w:r w:rsidR="00C04EA2" w:rsidRPr="002A52A0">
        <w:rPr>
          <w:szCs w:val="24"/>
        </w:rPr>
        <w:t>2015-INPE/20.COMITE.Hcyo</w:t>
      </w:r>
      <w:r w:rsidRPr="002A52A0">
        <w:rPr>
          <w:szCs w:val="24"/>
        </w:rPr>
        <w:t xml:space="preserve">, recibido el </w:t>
      </w:r>
      <w:r w:rsidR="00C04EA2" w:rsidRPr="002A52A0">
        <w:rPr>
          <w:szCs w:val="24"/>
        </w:rPr>
        <w:t>03.08</w:t>
      </w:r>
      <w:r w:rsidRPr="002A52A0">
        <w:rPr>
          <w:szCs w:val="24"/>
        </w:rPr>
        <w:t>.15, el Presidente del Comité Especial remitió al Organismo Supervisor de las Contrataci</w:t>
      </w:r>
      <w:r w:rsidR="00CF281D" w:rsidRPr="002A52A0">
        <w:rPr>
          <w:szCs w:val="24"/>
        </w:rPr>
        <w:t>ones del Estado (OSCE) las dos (2</w:t>
      </w:r>
      <w:r w:rsidRPr="002A52A0">
        <w:rPr>
          <w:szCs w:val="24"/>
        </w:rPr>
        <w:t xml:space="preserve">) observaciones </w:t>
      </w:r>
      <w:r w:rsidR="00CF281D" w:rsidRPr="002A52A0">
        <w:rPr>
          <w:szCs w:val="24"/>
        </w:rPr>
        <w:t>formulada</w:t>
      </w:r>
      <w:r w:rsidR="00921785" w:rsidRPr="002A52A0">
        <w:rPr>
          <w:szCs w:val="24"/>
        </w:rPr>
        <w:t>s por la</w:t>
      </w:r>
      <w:r w:rsidRPr="002A52A0">
        <w:rPr>
          <w:szCs w:val="24"/>
        </w:rPr>
        <w:t xml:space="preserve"> participante</w:t>
      </w:r>
      <w:r w:rsidR="00FB0528" w:rsidRPr="002A52A0">
        <w:rPr>
          <w:szCs w:val="24"/>
        </w:rPr>
        <w:t xml:space="preserve"> </w:t>
      </w:r>
      <w:r w:rsidR="00CF281D" w:rsidRPr="002A52A0">
        <w:rPr>
          <w:b/>
          <w:szCs w:val="24"/>
        </w:rPr>
        <w:t>JUANA GRANDEZ PEÑAHERRERA</w:t>
      </w:r>
      <w:r w:rsidRPr="002A52A0">
        <w:rPr>
          <w:szCs w:val="24"/>
        </w:rPr>
        <w:t xml:space="preserve">; así como el informe técnico respectivo, en cumplimiento de lo dispuesto por el artículo 28º del Decreto Legislativo Nº 1017, que aprueba la Ley de </w:t>
      </w:r>
      <w:r w:rsidR="003D1611" w:rsidRPr="00F751FC">
        <w:rPr>
          <w:noProof/>
          <w:color w:val="000000" w:themeColor="text1"/>
          <w:lang w:val="es-PE"/>
        </w:rPr>
        <w:drawing>
          <wp:anchor distT="0" distB="0" distL="114300" distR="114300" simplePos="0" relativeHeight="251661312" behindDoc="1" locked="0" layoutInCell="1" allowOverlap="1" wp14:anchorId="5A45CF47" wp14:editId="432DB102">
            <wp:simplePos x="0" y="0"/>
            <wp:positionH relativeFrom="leftMargin">
              <wp:posOffset>299720</wp:posOffset>
            </wp:positionH>
            <wp:positionV relativeFrom="paragraph">
              <wp:posOffset>519430</wp:posOffset>
            </wp:positionV>
            <wp:extent cx="819150" cy="351091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A52A0">
        <w:rPr>
          <w:szCs w:val="24"/>
        </w:rPr>
        <w:t>Contrataciones del Estado, en adelante la Ley, y el artículo 58º de su Reglamento, aprobado por Decreto Supremo Nº184-2008-EF, en adelante el Reglamento.</w:t>
      </w:r>
    </w:p>
    <w:p w:rsidR="00921785" w:rsidRPr="002A52A0" w:rsidRDefault="00921785" w:rsidP="002A52A0">
      <w:pPr>
        <w:pStyle w:val="WW-Sangra3detindependiente"/>
        <w:widowControl/>
        <w:suppressAutoHyphens w:val="0"/>
        <w:ind w:left="2"/>
        <w:rPr>
          <w:szCs w:val="24"/>
        </w:rPr>
      </w:pPr>
    </w:p>
    <w:p w:rsidR="00921785" w:rsidRPr="002A52A0" w:rsidRDefault="00921785" w:rsidP="002A52A0">
      <w:pPr>
        <w:pStyle w:val="WW-Sangra3detindependiente"/>
        <w:suppressAutoHyphens w:val="0"/>
        <w:ind w:left="1" w:right="-1"/>
        <w:rPr>
          <w:szCs w:val="24"/>
          <w:lang w:val="es-PE"/>
        </w:rPr>
      </w:pPr>
      <w:r w:rsidRPr="002A52A0">
        <w:rPr>
          <w:szCs w:val="24"/>
          <w:lang w:val="es-PE" w:eastAsia="es-ES"/>
        </w:rPr>
        <w:t xml:space="preserve">Al respecto, resulta importante resaltar que, </w:t>
      </w:r>
      <w:r w:rsidRPr="002A52A0">
        <w:rPr>
          <w:szCs w:val="24"/>
          <w:lang w:val="es-PE"/>
        </w:rPr>
        <w:t xml:space="preserve">atendiendo a lo dispuesto por el artículo 58° del Reglamento, independientemente de la denominación que les haya dado el participante, este Organismo Supervisor se pronunciará únicamente respecto de:  </w:t>
      </w:r>
      <w:r w:rsidRPr="002A52A0">
        <w:rPr>
          <w:szCs w:val="24"/>
          <w:u w:val="single"/>
          <w:lang w:val="es-PE"/>
        </w:rPr>
        <w:t>a) las observaciones presentadas por el solicitante que no hayan sido acogidas o son acogidas parcialmente</w:t>
      </w:r>
      <w:r w:rsidRPr="002A52A0">
        <w:rPr>
          <w:szCs w:val="24"/>
          <w:lang w:val="es-PE"/>
        </w:rPr>
        <w:t>; b) las respuestas a las observaciones del solicitante que, pese a ser acogidas, son consideradas por éste contrarias a la normativa; o, c) el acogimiento de las observaciones formuladas por un participante distinto al solicitante, cuando este último manifieste que considera tal acogimiento contrario a la normativa; siempre que el solicitante se haya registrado como participante hasta el vencimiento del plazo previsto para formular observaciones.</w:t>
      </w:r>
    </w:p>
    <w:p w:rsidR="00921785" w:rsidRPr="002A52A0" w:rsidRDefault="00921785" w:rsidP="002A52A0">
      <w:pPr>
        <w:pStyle w:val="WW-Sangra3detindependiente"/>
        <w:suppressAutoHyphens w:val="0"/>
        <w:ind w:left="1" w:right="-1"/>
        <w:rPr>
          <w:szCs w:val="24"/>
          <w:lang w:val="es-PE"/>
        </w:rPr>
      </w:pPr>
    </w:p>
    <w:p w:rsidR="00921785" w:rsidRPr="002A52A0" w:rsidRDefault="00921785" w:rsidP="002A52A0">
      <w:pPr>
        <w:pStyle w:val="WW-Sangra3detindependiente"/>
        <w:suppressAutoHyphens w:val="0"/>
        <w:ind w:left="1" w:right="-1"/>
        <w:rPr>
          <w:szCs w:val="24"/>
          <w:lang w:val="es-PE"/>
        </w:rPr>
      </w:pPr>
      <w:r w:rsidRPr="002A52A0">
        <w:rPr>
          <w:szCs w:val="24"/>
          <w:lang w:val="es-PE"/>
        </w:rPr>
        <w:t>Sobre el particular, en la medida que la Observación N° 2</w:t>
      </w:r>
      <w:r w:rsidRPr="002A52A0">
        <w:rPr>
          <w:rFonts w:eastAsia="MS Mincho"/>
          <w:szCs w:val="24"/>
          <w:lang w:eastAsia="es-ES"/>
        </w:rPr>
        <w:t xml:space="preserve"> de la participante </w:t>
      </w:r>
      <w:r w:rsidRPr="002A52A0">
        <w:rPr>
          <w:b/>
          <w:szCs w:val="24"/>
        </w:rPr>
        <w:t>JUANA GRANDEZ PEÑAHERRERA</w:t>
      </w:r>
      <w:r w:rsidR="00FB0528" w:rsidRPr="002A52A0">
        <w:rPr>
          <w:b/>
          <w:szCs w:val="24"/>
        </w:rPr>
        <w:t xml:space="preserve"> </w:t>
      </w:r>
      <w:r w:rsidRPr="002A52A0">
        <w:rPr>
          <w:szCs w:val="24"/>
          <w:lang w:val="es-PE"/>
        </w:rPr>
        <w:t>fue acogida</w:t>
      </w:r>
      <w:r w:rsidR="002578AA">
        <w:rPr>
          <w:szCs w:val="24"/>
          <w:lang w:val="es-PE"/>
        </w:rPr>
        <w:t xml:space="preserve"> parcialmente</w:t>
      </w:r>
      <w:r w:rsidRPr="002A52A0">
        <w:rPr>
          <w:szCs w:val="24"/>
          <w:lang w:val="es-PE"/>
        </w:rPr>
        <w:t xml:space="preserve">, este Organismo Supervisor </w:t>
      </w:r>
      <w:r w:rsidR="00FB0528" w:rsidRPr="002A52A0">
        <w:rPr>
          <w:szCs w:val="24"/>
          <w:lang w:val="es-PE"/>
        </w:rPr>
        <w:t xml:space="preserve">se </w:t>
      </w:r>
      <w:r w:rsidRPr="002A52A0">
        <w:rPr>
          <w:szCs w:val="24"/>
          <w:lang w:val="es-PE"/>
        </w:rPr>
        <w:t xml:space="preserve">pronunciará </w:t>
      </w:r>
      <w:r w:rsidR="00FB0528" w:rsidRPr="002A52A0">
        <w:rPr>
          <w:szCs w:val="24"/>
          <w:lang w:val="es-PE"/>
        </w:rPr>
        <w:t xml:space="preserve">únicamente </w:t>
      </w:r>
      <w:r w:rsidRPr="002A52A0">
        <w:rPr>
          <w:szCs w:val="24"/>
          <w:lang w:val="es-PE"/>
        </w:rPr>
        <w:t xml:space="preserve">respecto del extremo </w:t>
      </w:r>
      <w:r w:rsidR="00FB0528" w:rsidRPr="002A52A0">
        <w:rPr>
          <w:szCs w:val="24"/>
          <w:lang w:val="es-PE"/>
        </w:rPr>
        <w:t xml:space="preserve">no </w:t>
      </w:r>
      <w:r w:rsidRPr="002A52A0">
        <w:rPr>
          <w:szCs w:val="24"/>
          <w:lang w:val="es-PE"/>
        </w:rPr>
        <w:t>acogido.</w:t>
      </w:r>
    </w:p>
    <w:p w:rsidR="00921785" w:rsidRPr="002A52A0" w:rsidRDefault="00921785" w:rsidP="002A52A0">
      <w:pPr>
        <w:pStyle w:val="WW-Sangra3detindependiente"/>
        <w:suppressAutoHyphens w:val="0"/>
        <w:ind w:left="1" w:right="-1"/>
        <w:rPr>
          <w:szCs w:val="24"/>
          <w:lang w:val="es-PE"/>
        </w:rPr>
      </w:pPr>
    </w:p>
    <w:p w:rsidR="00066DAA" w:rsidRPr="002A52A0" w:rsidRDefault="00921785" w:rsidP="002A52A0">
      <w:pPr>
        <w:pStyle w:val="WW-Textoindependiente2"/>
        <w:tabs>
          <w:tab w:val="left" w:pos="0"/>
        </w:tabs>
        <w:ind w:right="-1"/>
        <w:rPr>
          <w:rFonts w:ascii="Times New Roman" w:hAnsi="Times New Roman"/>
          <w:lang w:val="es-PE"/>
        </w:rPr>
      </w:pPr>
      <w:r w:rsidRPr="002A52A0">
        <w:rPr>
          <w:rFonts w:ascii="Times New Roman" w:hAnsi="Times New Roman"/>
          <w:lang w:val="es-PE"/>
        </w:rPr>
        <w:t>Sin perjuicio de las observaciones de oficio que se formulen respecto al contenido de las Bases, de conformidad con el inciso a) del artículo 58° de la Ley.</w:t>
      </w:r>
    </w:p>
    <w:p w:rsidR="00921785" w:rsidRPr="002A52A0" w:rsidRDefault="00921785"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FB0528" w:rsidRPr="002A52A0" w:rsidRDefault="00FB0528" w:rsidP="002A52A0">
      <w:pPr>
        <w:pStyle w:val="WW-Textoindependiente2"/>
        <w:tabs>
          <w:tab w:val="left" w:pos="0"/>
        </w:tabs>
        <w:ind w:right="-1"/>
        <w:rPr>
          <w:rFonts w:ascii="Times New Roman" w:hAnsi="Times New Roman"/>
          <w:lang w:val="es-PE"/>
        </w:rPr>
      </w:pPr>
    </w:p>
    <w:p w:rsidR="00066DAA" w:rsidRPr="002A52A0" w:rsidRDefault="00066DAA" w:rsidP="002A52A0">
      <w:pPr>
        <w:widowControl w:val="0"/>
        <w:numPr>
          <w:ilvl w:val="0"/>
          <w:numId w:val="1"/>
        </w:numPr>
        <w:tabs>
          <w:tab w:val="clear" w:pos="360"/>
        </w:tabs>
        <w:spacing w:after="0" w:line="240" w:lineRule="auto"/>
        <w:ind w:left="284" w:hanging="284"/>
        <w:jc w:val="both"/>
        <w:rPr>
          <w:rFonts w:ascii="Times New Roman" w:hAnsi="Times New Roman"/>
          <w:b/>
          <w:sz w:val="24"/>
          <w:szCs w:val="24"/>
        </w:rPr>
      </w:pPr>
      <w:r w:rsidRPr="002A52A0">
        <w:rPr>
          <w:rFonts w:ascii="Times New Roman" w:eastAsia="Times New Roman" w:hAnsi="Times New Roman"/>
          <w:b/>
          <w:sz w:val="24"/>
          <w:szCs w:val="24"/>
          <w:lang w:val="es-MX" w:eastAsia="es-MX"/>
        </w:rPr>
        <w:lastRenderedPageBreak/>
        <w:t xml:space="preserve">OBSERVACIONES </w:t>
      </w:r>
      <w:r w:rsidRPr="002A52A0">
        <w:rPr>
          <w:rFonts w:ascii="Times New Roman" w:eastAsia="Times New Roman" w:hAnsi="Times New Roman"/>
          <w:b/>
          <w:sz w:val="24"/>
          <w:szCs w:val="24"/>
          <w:lang w:val="es-MX" w:eastAsia="es-MX"/>
        </w:rPr>
        <w:cr/>
      </w:r>
    </w:p>
    <w:p w:rsidR="00066DAA" w:rsidRPr="002A52A0" w:rsidRDefault="00066DAA" w:rsidP="002A52A0">
      <w:pPr>
        <w:widowControl w:val="0"/>
        <w:spacing w:after="0" w:line="240" w:lineRule="auto"/>
        <w:ind w:left="3969" w:hanging="3969"/>
        <w:jc w:val="both"/>
        <w:rPr>
          <w:rFonts w:ascii="Times New Roman" w:hAnsi="Times New Roman"/>
          <w:b/>
          <w:sz w:val="24"/>
          <w:szCs w:val="24"/>
        </w:rPr>
      </w:pPr>
      <w:r w:rsidRPr="002A52A0">
        <w:rPr>
          <w:rFonts w:ascii="Times New Roman" w:eastAsia="Times New Roman" w:hAnsi="Times New Roman"/>
          <w:b/>
          <w:sz w:val="24"/>
          <w:szCs w:val="24"/>
          <w:lang w:val="es-ES" w:eastAsia="es-MX"/>
        </w:rPr>
        <w:t>Observante</w:t>
      </w:r>
      <w:r w:rsidRPr="002A52A0">
        <w:rPr>
          <w:rFonts w:ascii="Times New Roman" w:eastAsia="Times New Roman" w:hAnsi="Times New Roman"/>
          <w:b/>
          <w:sz w:val="24"/>
          <w:szCs w:val="24"/>
          <w:lang w:eastAsia="es-MX"/>
        </w:rPr>
        <w:t xml:space="preserve">: </w:t>
      </w:r>
      <w:r w:rsidRPr="002A52A0">
        <w:rPr>
          <w:rFonts w:ascii="Times New Roman" w:eastAsia="Times New Roman" w:hAnsi="Times New Roman"/>
          <w:b/>
          <w:sz w:val="24"/>
          <w:szCs w:val="24"/>
          <w:lang w:eastAsia="es-MX"/>
        </w:rPr>
        <w:tab/>
      </w:r>
      <w:r w:rsidR="00052DB9" w:rsidRPr="002A52A0">
        <w:rPr>
          <w:rFonts w:ascii="Times New Roman" w:hAnsi="Times New Roman"/>
          <w:b/>
          <w:sz w:val="24"/>
          <w:szCs w:val="24"/>
        </w:rPr>
        <w:t>JUANA GRANDEZ PEÑAHERRERA</w:t>
      </w:r>
    </w:p>
    <w:p w:rsidR="00066DAA" w:rsidRPr="002A52A0" w:rsidRDefault="00066DAA" w:rsidP="002A52A0">
      <w:pPr>
        <w:widowControl w:val="0"/>
        <w:spacing w:after="0" w:line="240" w:lineRule="auto"/>
        <w:ind w:left="3969" w:hanging="3969"/>
        <w:jc w:val="both"/>
        <w:rPr>
          <w:rFonts w:ascii="Times New Roman" w:hAnsi="Times New Roman"/>
          <w:b/>
          <w:sz w:val="24"/>
          <w:szCs w:val="24"/>
        </w:rPr>
      </w:pPr>
    </w:p>
    <w:p w:rsidR="00066DAA" w:rsidRPr="002A52A0" w:rsidRDefault="00052DB9" w:rsidP="002A52A0">
      <w:pPr>
        <w:widowControl w:val="0"/>
        <w:spacing w:after="0" w:line="240" w:lineRule="auto"/>
        <w:ind w:left="3969" w:hanging="3969"/>
        <w:jc w:val="both"/>
        <w:rPr>
          <w:rFonts w:ascii="Times New Roman" w:hAnsi="Times New Roman"/>
          <w:b/>
          <w:sz w:val="24"/>
          <w:szCs w:val="24"/>
        </w:rPr>
      </w:pPr>
      <w:r w:rsidRPr="002A52A0">
        <w:rPr>
          <w:rFonts w:ascii="Times New Roman" w:hAnsi="Times New Roman"/>
          <w:b/>
          <w:sz w:val="24"/>
          <w:szCs w:val="24"/>
        </w:rPr>
        <w:t>Observación N° 1</w:t>
      </w:r>
      <w:r w:rsidRPr="002A52A0">
        <w:rPr>
          <w:rFonts w:ascii="Times New Roman" w:hAnsi="Times New Roman"/>
          <w:b/>
          <w:sz w:val="24"/>
          <w:szCs w:val="24"/>
        </w:rPr>
        <w:tab/>
        <w:t xml:space="preserve">Contra el Factor de Evaluación – Experiencia en la Actividad </w:t>
      </w:r>
    </w:p>
    <w:p w:rsidR="00052DB9" w:rsidRPr="002A52A0" w:rsidRDefault="00052DB9" w:rsidP="002A52A0">
      <w:pPr>
        <w:widowControl w:val="0"/>
        <w:spacing w:after="0" w:line="240" w:lineRule="auto"/>
        <w:ind w:left="3969" w:hanging="3969"/>
        <w:jc w:val="both"/>
        <w:rPr>
          <w:rFonts w:ascii="Times New Roman" w:hAnsi="Times New Roman"/>
          <w:sz w:val="24"/>
          <w:szCs w:val="24"/>
        </w:rPr>
      </w:pPr>
    </w:p>
    <w:p w:rsidR="00CC3CB8" w:rsidRPr="002A52A0" w:rsidRDefault="00CC3CB8" w:rsidP="002A52A0">
      <w:pPr>
        <w:widowControl w:val="0"/>
        <w:spacing w:after="0" w:line="240" w:lineRule="auto"/>
        <w:jc w:val="both"/>
        <w:rPr>
          <w:rFonts w:ascii="Times New Roman" w:hAnsi="Times New Roman"/>
          <w:sz w:val="24"/>
          <w:szCs w:val="24"/>
        </w:rPr>
      </w:pPr>
      <w:r w:rsidRPr="002A52A0">
        <w:rPr>
          <w:rFonts w:ascii="Times New Roman" w:hAnsi="Times New Roman"/>
          <w:sz w:val="24"/>
          <w:szCs w:val="24"/>
        </w:rPr>
        <w:t xml:space="preserve">El participante cuestiona la forma de acreditación del factor “Experiencia del postor”, pues sostiene que requerir la presentación de </w:t>
      </w:r>
      <w:proofErr w:type="spellStart"/>
      <w:r w:rsidRPr="002A52A0">
        <w:rPr>
          <w:rFonts w:ascii="Times New Roman" w:hAnsi="Times New Roman"/>
          <w:sz w:val="24"/>
          <w:szCs w:val="24"/>
        </w:rPr>
        <w:t>voucher</w:t>
      </w:r>
      <w:proofErr w:type="spellEnd"/>
      <w:r w:rsidRPr="002A52A0">
        <w:rPr>
          <w:rFonts w:ascii="Times New Roman" w:hAnsi="Times New Roman"/>
          <w:sz w:val="24"/>
          <w:szCs w:val="24"/>
        </w:rPr>
        <w:t xml:space="preserve"> de depósito o reporte de estado de cuenta de entidades del Sistema Bancario y Financiero Nacional contraviene el Principio de Razonabilidad, dado que el Comité Especial no habría tenido en consideración que en muchos casos los montos de los contratos que sirvan para acreditar experiencia podrían ser elevados y, por tanto, la remisión de estado de cuenta o </w:t>
      </w:r>
      <w:proofErr w:type="spellStart"/>
      <w:r w:rsidRPr="002A52A0">
        <w:rPr>
          <w:rFonts w:ascii="Times New Roman" w:hAnsi="Times New Roman"/>
          <w:sz w:val="24"/>
          <w:szCs w:val="24"/>
        </w:rPr>
        <w:t>vouchers</w:t>
      </w:r>
      <w:proofErr w:type="spellEnd"/>
      <w:r w:rsidRPr="002A52A0">
        <w:rPr>
          <w:rFonts w:ascii="Times New Roman" w:hAnsi="Times New Roman"/>
          <w:sz w:val="24"/>
          <w:szCs w:val="24"/>
        </w:rPr>
        <w:t xml:space="preserve"> de depósito o facturas resultarían por demás onerosas y engorrosas. </w:t>
      </w:r>
    </w:p>
    <w:p w:rsidR="00CC3CB8" w:rsidRPr="002A52A0" w:rsidRDefault="003D1611" w:rsidP="002A52A0">
      <w:pPr>
        <w:widowControl w:val="0"/>
        <w:spacing w:after="0" w:line="240" w:lineRule="auto"/>
        <w:jc w:val="both"/>
        <w:rPr>
          <w:rFonts w:ascii="Times New Roman" w:hAnsi="Times New Roman"/>
          <w:sz w:val="24"/>
          <w:szCs w:val="24"/>
        </w:rPr>
      </w:pPr>
      <w:r w:rsidRPr="00F751FC">
        <w:rPr>
          <w:noProof/>
          <w:color w:val="000000" w:themeColor="text1"/>
        </w:rPr>
        <w:drawing>
          <wp:anchor distT="0" distB="0" distL="114300" distR="114300" simplePos="0" relativeHeight="251663360" behindDoc="1" locked="0" layoutInCell="1" allowOverlap="1" wp14:anchorId="6074D328" wp14:editId="7CD5855C">
            <wp:simplePos x="0" y="0"/>
            <wp:positionH relativeFrom="leftMargin">
              <wp:posOffset>236855</wp:posOffset>
            </wp:positionH>
            <wp:positionV relativeFrom="paragraph">
              <wp:posOffset>65405</wp:posOffset>
            </wp:positionV>
            <wp:extent cx="819150" cy="3510915"/>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C3CB8" w:rsidRPr="002A52A0" w:rsidRDefault="00CC3CB8" w:rsidP="002A52A0">
      <w:pPr>
        <w:widowControl w:val="0"/>
        <w:spacing w:after="0" w:line="240" w:lineRule="auto"/>
        <w:jc w:val="both"/>
        <w:rPr>
          <w:rFonts w:ascii="Times New Roman" w:hAnsi="Times New Roman"/>
          <w:sz w:val="24"/>
          <w:szCs w:val="24"/>
        </w:rPr>
      </w:pPr>
      <w:r w:rsidRPr="002A52A0">
        <w:rPr>
          <w:rFonts w:ascii="Times New Roman" w:hAnsi="Times New Roman"/>
          <w:sz w:val="24"/>
          <w:szCs w:val="24"/>
        </w:rPr>
        <w:t xml:space="preserve">Asimismo, señala que la forma como se solicita en las Bases la acreditación de la experiencia del postor contraviene el Principio de Presunción de Veracidad contenido en la Ley 27444, puesto que se presume que la presentación de la documentación presentada es veraz y válida en tanto no se acredite lo contrario. </w:t>
      </w:r>
    </w:p>
    <w:p w:rsidR="00CC3CB8" w:rsidRPr="002A52A0" w:rsidRDefault="00CC3CB8" w:rsidP="002A52A0">
      <w:pPr>
        <w:widowControl w:val="0"/>
        <w:spacing w:after="0" w:line="240" w:lineRule="auto"/>
        <w:jc w:val="both"/>
        <w:rPr>
          <w:rFonts w:ascii="Times New Roman" w:hAnsi="Times New Roman"/>
          <w:sz w:val="24"/>
          <w:szCs w:val="24"/>
        </w:rPr>
      </w:pPr>
    </w:p>
    <w:p w:rsidR="00CC3CB8" w:rsidRPr="002A52A0" w:rsidRDefault="00CC3CB8" w:rsidP="002A52A0">
      <w:pPr>
        <w:widowControl w:val="0"/>
        <w:spacing w:after="0" w:line="240" w:lineRule="auto"/>
        <w:jc w:val="both"/>
        <w:rPr>
          <w:rFonts w:ascii="Times New Roman" w:hAnsi="Times New Roman"/>
          <w:sz w:val="24"/>
          <w:szCs w:val="24"/>
        </w:rPr>
      </w:pPr>
      <w:r w:rsidRPr="002A52A0">
        <w:rPr>
          <w:rFonts w:ascii="Times New Roman" w:hAnsi="Times New Roman"/>
          <w:sz w:val="24"/>
          <w:szCs w:val="24"/>
        </w:rPr>
        <w:t xml:space="preserve">Adicionalmente, agrega que </w:t>
      </w:r>
      <w:r w:rsidR="002A52A0" w:rsidRPr="002A52A0">
        <w:rPr>
          <w:rFonts w:ascii="Times New Roman" w:hAnsi="Times New Roman"/>
          <w:sz w:val="24"/>
          <w:szCs w:val="24"/>
        </w:rPr>
        <w:t>la normativa de contratación pública no ha establecido una distinción sobre la forma de acreditación cuando la experiencia es obtenida con empresas privadas.</w:t>
      </w:r>
    </w:p>
    <w:p w:rsidR="00CC3CB8" w:rsidRPr="002A52A0" w:rsidRDefault="00CC3CB8" w:rsidP="002A52A0">
      <w:pPr>
        <w:widowControl w:val="0"/>
        <w:spacing w:after="0" w:line="240" w:lineRule="auto"/>
        <w:jc w:val="both"/>
        <w:rPr>
          <w:rFonts w:ascii="Times New Roman" w:hAnsi="Times New Roman"/>
          <w:sz w:val="24"/>
          <w:szCs w:val="24"/>
        </w:rPr>
      </w:pPr>
    </w:p>
    <w:p w:rsidR="002A52A0" w:rsidRPr="002A52A0" w:rsidRDefault="00CC3CB8" w:rsidP="002A52A0">
      <w:pPr>
        <w:widowControl w:val="0"/>
        <w:spacing w:after="0" w:line="240" w:lineRule="auto"/>
        <w:jc w:val="both"/>
        <w:rPr>
          <w:rFonts w:ascii="Times New Roman" w:hAnsi="Times New Roman"/>
          <w:i/>
          <w:sz w:val="24"/>
          <w:szCs w:val="24"/>
        </w:rPr>
      </w:pPr>
      <w:r w:rsidRPr="002A52A0">
        <w:rPr>
          <w:rFonts w:ascii="Times New Roman" w:hAnsi="Times New Roman"/>
          <w:sz w:val="24"/>
          <w:szCs w:val="24"/>
        </w:rPr>
        <w:t xml:space="preserve">Por lo tanto, solicita </w:t>
      </w:r>
      <w:r w:rsidR="002A52A0" w:rsidRPr="002A52A0">
        <w:rPr>
          <w:rFonts w:ascii="Times New Roman" w:hAnsi="Times New Roman"/>
          <w:sz w:val="24"/>
          <w:szCs w:val="24"/>
        </w:rPr>
        <w:t xml:space="preserve">que se elimine lo siguiente: </w:t>
      </w:r>
      <w:r w:rsidR="002A52A0" w:rsidRPr="002A52A0">
        <w:rPr>
          <w:rFonts w:ascii="Times New Roman" w:hAnsi="Times New Roman"/>
          <w:i/>
          <w:sz w:val="24"/>
          <w:szCs w:val="24"/>
        </w:rPr>
        <w:t>"En caso que la experiencia sea entre empresas privadas además de los contratos u órdenes de servicio, y su respectiva conformidad por la prestación efectuada, deberá presentar  obligatoriamente copia de comprobantes de pago  y  adjuntar  Boucher de depósito o reporte de estado de cuenta de entidades del Sistema Bancario y Financiero Nacional)".</w:t>
      </w:r>
    </w:p>
    <w:p w:rsidR="002A52A0" w:rsidRPr="002A52A0" w:rsidRDefault="002A52A0" w:rsidP="002A52A0">
      <w:pPr>
        <w:pStyle w:val="Sinespaciado"/>
        <w:jc w:val="both"/>
        <w:rPr>
          <w:rFonts w:ascii="Times New Roman" w:hAnsi="Times New Roman"/>
          <w:sz w:val="24"/>
          <w:szCs w:val="24"/>
        </w:rPr>
      </w:pPr>
    </w:p>
    <w:p w:rsidR="00066DAA" w:rsidRPr="002A52A0" w:rsidRDefault="00066DAA" w:rsidP="002A52A0">
      <w:pPr>
        <w:pStyle w:val="Sinespaciado"/>
        <w:jc w:val="both"/>
        <w:rPr>
          <w:rFonts w:ascii="Times New Roman" w:hAnsi="Times New Roman"/>
          <w:b/>
          <w:sz w:val="24"/>
          <w:szCs w:val="24"/>
        </w:rPr>
      </w:pPr>
      <w:r w:rsidRPr="002A52A0">
        <w:rPr>
          <w:rFonts w:ascii="Times New Roman" w:hAnsi="Times New Roman"/>
          <w:b/>
          <w:sz w:val="24"/>
          <w:szCs w:val="24"/>
        </w:rPr>
        <w:t>Pronunciamiento</w:t>
      </w:r>
    </w:p>
    <w:p w:rsidR="00066DAA" w:rsidRPr="002A52A0" w:rsidRDefault="00066DAA" w:rsidP="002A52A0">
      <w:pPr>
        <w:pStyle w:val="Sinespaciado"/>
        <w:jc w:val="both"/>
        <w:rPr>
          <w:rFonts w:ascii="Times New Roman" w:hAnsi="Times New Roman"/>
          <w:b/>
          <w:sz w:val="24"/>
          <w:szCs w:val="24"/>
        </w:rPr>
      </w:pPr>
    </w:p>
    <w:p w:rsidR="008B4F25" w:rsidRDefault="00066DAA" w:rsidP="002A52A0">
      <w:pPr>
        <w:widowControl w:val="0"/>
        <w:tabs>
          <w:tab w:val="left" w:pos="3969"/>
        </w:tabs>
        <w:spacing w:after="0" w:line="240" w:lineRule="auto"/>
        <w:jc w:val="both"/>
        <w:rPr>
          <w:rFonts w:ascii="Times New Roman" w:hAnsi="Times New Roman"/>
          <w:sz w:val="24"/>
          <w:szCs w:val="24"/>
        </w:rPr>
      </w:pPr>
      <w:r w:rsidRPr="002A52A0">
        <w:rPr>
          <w:rFonts w:ascii="Times New Roman" w:hAnsi="Times New Roman"/>
          <w:sz w:val="24"/>
          <w:szCs w:val="24"/>
        </w:rPr>
        <w:t xml:space="preserve">De la revisión de las Bases se advierte que en el </w:t>
      </w:r>
      <w:r w:rsidR="008B4F25" w:rsidRPr="002A52A0">
        <w:rPr>
          <w:rFonts w:ascii="Times New Roman" w:hAnsi="Times New Roman"/>
          <w:sz w:val="24"/>
          <w:szCs w:val="24"/>
        </w:rPr>
        <w:t>literal “A” Experiencia en la Actividad del Capítulo IV de la Sección Específica de las Bases, se señala lo siguiente:</w:t>
      </w:r>
    </w:p>
    <w:p w:rsidR="002A52A0" w:rsidRPr="002A52A0" w:rsidRDefault="002A52A0" w:rsidP="002A52A0">
      <w:pPr>
        <w:widowControl w:val="0"/>
        <w:spacing w:after="0" w:line="240" w:lineRule="auto"/>
        <w:jc w:val="both"/>
        <w:rPr>
          <w:rFonts w:ascii="Times New Roman" w:hAnsi="Times New Roman"/>
          <w:i/>
          <w:iCs/>
          <w:sz w:val="24"/>
          <w:szCs w:val="24"/>
        </w:rPr>
      </w:pPr>
    </w:p>
    <w:p w:rsidR="002A52A0" w:rsidRPr="002A52A0" w:rsidRDefault="002A52A0" w:rsidP="002A52A0">
      <w:pPr>
        <w:widowControl w:val="0"/>
        <w:spacing w:after="0" w:line="240" w:lineRule="auto"/>
        <w:jc w:val="both"/>
        <w:rPr>
          <w:rFonts w:ascii="Times New Roman" w:hAnsi="Times New Roman"/>
          <w:i/>
          <w:iCs/>
          <w:sz w:val="24"/>
          <w:szCs w:val="24"/>
        </w:rPr>
      </w:pPr>
      <w:r w:rsidRPr="002A52A0">
        <w:rPr>
          <w:rFonts w:ascii="Times New Roman" w:hAnsi="Times New Roman"/>
          <w:i/>
          <w:iCs/>
          <w:sz w:val="24"/>
          <w:szCs w:val="24"/>
        </w:rPr>
        <w:t xml:space="preserve">La experiencia se acreditará mediante copia simple de: contratos u órdenes de servicio, y su respectiva conformidad por la prestación efectuada; o mediante comprobantes de pago cuya cancelación  se acredite documental y fehacientemente (adjuntar  Boucher de depósito o reporte de estado de cuenta de entidades del Sistema Bancario y Financiero Nacional) y cancelación en el documento, correspondientes a un máximo de diez (10) servicios. </w:t>
      </w:r>
    </w:p>
    <w:p w:rsidR="002A52A0" w:rsidRPr="002A52A0" w:rsidRDefault="002A52A0" w:rsidP="002A52A0">
      <w:pPr>
        <w:widowControl w:val="0"/>
        <w:tabs>
          <w:tab w:val="left" w:pos="3969"/>
        </w:tabs>
        <w:spacing w:after="0" w:line="240" w:lineRule="auto"/>
        <w:jc w:val="both"/>
        <w:rPr>
          <w:rFonts w:ascii="Times New Roman" w:hAnsi="Times New Roman"/>
          <w:sz w:val="24"/>
          <w:szCs w:val="24"/>
        </w:rPr>
      </w:pPr>
    </w:p>
    <w:p w:rsidR="002A52A0" w:rsidRPr="002A52A0" w:rsidRDefault="002A52A0" w:rsidP="002A52A0">
      <w:pPr>
        <w:widowControl w:val="0"/>
        <w:spacing w:after="0" w:line="240" w:lineRule="auto"/>
        <w:jc w:val="both"/>
        <w:rPr>
          <w:rFonts w:ascii="Times New Roman" w:hAnsi="Times New Roman"/>
          <w:i/>
          <w:iCs/>
          <w:sz w:val="24"/>
          <w:szCs w:val="24"/>
        </w:rPr>
      </w:pPr>
      <w:r w:rsidRPr="002A52A0">
        <w:rPr>
          <w:rFonts w:ascii="Times New Roman" w:hAnsi="Times New Roman"/>
          <w:i/>
          <w:iCs/>
          <w:sz w:val="24"/>
          <w:szCs w:val="24"/>
        </w:rPr>
        <w:t xml:space="preserve">En caso que la experiencia sea entre empresas privadas además de los contratos u órdenes de servicio, y su respectiva conformidad por la prestación efectuada, deberá presentar  obligatoriamente copia de comprobantes de pago  y </w:t>
      </w:r>
      <w:r w:rsidRPr="002A52A0">
        <w:rPr>
          <w:rFonts w:ascii="Times New Roman" w:hAnsi="Times New Roman"/>
          <w:b/>
          <w:i/>
          <w:iCs/>
          <w:sz w:val="24"/>
          <w:szCs w:val="24"/>
        </w:rPr>
        <w:t xml:space="preserve"> adjuntar  Boucher de depósito o reporte de estado de cuenta de entidades del Sistema Bancario y Financiero Nacional</w:t>
      </w:r>
      <w:r w:rsidRPr="002A52A0">
        <w:rPr>
          <w:rFonts w:ascii="Times New Roman" w:hAnsi="Times New Roman"/>
          <w:i/>
          <w:iCs/>
          <w:sz w:val="24"/>
          <w:szCs w:val="24"/>
        </w:rPr>
        <w:t>).</w:t>
      </w:r>
    </w:p>
    <w:p w:rsidR="002A52A0" w:rsidRPr="002A52A0" w:rsidRDefault="002A52A0" w:rsidP="002A52A0">
      <w:pPr>
        <w:widowControl w:val="0"/>
        <w:tabs>
          <w:tab w:val="left" w:pos="3969"/>
        </w:tabs>
        <w:spacing w:after="0" w:line="240" w:lineRule="auto"/>
        <w:jc w:val="both"/>
        <w:rPr>
          <w:rFonts w:ascii="Times New Roman" w:hAnsi="Times New Roman"/>
          <w:sz w:val="24"/>
          <w:szCs w:val="24"/>
        </w:rPr>
      </w:pPr>
    </w:p>
    <w:p w:rsidR="002A52A0" w:rsidRPr="009023DA" w:rsidRDefault="002A52A0" w:rsidP="002A52A0">
      <w:pPr>
        <w:widowControl w:val="0"/>
        <w:spacing w:after="0" w:line="240" w:lineRule="auto"/>
        <w:jc w:val="both"/>
        <w:rPr>
          <w:rFonts w:ascii="Times New Roman" w:hAnsi="Times New Roman"/>
          <w:sz w:val="24"/>
          <w:szCs w:val="24"/>
        </w:rPr>
      </w:pPr>
      <w:r w:rsidRPr="009023DA">
        <w:rPr>
          <w:rFonts w:ascii="Times New Roman" w:hAnsi="Times New Roman"/>
          <w:sz w:val="24"/>
          <w:szCs w:val="24"/>
        </w:rPr>
        <w:t xml:space="preserve">Del pliego absolutorio de observaciones se advierte que al absolver la presente observación el Comité Especial no acoge lo solicitado por el participante, ratificando lo señalado en las Bases. </w:t>
      </w:r>
    </w:p>
    <w:p w:rsidR="002A52A0" w:rsidRPr="009023DA" w:rsidRDefault="002A52A0" w:rsidP="002A52A0">
      <w:pPr>
        <w:widowControl w:val="0"/>
        <w:spacing w:after="0" w:line="240" w:lineRule="auto"/>
        <w:ind w:left="2835" w:hanging="2835"/>
        <w:jc w:val="both"/>
        <w:rPr>
          <w:rFonts w:ascii="Times New Roman" w:hAnsi="Times New Roman"/>
          <w:sz w:val="24"/>
          <w:szCs w:val="24"/>
        </w:rPr>
      </w:pPr>
    </w:p>
    <w:p w:rsidR="002A52A0" w:rsidRDefault="002A52A0" w:rsidP="002A52A0">
      <w:pPr>
        <w:widowControl w:val="0"/>
        <w:spacing w:after="0" w:line="240" w:lineRule="auto"/>
        <w:jc w:val="both"/>
        <w:rPr>
          <w:rFonts w:ascii="Times New Roman" w:hAnsi="Times New Roman"/>
          <w:sz w:val="24"/>
          <w:szCs w:val="24"/>
        </w:rPr>
      </w:pPr>
      <w:r w:rsidRPr="009023DA">
        <w:rPr>
          <w:rFonts w:ascii="Times New Roman" w:hAnsi="Times New Roman"/>
          <w:sz w:val="24"/>
          <w:szCs w:val="24"/>
          <w:lang w:val="es-MX" w:eastAsia="es-MX"/>
        </w:rPr>
        <w:t xml:space="preserve">Al respecto, corresponde señalar que de acuerdo con lo dispuesto en el artículo 45° del Reglamento, la experiencia del postor se acredita mediante </w:t>
      </w:r>
      <w:r w:rsidRPr="009023DA">
        <w:rPr>
          <w:rFonts w:ascii="Times New Roman" w:hAnsi="Times New Roman"/>
          <w:sz w:val="24"/>
          <w:szCs w:val="24"/>
        </w:rPr>
        <w:t xml:space="preserve">la presentación de copia simple de: (i) contratos y </w:t>
      </w:r>
      <w:r w:rsidRPr="009023DA">
        <w:rPr>
          <w:rFonts w:ascii="Times New Roman" w:hAnsi="Times New Roman"/>
          <w:sz w:val="24"/>
          <w:szCs w:val="24"/>
          <w:u w:val="single"/>
        </w:rPr>
        <w:t>su respectiva conformidad</w:t>
      </w:r>
      <w:r w:rsidRPr="009023DA">
        <w:rPr>
          <w:rFonts w:ascii="Times New Roman" w:hAnsi="Times New Roman"/>
          <w:sz w:val="24"/>
          <w:szCs w:val="24"/>
        </w:rPr>
        <w:t xml:space="preserve">; o (ii) </w:t>
      </w:r>
      <w:r w:rsidRPr="009023DA">
        <w:rPr>
          <w:rFonts w:ascii="Times New Roman" w:hAnsi="Times New Roman"/>
          <w:sz w:val="24"/>
          <w:szCs w:val="24"/>
          <w:u w:val="single"/>
        </w:rPr>
        <w:t>comprobantes de pago</w:t>
      </w:r>
      <w:r w:rsidRPr="009023DA">
        <w:rPr>
          <w:rFonts w:ascii="Times New Roman" w:hAnsi="Times New Roman"/>
          <w:sz w:val="24"/>
          <w:szCs w:val="24"/>
        </w:rPr>
        <w:t xml:space="preserve">, cuya cancelación se acredite documental y fehacientemente, a efectos de generarle certeza a la Entidad que las prestaciones a las cuales hace referencia los postores fueron ejecutadas y canceladas. </w:t>
      </w:r>
    </w:p>
    <w:p w:rsidR="00E1797E" w:rsidRPr="009023DA" w:rsidRDefault="00E1797E" w:rsidP="002A52A0">
      <w:pPr>
        <w:widowControl w:val="0"/>
        <w:spacing w:after="0" w:line="240" w:lineRule="auto"/>
        <w:jc w:val="both"/>
        <w:rPr>
          <w:rFonts w:ascii="Times New Roman" w:hAnsi="Times New Roman"/>
          <w:sz w:val="24"/>
          <w:szCs w:val="24"/>
        </w:rPr>
      </w:pPr>
    </w:p>
    <w:p w:rsidR="002A52A0" w:rsidRPr="009023DA" w:rsidRDefault="003D1611" w:rsidP="002A52A0">
      <w:pPr>
        <w:widowControl w:val="0"/>
        <w:spacing w:after="0" w:line="240" w:lineRule="auto"/>
        <w:jc w:val="both"/>
        <w:rPr>
          <w:rFonts w:ascii="Times New Roman" w:hAnsi="Times New Roman"/>
          <w:i/>
          <w:iCs/>
          <w:sz w:val="24"/>
          <w:szCs w:val="24"/>
          <w:lang w:eastAsia="es-ES"/>
        </w:rPr>
      </w:pPr>
      <w:r w:rsidRPr="00F751FC">
        <w:rPr>
          <w:noProof/>
          <w:color w:val="000000" w:themeColor="text1"/>
        </w:rPr>
        <w:drawing>
          <wp:anchor distT="0" distB="0" distL="114300" distR="114300" simplePos="0" relativeHeight="251665408" behindDoc="1" locked="0" layoutInCell="1" allowOverlap="1" wp14:anchorId="65F480DC" wp14:editId="7000574E">
            <wp:simplePos x="0" y="0"/>
            <wp:positionH relativeFrom="leftMargin">
              <wp:posOffset>213360</wp:posOffset>
            </wp:positionH>
            <wp:positionV relativeFrom="paragraph">
              <wp:posOffset>241161</wp:posOffset>
            </wp:positionV>
            <wp:extent cx="819150" cy="351091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2A0" w:rsidRPr="009023DA">
        <w:rPr>
          <w:rFonts w:ascii="Times New Roman" w:hAnsi="Times New Roman"/>
          <w:sz w:val="24"/>
          <w:szCs w:val="24"/>
        </w:rPr>
        <w:t xml:space="preserve">Asimismo, en las Bases Estándar de Concurso Público de servicios y consultoría en general, respecto de la forma de acreditación de la experiencia del postor, se señala lo siguiente: </w:t>
      </w:r>
      <w:r w:rsidR="002A52A0" w:rsidRPr="009023DA">
        <w:rPr>
          <w:rFonts w:ascii="Times New Roman" w:hAnsi="Times New Roman"/>
          <w:i/>
          <w:sz w:val="24"/>
          <w:szCs w:val="24"/>
        </w:rPr>
        <w:t>“</w:t>
      </w:r>
      <w:r w:rsidR="002A52A0" w:rsidRPr="009023DA">
        <w:rPr>
          <w:rFonts w:ascii="Times New Roman" w:hAnsi="Times New Roman"/>
          <w:i/>
          <w:iCs/>
          <w:sz w:val="24"/>
          <w:szCs w:val="24"/>
          <w:lang w:eastAsia="es-ES"/>
        </w:rPr>
        <w:t xml:space="preserve">La experiencia se acreditará mediante copia simple de: </w:t>
      </w:r>
      <w:r w:rsidR="002A52A0" w:rsidRPr="005F3CDA">
        <w:rPr>
          <w:rFonts w:ascii="Times New Roman" w:hAnsi="Times New Roman"/>
          <w:i/>
          <w:iCs/>
          <w:sz w:val="24"/>
          <w:szCs w:val="24"/>
          <w:u w:val="single"/>
          <w:lang w:eastAsia="es-ES"/>
        </w:rPr>
        <w:t>contratos u órdenes de servicio, y su respectiva conformidad por la prestación efectuada</w:t>
      </w:r>
      <w:r w:rsidR="002A52A0" w:rsidRPr="009023DA">
        <w:rPr>
          <w:rFonts w:ascii="Times New Roman" w:hAnsi="Times New Roman"/>
          <w:i/>
          <w:iCs/>
          <w:sz w:val="24"/>
          <w:szCs w:val="24"/>
          <w:lang w:eastAsia="es-ES"/>
        </w:rPr>
        <w:t xml:space="preserve">; </w:t>
      </w:r>
      <w:r w:rsidR="002A52A0" w:rsidRPr="005F3CDA">
        <w:rPr>
          <w:rFonts w:ascii="Times New Roman" w:hAnsi="Times New Roman"/>
          <w:b/>
          <w:i/>
          <w:iCs/>
          <w:sz w:val="24"/>
          <w:szCs w:val="24"/>
          <w:lang w:eastAsia="es-ES"/>
        </w:rPr>
        <w:t>o</w:t>
      </w:r>
      <w:r w:rsidR="002A52A0" w:rsidRPr="009023DA">
        <w:rPr>
          <w:rFonts w:ascii="Times New Roman" w:hAnsi="Times New Roman"/>
          <w:i/>
          <w:iCs/>
          <w:sz w:val="24"/>
          <w:szCs w:val="24"/>
          <w:lang w:eastAsia="es-ES"/>
        </w:rPr>
        <w:t xml:space="preserve">  </w:t>
      </w:r>
      <w:r w:rsidR="002A52A0" w:rsidRPr="005F3CDA">
        <w:rPr>
          <w:rFonts w:ascii="Times New Roman" w:hAnsi="Times New Roman"/>
          <w:i/>
          <w:iCs/>
          <w:sz w:val="24"/>
          <w:szCs w:val="24"/>
          <w:u w:val="single"/>
          <w:lang w:eastAsia="es-ES"/>
        </w:rPr>
        <w:t>comprobantes de pago cuya cancelación se acredite documental y fehacientemente</w:t>
      </w:r>
      <w:r w:rsidR="002A52A0" w:rsidRPr="009023DA">
        <w:rPr>
          <w:rFonts w:ascii="Times New Roman" w:hAnsi="Times New Roman"/>
          <w:i/>
          <w:iCs/>
          <w:sz w:val="24"/>
          <w:szCs w:val="24"/>
          <w:lang w:eastAsia="es-ES"/>
        </w:rPr>
        <w:t xml:space="preserve">, con </w:t>
      </w:r>
      <w:r w:rsidR="002A52A0" w:rsidRPr="009023DA">
        <w:rPr>
          <w:rFonts w:ascii="Times New Roman" w:hAnsi="Times New Roman"/>
          <w:i/>
          <w:iCs/>
          <w:sz w:val="24"/>
          <w:szCs w:val="24"/>
          <w:highlight w:val="lightGray"/>
          <w:lang w:eastAsia="es-ES"/>
        </w:rPr>
        <w:t xml:space="preserve">[CONSIGNAR TIPO DE DOCUMENTOS QUE DEBE PRESENTARSE, COMO POR EJEMPLO, VOUCHER DE DEPÓSITO, REPORTE DE ESTADO DE CUENTA, CANCELACIÓN EN EL </w:t>
      </w:r>
      <w:r w:rsidR="002A52A0" w:rsidRPr="009023DA">
        <w:rPr>
          <w:rFonts w:ascii="Times New Roman" w:hAnsi="Times New Roman"/>
          <w:i/>
          <w:iCs/>
          <w:sz w:val="24"/>
          <w:szCs w:val="24"/>
          <w:highlight w:val="lightGray"/>
          <w:lang w:val="es-ES" w:eastAsia="es-ES"/>
        </w:rPr>
        <w:t>DOCUMENTO,ENTRE OTROS</w:t>
      </w:r>
      <w:r w:rsidR="002A52A0" w:rsidRPr="009023DA">
        <w:rPr>
          <w:rFonts w:ascii="Times New Roman" w:hAnsi="Times New Roman"/>
          <w:i/>
          <w:iCs/>
          <w:sz w:val="24"/>
          <w:szCs w:val="24"/>
          <w:highlight w:val="lightGray"/>
          <w:lang w:eastAsia="es-ES"/>
        </w:rPr>
        <w:t>]</w:t>
      </w:r>
      <w:r w:rsidR="002A52A0" w:rsidRPr="009023DA">
        <w:rPr>
          <w:rFonts w:ascii="Times New Roman" w:hAnsi="Times New Roman"/>
          <w:i/>
          <w:iCs/>
          <w:sz w:val="24"/>
          <w:szCs w:val="24"/>
          <w:lang w:eastAsia="es-ES"/>
        </w:rPr>
        <w:t>, correspondientes a un máximo de diez (10) servicios iguales o similares al objeto del proceso”.</w:t>
      </w:r>
    </w:p>
    <w:p w:rsidR="002A52A0" w:rsidRDefault="002A52A0" w:rsidP="002A52A0">
      <w:pPr>
        <w:widowControl w:val="0"/>
        <w:spacing w:after="0" w:line="240" w:lineRule="auto"/>
        <w:jc w:val="both"/>
        <w:rPr>
          <w:rFonts w:ascii="Times New Roman" w:hAnsi="Times New Roman"/>
          <w:i/>
          <w:iCs/>
          <w:sz w:val="24"/>
          <w:szCs w:val="24"/>
          <w:lang w:eastAsia="es-ES"/>
        </w:rPr>
      </w:pPr>
    </w:p>
    <w:p w:rsidR="002A52A0" w:rsidRDefault="002A52A0" w:rsidP="002A52A0">
      <w:pPr>
        <w:widowControl w:val="0"/>
        <w:spacing w:after="0" w:line="240" w:lineRule="auto"/>
        <w:jc w:val="both"/>
        <w:rPr>
          <w:rFonts w:ascii="Times New Roman" w:hAnsi="Times New Roman"/>
          <w:iCs/>
          <w:sz w:val="24"/>
          <w:szCs w:val="24"/>
        </w:rPr>
      </w:pPr>
      <w:r>
        <w:rPr>
          <w:rFonts w:ascii="Times New Roman" w:hAnsi="Times New Roman"/>
          <w:iCs/>
          <w:sz w:val="24"/>
          <w:szCs w:val="24"/>
          <w:lang w:eastAsia="es-ES"/>
        </w:rPr>
        <w:t>De lo expuesto, se advierte que l</w:t>
      </w:r>
      <w:r w:rsidRPr="00B46918">
        <w:rPr>
          <w:rFonts w:ascii="Times New Roman" w:hAnsi="Times New Roman"/>
          <w:iCs/>
          <w:sz w:val="24"/>
          <w:szCs w:val="24"/>
        </w:rPr>
        <w:t>a normativa de contratación</w:t>
      </w:r>
      <w:r>
        <w:rPr>
          <w:rFonts w:ascii="Times New Roman" w:hAnsi="Times New Roman"/>
          <w:iCs/>
          <w:sz w:val="24"/>
          <w:szCs w:val="24"/>
        </w:rPr>
        <w:t xml:space="preserve"> pública no ha establecido una distinción sobre la forma de acreditación en caso de </w:t>
      </w:r>
      <w:r w:rsidR="00E1797E">
        <w:rPr>
          <w:rFonts w:ascii="Times New Roman" w:hAnsi="Times New Roman"/>
          <w:iCs/>
          <w:sz w:val="24"/>
          <w:szCs w:val="24"/>
        </w:rPr>
        <w:t xml:space="preserve">que </w:t>
      </w:r>
      <w:r>
        <w:rPr>
          <w:rFonts w:ascii="Times New Roman" w:hAnsi="Times New Roman"/>
          <w:iCs/>
          <w:sz w:val="24"/>
          <w:szCs w:val="24"/>
        </w:rPr>
        <w:t>la experiencia provenga de empresas privadas</w:t>
      </w:r>
      <w:r w:rsidR="00E1797E">
        <w:rPr>
          <w:rFonts w:ascii="Times New Roman" w:hAnsi="Times New Roman"/>
          <w:iCs/>
          <w:sz w:val="24"/>
          <w:szCs w:val="24"/>
        </w:rPr>
        <w:t xml:space="preserve"> o de Entidades públicas</w:t>
      </w:r>
      <w:r>
        <w:rPr>
          <w:rFonts w:ascii="Times New Roman" w:hAnsi="Times New Roman"/>
          <w:iCs/>
          <w:sz w:val="24"/>
          <w:szCs w:val="24"/>
        </w:rPr>
        <w:t xml:space="preserve">, por lo que </w:t>
      </w:r>
      <w:r w:rsidR="00E1797E">
        <w:rPr>
          <w:rFonts w:ascii="Times New Roman" w:hAnsi="Times New Roman"/>
          <w:iCs/>
          <w:sz w:val="24"/>
          <w:szCs w:val="24"/>
        </w:rPr>
        <w:t>l</w:t>
      </w:r>
      <w:r>
        <w:rPr>
          <w:rFonts w:ascii="Times New Roman" w:hAnsi="Times New Roman"/>
          <w:iCs/>
          <w:sz w:val="24"/>
          <w:szCs w:val="24"/>
        </w:rPr>
        <w:t xml:space="preserve">a </w:t>
      </w:r>
      <w:r w:rsidR="00E1797E">
        <w:rPr>
          <w:rFonts w:ascii="Times New Roman" w:hAnsi="Times New Roman"/>
          <w:iCs/>
          <w:sz w:val="24"/>
          <w:szCs w:val="24"/>
        </w:rPr>
        <w:t>diferenciación establecida por la Entidad</w:t>
      </w:r>
      <w:r>
        <w:rPr>
          <w:rFonts w:ascii="Times New Roman" w:hAnsi="Times New Roman"/>
          <w:iCs/>
          <w:sz w:val="24"/>
          <w:szCs w:val="24"/>
        </w:rPr>
        <w:t xml:space="preserve"> no se ajusta con lo dispuesto en el artículo  45° del Reglamento. </w:t>
      </w:r>
    </w:p>
    <w:p w:rsidR="00E1797E" w:rsidRDefault="00E1797E" w:rsidP="002A52A0">
      <w:pPr>
        <w:widowControl w:val="0"/>
        <w:spacing w:after="0" w:line="240" w:lineRule="auto"/>
        <w:jc w:val="both"/>
        <w:rPr>
          <w:rFonts w:ascii="Times New Roman" w:hAnsi="Times New Roman"/>
          <w:iCs/>
          <w:sz w:val="24"/>
          <w:szCs w:val="24"/>
        </w:rPr>
      </w:pPr>
    </w:p>
    <w:p w:rsidR="002A52A0" w:rsidRDefault="00E1797E" w:rsidP="002A52A0">
      <w:pPr>
        <w:widowControl w:val="0"/>
        <w:spacing w:after="0" w:line="240" w:lineRule="auto"/>
        <w:jc w:val="both"/>
        <w:rPr>
          <w:rFonts w:ascii="Times New Roman" w:hAnsi="Times New Roman"/>
          <w:sz w:val="24"/>
          <w:szCs w:val="24"/>
        </w:rPr>
      </w:pPr>
      <w:r>
        <w:rPr>
          <w:rFonts w:ascii="Times New Roman" w:hAnsi="Times New Roman"/>
          <w:iCs/>
          <w:sz w:val="24"/>
          <w:szCs w:val="24"/>
        </w:rPr>
        <w:t>Por lo expuesto</w:t>
      </w:r>
      <w:r w:rsidR="002A52A0" w:rsidRPr="009023DA">
        <w:rPr>
          <w:rFonts w:ascii="Times New Roman" w:hAnsi="Times New Roman"/>
          <w:sz w:val="24"/>
          <w:szCs w:val="24"/>
        </w:rPr>
        <w:t xml:space="preserve">, este Organismo Supervisor ha decidido </w:t>
      </w:r>
      <w:r w:rsidR="002A52A0" w:rsidRPr="009023DA">
        <w:rPr>
          <w:rFonts w:ascii="Times New Roman" w:hAnsi="Times New Roman"/>
          <w:b/>
          <w:sz w:val="24"/>
          <w:szCs w:val="24"/>
        </w:rPr>
        <w:t>ACOGER</w:t>
      </w:r>
      <w:r w:rsidR="002A52A0" w:rsidRPr="009023DA">
        <w:rPr>
          <w:rFonts w:ascii="Times New Roman" w:hAnsi="Times New Roman"/>
          <w:sz w:val="24"/>
          <w:szCs w:val="24"/>
        </w:rPr>
        <w:t xml:space="preserve"> la presente observación</w:t>
      </w:r>
      <w:r>
        <w:rPr>
          <w:rFonts w:ascii="Times New Roman" w:hAnsi="Times New Roman"/>
          <w:sz w:val="24"/>
          <w:szCs w:val="24"/>
        </w:rPr>
        <w:t xml:space="preserve">, por lo que con motivo de la integración de las Bases, deberá suprimirse lo siguiente: </w:t>
      </w:r>
      <w:r w:rsidR="002A52A0" w:rsidRPr="009023DA">
        <w:rPr>
          <w:rFonts w:ascii="Times New Roman" w:hAnsi="Times New Roman"/>
          <w:sz w:val="24"/>
          <w:szCs w:val="24"/>
        </w:rPr>
        <w:t xml:space="preserve">  </w:t>
      </w:r>
    </w:p>
    <w:p w:rsidR="002A52A0" w:rsidRDefault="002A52A0" w:rsidP="002A52A0">
      <w:pPr>
        <w:widowControl w:val="0"/>
        <w:spacing w:after="0" w:line="240" w:lineRule="auto"/>
        <w:jc w:val="both"/>
        <w:rPr>
          <w:rFonts w:ascii="Times New Roman" w:hAnsi="Times New Roman"/>
          <w:sz w:val="24"/>
          <w:szCs w:val="24"/>
        </w:rPr>
      </w:pPr>
    </w:p>
    <w:p w:rsidR="00BD2955" w:rsidRPr="002A52A0" w:rsidRDefault="00BD2955" w:rsidP="00BD2955">
      <w:pPr>
        <w:widowControl w:val="0"/>
        <w:spacing w:after="0" w:line="240" w:lineRule="auto"/>
        <w:jc w:val="both"/>
        <w:rPr>
          <w:rFonts w:ascii="Times New Roman" w:hAnsi="Times New Roman"/>
          <w:i/>
          <w:iCs/>
          <w:sz w:val="24"/>
          <w:szCs w:val="24"/>
        </w:rPr>
      </w:pPr>
      <w:r>
        <w:rPr>
          <w:rFonts w:ascii="Times New Roman" w:hAnsi="Times New Roman"/>
          <w:i/>
          <w:iCs/>
          <w:sz w:val="24"/>
          <w:szCs w:val="24"/>
        </w:rPr>
        <w:t>"</w:t>
      </w:r>
      <w:r w:rsidRPr="002A52A0">
        <w:rPr>
          <w:rFonts w:ascii="Times New Roman" w:hAnsi="Times New Roman"/>
          <w:i/>
          <w:iCs/>
          <w:sz w:val="24"/>
          <w:szCs w:val="24"/>
        </w:rPr>
        <w:t xml:space="preserve">En caso que la experiencia sea entre empresas privadas además de los contratos u órdenes de servicio, y su respectiva conformidad por la prestación efectuada, deberá presentar  obligatoriamente copia de comprobantes de pago  y </w:t>
      </w:r>
      <w:r w:rsidRPr="002A52A0">
        <w:rPr>
          <w:rFonts w:ascii="Times New Roman" w:hAnsi="Times New Roman"/>
          <w:b/>
          <w:i/>
          <w:iCs/>
          <w:sz w:val="24"/>
          <w:szCs w:val="24"/>
        </w:rPr>
        <w:t xml:space="preserve"> adjuntar  Boucher de depósito o reporte de estado de cuenta de entidades del Sistema Bancario y Financiero Nacional</w:t>
      </w:r>
      <w:r w:rsidRPr="002A52A0">
        <w:rPr>
          <w:rFonts w:ascii="Times New Roman" w:hAnsi="Times New Roman"/>
          <w:i/>
          <w:iCs/>
          <w:sz w:val="24"/>
          <w:szCs w:val="24"/>
        </w:rPr>
        <w:t>)</w:t>
      </w:r>
      <w:r>
        <w:rPr>
          <w:rFonts w:ascii="Times New Roman" w:hAnsi="Times New Roman"/>
          <w:i/>
          <w:iCs/>
          <w:sz w:val="24"/>
          <w:szCs w:val="24"/>
        </w:rPr>
        <w:t>"</w:t>
      </w:r>
      <w:r w:rsidRPr="002A52A0">
        <w:rPr>
          <w:rFonts w:ascii="Times New Roman" w:hAnsi="Times New Roman"/>
          <w:i/>
          <w:iCs/>
          <w:sz w:val="24"/>
          <w:szCs w:val="24"/>
        </w:rPr>
        <w:t>.</w:t>
      </w:r>
    </w:p>
    <w:p w:rsidR="005F3CDA" w:rsidRDefault="005F3CDA" w:rsidP="002A52A0">
      <w:pPr>
        <w:widowControl w:val="0"/>
        <w:spacing w:after="0" w:line="240" w:lineRule="auto"/>
        <w:ind w:left="3969" w:hanging="3969"/>
        <w:jc w:val="both"/>
        <w:rPr>
          <w:rFonts w:ascii="Times New Roman" w:hAnsi="Times New Roman"/>
          <w:b/>
          <w:sz w:val="24"/>
          <w:szCs w:val="24"/>
        </w:rPr>
      </w:pPr>
    </w:p>
    <w:p w:rsidR="00061DCD" w:rsidRPr="002A52A0" w:rsidRDefault="00061DCD" w:rsidP="002A52A0">
      <w:pPr>
        <w:widowControl w:val="0"/>
        <w:spacing w:after="0" w:line="240" w:lineRule="auto"/>
        <w:ind w:left="3969" w:hanging="3969"/>
        <w:jc w:val="both"/>
        <w:rPr>
          <w:rFonts w:ascii="Times New Roman" w:hAnsi="Times New Roman"/>
          <w:b/>
          <w:sz w:val="24"/>
          <w:szCs w:val="24"/>
        </w:rPr>
      </w:pPr>
      <w:r w:rsidRPr="002A52A0">
        <w:rPr>
          <w:rFonts w:ascii="Times New Roman" w:hAnsi="Times New Roman"/>
          <w:b/>
          <w:sz w:val="24"/>
          <w:szCs w:val="24"/>
        </w:rPr>
        <w:t xml:space="preserve">Observación N° </w:t>
      </w:r>
      <w:r w:rsidR="005F3CDA">
        <w:rPr>
          <w:rFonts w:ascii="Times New Roman" w:hAnsi="Times New Roman"/>
          <w:b/>
          <w:sz w:val="24"/>
          <w:szCs w:val="24"/>
        </w:rPr>
        <w:t>2</w:t>
      </w:r>
      <w:r w:rsidRPr="002A52A0">
        <w:rPr>
          <w:rFonts w:ascii="Times New Roman" w:hAnsi="Times New Roman"/>
          <w:b/>
          <w:sz w:val="24"/>
          <w:szCs w:val="24"/>
        </w:rPr>
        <w:tab/>
        <w:t xml:space="preserve">Contra el Factor de Evaluación </w:t>
      </w:r>
    </w:p>
    <w:p w:rsidR="00031D7C" w:rsidRDefault="00031D7C" w:rsidP="002A52A0">
      <w:pPr>
        <w:widowControl w:val="0"/>
        <w:spacing w:after="0" w:line="240" w:lineRule="auto"/>
        <w:jc w:val="both"/>
        <w:rPr>
          <w:rFonts w:ascii="Times New Roman" w:hAnsi="Times New Roman"/>
          <w:i/>
          <w:sz w:val="24"/>
          <w:szCs w:val="24"/>
        </w:rPr>
      </w:pPr>
    </w:p>
    <w:p w:rsidR="005F3CDA" w:rsidRPr="009023DA" w:rsidRDefault="005F3CDA" w:rsidP="005F3CDA">
      <w:pPr>
        <w:widowControl w:val="0"/>
        <w:spacing w:after="0" w:line="240" w:lineRule="auto"/>
        <w:jc w:val="both"/>
        <w:rPr>
          <w:rFonts w:ascii="Times New Roman" w:hAnsi="Times New Roman"/>
          <w:sz w:val="24"/>
          <w:szCs w:val="24"/>
        </w:rPr>
      </w:pPr>
      <w:r w:rsidRPr="009023DA">
        <w:rPr>
          <w:rFonts w:ascii="Times New Roman" w:hAnsi="Times New Roman"/>
          <w:sz w:val="24"/>
          <w:szCs w:val="24"/>
        </w:rPr>
        <w:t xml:space="preserve">El participante cuestiona el criterio de calificación establecido en el factor “Experiencia en la Actividad”, pues sostiene que prever evaluar el monto facturado acumulado durante un periodo de tres (3) años a la fecha de la presentación de propuestas, hasta por un monto máximo acumulado equivalente a </w:t>
      </w:r>
      <w:r>
        <w:rPr>
          <w:rFonts w:ascii="Times New Roman" w:hAnsi="Times New Roman"/>
          <w:sz w:val="24"/>
          <w:szCs w:val="24"/>
        </w:rPr>
        <w:t>cinco</w:t>
      </w:r>
      <w:r w:rsidRPr="009023DA">
        <w:rPr>
          <w:rFonts w:ascii="Times New Roman" w:hAnsi="Times New Roman"/>
          <w:sz w:val="24"/>
          <w:szCs w:val="24"/>
        </w:rPr>
        <w:t xml:space="preserve"> (</w:t>
      </w:r>
      <w:r>
        <w:rPr>
          <w:rFonts w:ascii="Times New Roman" w:hAnsi="Times New Roman"/>
          <w:sz w:val="24"/>
          <w:szCs w:val="24"/>
        </w:rPr>
        <w:t>5</w:t>
      </w:r>
      <w:r w:rsidRPr="009023DA">
        <w:rPr>
          <w:rFonts w:ascii="Times New Roman" w:hAnsi="Times New Roman"/>
          <w:sz w:val="24"/>
          <w:szCs w:val="24"/>
        </w:rPr>
        <w:t>) veces el valor referencial resulta excesivo, dado que el</w:t>
      </w:r>
      <w:r>
        <w:rPr>
          <w:rFonts w:ascii="Times New Roman" w:hAnsi="Times New Roman"/>
          <w:sz w:val="24"/>
          <w:szCs w:val="24"/>
        </w:rPr>
        <w:t xml:space="preserve"> </w:t>
      </w:r>
      <w:r w:rsidRPr="009023DA">
        <w:rPr>
          <w:rFonts w:ascii="Times New Roman" w:hAnsi="Times New Roman"/>
          <w:sz w:val="24"/>
          <w:szCs w:val="24"/>
        </w:rPr>
        <w:t xml:space="preserve">valor referencial es de S/. </w:t>
      </w:r>
      <w:r w:rsidRPr="005F3CDA">
        <w:rPr>
          <w:rFonts w:ascii="Times New Roman" w:hAnsi="Times New Roman"/>
          <w:sz w:val="24"/>
          <w:szCs w:val="24"/>
        </w:rPr>
        <w:t>3</w:t>
      </w:r>
      <w:proofErr w:type="gramStart"/>
      <w:r w:rsidRPr="005F3CDA">
        <w:rPr>
          <w:rFonts w:ascii="Times New Roman" w:hAnsi="Times New Roman"/>
          <w:sz w:val="24"/>
          <w:szCs w:val="24"/>
        </w:rPr>
        <w:t>,669,345</w:t>
      </w:r>
      <w:r>
        <w:rPr>
          <w:rFonts w:ascii="Times New Roman" w:hAnsi="Times New Roman"/>
          <w:sz w:val="24"/>
          <w:szCs w:val="24"/>
        </w:rPr>
        <w:t>.00</w:t>
      </w:r>
      <w:proofErr w:type="gramEnd"/>
      <w:r w:rsidRPr="009023DA">
        <w:rPr>
          <w:rFonts w:ascii="Times New Roman" w:hAnsi="Times New Roman"/>
          <w:sz w:val="24"/>
          <w:szCs w:val="24"/>
        </w:rPr>
        <w:t>,</w:t>
      </w:r>
      <w:r>
        <w:rPr>
          <w:rFonts w:ascii="Times New Roman" w:hAnsi="Times New Roman"/>
          <w:sz w:val="24"/>
          <w:szCs w:val="24"/>
        </w:rPr>
        <w:t xml:space="preserve"> </w:t>
      </w:r>
      <w:r w:rsidRPr="009023DA">
        <w:rPr>
          <w:rFonts w:ascii="Times New Roman" w:hAnsi="Times New Roman"/>
          <w:sz w:val="24"/>
          <w:szCs w:val="24"/>
        </w:rPr>
        <w:t xml:space="preserve">contraviniéndose así el Principio de Razonabilidad. Por lo tanto, solicita modificar dicho criterio de calificación, de manera tal que se requiera se considere un periodo de dos y medio (2.5) años a la fecha de la </w:t>
      </w:r>
      <w:r w:rsidRPr="009023DA">
        <w:rPr>
          <w:rFonts w:ascii="Times New Roman" w:hAnsi="Times New Roman"/>
          <w:sz w:val="24"/>
          <w:szCs w:val="24"/>
        </w:rPr>
        <w:lastRenderedPageBreak/>
        <w:t xml:space="preserve">presentación de propuestas hasta por un monto máximo acumulado equivalente a dos (2) veces el valor referencial del ítem. </w:t>
      </w:r>
    </w:p>
    <w:p w:rsidR="005F3CDA" w:rsidRPr="002A52A0" w:rsidRDefault="005F3CDA" w:rsidP="002A52A0">
      <w:pPr>
        <w:widowControl w:val="0"/>
        <w:spacing w:after="0" w:line="240" w:lineRule="auto"/>
        <w:jc w:val="both"/>
        <w:rPr>
          <w:rFonts w:ascii="Times New Roman" w:hAnsi="Times New Roman"/>
          <w:i/>
          <w:sz w:val="24"/>
          <w:szCs w:val="24"/>
        </w:rPr>
      </w:pPr>
    </w:p>
    <w:p w:rsidR="00031D7C" w:rsidRPr="002A52A0" w:rsidRDefault="00031D7C" w:rsidP="002A52A0">
      <w:pPr>
        <w:pStyle w:val="Sinespaciado"/>
        <w:jc w:val="both"/>
        <w:rPr>
          <w:rFonts w:ascii="Times New Roman" w:hAnsi="Times New Roman"/>
          <w:b/>
          <w:sz w:val="24"/>
          <w:szCs w:val="24"/>
        </w:rPr>
      </w:pPr>
      <w:r w:rsidRPr="002A52A0">
        <w:rPr>
          <w:rFonts w:ascii="Times New Roman" w:hAnsi="Times New Roman"/>
          <w:b/>
          <w:sz w:val="24"/>
          <w:szCs w:val="24"/>
        </w:rPr>
        <w:t>Pronunciamiento</w:t>
      </w:r>
    </w:p>
    <w:p w:rsidR="00031D7C" w:rsidRPr="002A52A0" w:rsidRDefault="00031D7C" w:rsidP="002A52A0">
      <w:pPr>
        <w:pStyle w:val="Sinespaciado"/>
        <w:jc w:val="both"/>
        <w:rPr>
          <w:rFonts w:ascii="Times New Roman" w:hAnsi="Times New Roman"/>
          <w:b/>
          <w:sz w:val="24"/>
          <w:szCs w:val="24"/>
        </w:rPr>
      </w:pPr>
    </w:p>
    <w:p w:rsidR="00031D7C" w:rsidRDefault="00031D7C" w:rsidP="002A52A0">
      <w:pPr>
        <w:widowControl w:val="0"/>
        <w:tabs>
          <w:tab w:val="left" w:pos="3969"/>
        </w:tabs>
        <w:spacing w:after="0" w:line="240" w:lineRule="auto"/>
        <w:jc w:val="both"/>
        <w:rPr>
          <w:rFonts w:ascii="Times New Roman" w:hAnsi="Times New Roman"/>
          <w:sz w:val="24"/>
          <w:szCs w:val="24"/>
        </w:rPr>
      </w:pPr>
      <w:r w:rsidRPr="002A52A0">
        <w:rPr>
          <w:rFonts w:ascii="Times New Roman" w:hAnsi="Times New Roman"/>
          <w:sz w:val="24"/>
          <w:szCs w:val="24"/>
        </w:rPr>
        <w:t>De la revisión de las Bases se advierte que en el literal “A” Experiencia en la Actividad del Capítulo IV de la Sección Específica de las Bases, se señala lo siguiente:</w:t>
      </w:r>
    </w:p>
    <w:p w:rsidR="002578AA" w:rsidRPr="002A52A0" w:rsidRDefault="002578AA" w:rsidP="002A52A0">
      <w:pPr>
        <w:widowControl w:val="0"/>
        <w:tabs>
          <w:tab w:val="left" w:pos="3969"/>
        </w:tabs>
        <w:spacing w:after="0" w:line="240" w:lineRule="auto"/>
        <w:jc w:val="both"/>
        <w:rPr>
          <w:rFonts w:ascii="Times New Roman" w:hAnsi="Times New Roman"/>
          <w:sz w:val="24"/>
          <w:szCs w:val="24"/>
        </w:rPr>
      </w:pPr>
    </w:p>
    <w:p w:rsidR="00031D7C" w:rsidRPr="002578AA" w:rsidRDefault="003D1611" w:rsidP="002A52A0">
      <w:pPr>
        <w:widowControl w:val="0"/>
        <w:tabs>
          <w:tab w:val="left" w:pos="3969"/>
        </w:tabs>
        <w:spacing w:after="0" w:line="240" w:lineRule="auto"/>
        <w:jc w:val="both"/>
        <w:rPr>
          <w:rFonts w:ascii="Times New Roman" w:hAnsi="Times New Roman"/>
          <w:i/>
          <w:sz w:val="24"/>
          <w:szCs w:val="24"/>
        </w:rPr>
      </w:pPr>
      <w:r w:rsidRPr="00F751FC">
        <w:rPr>
          <w:noProof/>
          <w:color w:val="000000" w:themeColor="text1"/>
        </w:rPr>
        <w:drawing>
          <wp:anchor distT="0" distB="0" distL="114300" distR="114300" simplePos="0" relativeHeight="251667456" behindDoc="1" locked="0" layoutInCell="1" allowOverlap="1" wp14:anchorId="5097FFB8" wp14:editId="723A0BB5">
            <wp:simplePos x="0" y="0"/>
            <wp:positionH relativeFrom="leftMargin">
              <wp:posOffset>316230</wp:posOffset>
            </wp:positionH>
            <wp:positionV relativeFrom="paragraph">
              <wp:posOffset>632101</wp:posOffset>
            </wp:positionV>
            <wp:extent cx="819150" cy="3510915"/>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2578AA" w:rsidRPr="002578AA">
        <w:rPr>
          <w:rFonts w:ascii="Times New Roman" w:hAnsi="Times New Roman"/>
          <w:i/>
          <w:iCs/>
          <w:sz w:val="24"/>
          <w:szCs w:val="24"/>
        </w:rPr>
        <w:t xml:space="preserve">Se evaluará considerando el monto facturado acumulado por el postor correspondiente a la actividad objeto del proceso de servicios iguales y/o similares, </w:t>
      </w:r>
      <w:r w:rsidR="002578AA" w:rsidRPr="002578AA">
        <w:rPr>
          <w:rFonts w:ascii="Times New Roman" w:hAnsi="Times New Roman"/>
          <w:i/>
          <w:iCs/>
          <w:sz w:val="24"/>
          <w:szCs w:val="24"/>
          <w:lang w:eastAsia="es-ES"/>
        </w:rPr>
        <w:t xml:space="preserve">teniendo en cuenta que servicios </w:t>
      </w:r>
      <w:r w:rsidR="002578AA" w:rsidRPr="002578AA">
        <w:rPr>
          <w:rFonts w:ascii="Times New Roman" w:hAnsi="Times New Roman"/>
          <w:i/>
          <w:iCs/>
          <w:sz w:val="24"/>
          <w:szCs w:val="24"/>
          <w:lang w:val="es-ES" w:eastAsia="es-ES"/>
        </w:rPr>
        <w:t xml:space="preserve">similares son aquellos de naturaleza semejante a lo que se desea contratar, entendiéndose por semejante a aquello </w:t>
      </w:r>
      <w:r w:rsidR="002578AA" w:rsidRPr="002578AA">
        <w:rPr>
          <w:rFonts w:ascii="Times New Roman" w:hAnsi="Times New Roman"/>
          <w:i/>
          <w:iCs/>
          <w:sz w:val="24"/>
          <w:szCs w:val="24"/>
          <w:u w:val="single"/>
          <w:lang w:val="es-ES" w:eastAsia="es-ES"/>
        </w:rPr>
        <w:t>parecido</w:t>
      </w:r>
      <w:r w:rsidR="002578AA" w:rsidRPr="002578AA">
        <w:rPr>
          <w:rFonts w:ascii="Times New Roman" w:hAnsi="Times New Roman"/>
          <w:i/>
          <w:iCs/>
          <w:sz w:val="24"/>
          <w:szCs w:val="24"/>
          <w:lang w:val="es-ES" w:eastAsia="es-ES"/>
        </w:rPr>
        <w:t xml:space="preserve"> a lo que se convoca;</w:t>
      </w:r>
      <w:r w:rsidR="002578AA" w:rsidRPr="002578AA">
        <w:rPr>
          <w:rFonts w:ascii="Times New Roman" w:hAnsi="Times New Roman"/>
          <w:b/>
          <w:i/>
          <w:iCs/>
          <w:sz w:val="24"/>
          <w:szCs w:val="24"/>
        </w:rPr>
        <w:t xml:space="preserve"> durante un periodo de  Tres (03) años  a la fecha de la presentación de propuestas, hasta por un monto máximo acumulado equivalente a Cinco (05) veces el valor referencial de la contratación.</w:t>
      </w:r>
    </w:p>
    <w:p w:rsidR="004F4010" w:rsidRPr="002A52A0" w:rsidRDefault="004F4010" w:rsidP="002A52A0">
      <w:pPr>
        <w:widowControl w:val="0"/>
        <w:tabs>
          <w:tab w:val="left" w:pos="3969"/>
        </w:tabs>
        <w:spacing w:after="0" w:line="240" w:lineRule="auto"/>
        <w:jc w:val="both"/>
        <w:rPr>
          <w:rFonts w:ascii="Times New Roman" w:hAnsi="Times New Roman"/>
          <w:sz w:val="24"/>
          <w:szCs w:val="24"/>
        </w:rPr>
      </w:pPr>
    </w:p>
    <w:p w:rsidR="00031D7C" w:rsidRDefault="00031D7C" w:rsidP="002A52A0">
      <w:pPr>
        <w:widowControl w:val="0"/>
        <w:tabs>
          <w:tab w:val="left" w:pos="3969"/>
        </w:tabs>
        <w:spacing w:after="0" w:line="240" w:lineRule="auto"/>
        <w:jc w:val="both"/>
        <w:rPr>
          <w:rFonts w:ascii="Times New Roman" w:hAnsi="Times New Roman"/>
          <w:i/>
          <w:sz w:val="24"/>
          <w:szCs w:val="24"/>
        </w:rPr>
      </w:pPr>
      <w:r w:rsidRPr="002A52A0">
        <w:rPr>
          <w:rFonts w:ascii="Times New Roman" w:hAnsi="Times New Roman"/>
          <w:sz w:val="24"/>
          <w:szCs w:val="24"/>
        </w:rPr>
        <w:t xml:space="preserve">Sobre tales aspectos, de la revisión del respectivo pliego absolutorio de observaciones, </w:t>
      </w:r>
      <w:r w:rsidR="004F4010" w:rsidRPr="002A52A0">
        <w:rPr>
          <w:rFonts w:ascii="Times New Roman" w:hAnsi="Times New Roman"/>
          <w:sz w:val="24"/>
          <w:szCs w:val="24"/>
        </w:rPr>
        <w:t xml:space="preserve">se </w:t>
      </w:r>
      <w:r w:rsidRPr="002A52A0">
        <w:rPr>
          <w:rFonts w:ascii="Times New Roman" w:hAnsi="Times New Roman"/>
          <w:sz w:val="24"/>
          <w:szCs w:val="24"/>
        </w:rPr>
        <w:t xml:space="preserve">advierte que el Comité Especial ha precisado lo siguiente: </w:t>
      </w:r>
      <w:r w:rsidRPr="002A52A0">
        <w:rPr>
          <w:rFonts w:ascii="Times New Roman" w:hAnsi="Times New Roman"/>
          <w:i/>
          <w:sz w:val="24"/>
          <w:szCs w:val="24"/>
        </w:rPr>
        <w:t>“</w:t>
      </w:r>
      <w:r w:rsidR="00AD0586" w:rsidRPr="002A52A0">
        <w:rPr>
          <w:rFonts w:ascii="Times New Roman" w:hAnsi="Times New Roman"/>
          <w:i/>
          <w:sz w:val="24"/>
          <w:szCs w:val="24"/>
        </w:rPr>
        <w:t xml:space="preserve">El Comité decide acoger en parte la observación precisándose que el factor experiencia en la actividad deberá acreditar no más de dos (02) veces el valor referencial en un periodo de tres (03) años”. </w:t>
      </w:r>
    </w:p>
    <w:p w:rsidR="002578AA" w:rsidRPr="009023DA" w:rsidRDefault="002578AA" w:rsidP="002578AA">
      <w:pPr>
        <w:pStyle w:val="TDRNormal"/>
        <w:ind w:left="0"/>
        <w:contextualSpacing/>
        <w:rPr>
          <w:rFonts w:ascii="Times New Roman" w:hAnsi="Times New Roman" w:cs="Times New Roman"/>
          <w:color w:val="000000"/>
        </w:rPr>
      </w:pPr>
    </w:p>
    <w:p w:rsidR="002578AA" w:rsidRPr="009023DA" w:rsidRDefault="002578AA" w:rsidP="002578AA">
      <w:pPr>
        <w:tabs>
          <w:tab w:val="left" w:pos="0"/>
        </w:tabs>
        <w:autoSpaceDE w:val="0"/>
        <w:autoSpaceDN w:val="0"/>
        <w:adjustRightInd w:val="0"/>
        <w:spacing w:after="0" w:line="240" w:lineRule="auto"/>
        <w:jc w:val="both"/>
        <w:rPr>
          <w:rFonts w:ascii="Times New Roman" w:hAnsi="Times New Roman"/>
          <w:sz w:val="24"/>
          <w:szCs w:val="24"/>
          <w:lang w:val="es-MX"/>
        </w:rPr>
      </w:pPr>
      <w:r w:rsidRPr="009023DA">
        <w:rPr>
          <w:rFonts w:ascii="Times New Roman" w:hAnsi="Times New Roman"/>
          <w:sz w:val="24"/>
          <w:szCs w:val="24"/>
          <w:lang w:val="es-MX"/>
        </w:rPr>
        <w:t xml:space="preserve">Sobre el particular, es preciso indicar </w:t>
      </w:r>
      <w:r>
        <w:rPr>
          <w:rFonts w:ascii="Times New Roman" w:hAnsi="Times New Roman"/>
          <w:sz w:val="24"/>
          <w:szCs w:val="24"/>
          <w:lang w:val="es-MX"/>
        </w:rPr>
        <w:t xml:space="preserve">que </w:t>
      </w:r>
      <w:r w:rsidRPr="009023DA">
        <w:rPr>
          <w:rFonts w:ascii="Times New Roman" w:hAnsi="Times New Roman"/>
          <w:sz w:val="24"/>
          <w:szCs w:val="24"/>
          <w:lang w:val="es-MX"/>
        </w:rPr>
        <w:t xml:space="preserve">de conformidad con lo dispuesto en el artículo 43 del Reglamento es responsabilidad del Comité Especial  la determinación de los factores de evaluación técnicos, los que deben ser objetivos y congruentes con el objeto de la convocatoria, </w:t>
      </w:r>
      <w:r w:rsidRPr="009023DA">
        <w:rPr>
          <w:rFonts w:ascii="Times New Roman" w:hAnsi="Times New Roman"/>
          <w:sz w:val="24"/>
          <w:szCs w:val="24"/>
          <w:u w:val="single"/>
          <w:lang w:val="es-MX"/>
        </w:rPr>
        <w:t>debiendo sujetarse a criterios de razonabilidad y proporcionalidad</w:t>
      </w:r>
      <w:r w:rsidRPr="009023DA">
        <w:rPr>
          <w:rFonts w:ascii="Times New Roman" w:hAnsi="Times New Roman"/>
          <w:sz w:val="24"/>
          <w:szCs w:val="24"/>
          <w:lang w:val="es-MX"/>
        </w:rPr>
        <w:t>.</w:t>
      </w:r>
    </w:p>
    <w:p w:rsidR="002578AA" w:rsidRPr="009023DA" w:rsidRDefault="002578AA" w:rsidP="002578AA">
      <w:pPr>
        <w:tabs>
          <w:tab w:val="left" w:pos="0"/>
        </w:tabs>
        <w:autoSpaceDE w:val="0"/>
        <w:autoSpaceDN w:val="0"/>
        <w:adjustRightInd w:val="0"/>
        <w:spacing w:after="0" w:line="240" w:lineRule="auto"/>
        <w:jc w:val="both"/>
        <w:rPr>
          <w:rFonts w:ascii="Times New Roman" w:hAnsi="Times New Roman"/>
          <w:sz w:val="24"/>
          <w:szCs w:val="24"/>
          <w:lang w:val="es-MX"/>
        </w:rPr>
      </w:pPr>
    </w:p>
    <w:p w:rsidR="002578AA" w:rsidRPr="009023DA" w:rsidRDefault="002578AA" w:rsidP="002578AA">
      <w:pPr>
        <w:tabs>
          <w:tab w:val="left" w:pos="0"/>
        </w:tabs>
        <w:autoSpaceDE w:val="0"/>
        <w:autoSpaceDN w:val="0"/>
        <w:adjustRightInd w:val="0"/>
        <w:spacing w:after="0" w:line="240" w:lineRule="auto"/>
        <w:jc w:val="both"/>
        <w:rPr>
          <w:rFonts w:ascii="Times New Roman" w:hAnsi="Times New Roman"/>
          <w:sz w:val="24"/>
          <w:szCs w:val="24"/>
        </w:rPr>
      </w:pPr>
      <w:r w:rsidRPr="009023DA">
        <w:rPr>
          <w:rFonts w:ascii="Times New Roman" w:hAnsi="Times New Roman"/>
          <w:sz w:val="24"/>
          <w:szCs w:val="24"/>
        </w:rPr>
        <w:t>Asimismo, en el artículo 45° del Reglamento se establece que, en caso de la contratación de servicios en general, deberá evaluarse la experiencia del postor considerando el monto facturado acumulado por el postor durante un período determinado de hasta ocho (8) años a la fecha de la presentación de propuestas, por un monto máximo acumulado de hasta cinco (5) veces el valor referencial de la contratación o ítem materia de la convocatoria.</w:t>
      </w:r>
    </w:p>
    <w:p w:rsidR="002578AA" w:rsidRDefault="002578AA" w:rsidP="002578AA">
      <w:pPr>
        <w:tabs>
          <w:tab w:val="left" w:pos="0"/>
        </w:tabs>
        <w:autoSpaceDE w:val="0"/>
        <w:autoSpaceDN w:val="0"/>
        <w:adjustRightInd w:val="0"/>
        <w:spacing w:after="0" w:line="240" w:lineRule="auto"/>
        <w:jc w:val="both"/>
        <w:rPr>
          <w:rFonts w:ascii="Times New Roman" w:hAnsi="Times New Roman"/>
          <w:sz w:val="24"/>
          <w:szCs w:val="24"/>
        </w:rPr>
      </w:pPr>
    </w:p>
    <w:p w:rsidR="00E10106" w:rsidRDefault="00E10106" w:rsidP="002578AA">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Ahora bien, de la revisión de </w:t>
      </w:r>
      <w:r w:rsidRPr="009023DA">
        <w:rPr>
          <w:rFonts w:ascii="Times New Roman" w:hAnsi="Times New Roman"/>
          <w:sz w:val="24"/>
          <w:szCs w:val="24"/>
        </w:rPr>
        <w:t xml:space="preserve">los parámetros establecidos por el Comité Especial en el </w:t>
      </w:r>
      <w:r>
        <w:rPr>
          <w:rFonts w:ascii="Times New Roman" w:hAnsi="Times New Roman"/>
          <w:sz w:val="24"/>
          <w:szCs w:val="24"/>
        </w:rPr>
        <w:t>cuestionado</w:t>
      </w:r>
      <w:r w:rsidRPr="009023DA">
        <w:rPr>
          <w:rFonts w:ascii="Times New Roman" w:hAnsi="Times New Roman"/>
          <w:sz w:val="24"/>
          <w:szCs w:val="24"/>
        </w:rPr>
        <w:t xml:space="preserve"> factor de evaluación</w:t>
      </w:r>
      <w:r>
        <w:rPr>
          <w:rFonts w:ascii="Times New Roman" w:hAnsi="Times New Roman"/>
          <w:sz w:val="24"/>
          <w:szCs w:val="24"/>
        </w:rPr>
        <w:t>,</w:t>
      </w:r>
      <w:r w:rsidRPr="009023DA">
        <w:rPr>
          <w:rFonts w:ascii="Times New Roman" w:hAnsi="Times New Roman"/>
          <w:sz w:val="24"/>
          <w:szCs w:val="24"/>
        </w:rPr>
        <w:t xml:space="preserve"> </w:t>
      </w:r>
      <w:r>
        <w:rPr>
          <w:rFonts w:ascii="Times New Roman" w:hAnsi="Times New Roman"/>
          <w:sz w:val="24"/>
          <w:szCs w:val="24"/>
        </w:rPr>
        <w:t>con motivo de la absolución de la presente Observación, no se advierten que resulten contrarios a la normativa de contratación pública</w:t>
      </w:r>
      <w:r w:rsidRPr="009023DA">
        <w:rPr>
          <w:rFonts w:ascii="Times New Roman" w:hAnsi="Times New Roman"/>
          <w:sz w:val="24"/>
          <w:szCs w:val="24"/>
        </w:rPr>
        <w:t>.</w:t>
      </w:r>
    </w:p>
    <w:p w:rsidR="00E10106" w:rsidRPr="009023DA" w:rsidRDefault="00E10106" w:rsidP="002578AA">
      <w:pPr>
        <w:tabs>
          <w:tab w:val="left" w:pos="0"/>
        </w:tabs>
        <w:autoSpaceDE w:val="0"/>
        <w:autoSpaceDN w:val="0"/>
        <w:adjustRightInd w:val="0"/>
        <w:spacing w:after="0" w:line="240" w:lineRule="auto"/>
        <w:jc w:val="both"/>
        <w:rPr>
          <w:rFonts w:ascii="Times New Roman" w:hAnsi="Times New Roman"/>
          <w:sz w:val="24"/>
          <w:szCs w:val="24"/>
        </w:rPr>
      </w:pPr>
    </w:p>
    <w:p w:rsidR="002578AA" w:rsidRPr="009023DA" w:rsidRDefault="00E10106" w:rsidP="002578AA">
      <w:pPr>
        <w:tabs>
          <w:tab w:val="left" w:pos="0"/>
        </w:tabs>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Por lo expuesto</w:t>
      </w:r>
      <w:r w:rsidR="002578AA" w:rsidRPr="009023DA">
        <w:rPr>
          <w:rFonts w:ascii="Times New Roman" w:hAnsi="Times New Roman"/>
          <w:sz w:val="24"/>
          <w:szCs w:val="24"/>
        </w:rPr>
        <w:t xml:space="preserve">, este Organismo Supervisor ha decidido </w:t>
      </w:r>
      <w:r w:rsidR="002578AA" w:rsidRPr="009023DA">
        <w:rPr>
          <w:rFonts w:ascii="Times New Roman" w:hAnsi="Times New Roman"/>
          <w:b/>
          <w:sz w:val="24"/>
          <w:szCs w:val="24"/>
        </w:rPr>
        <w:t>NO ACOGER</w:t>
      </w:r>
      <w:r w:rsidR="002578AA" w:rsidRPr="009023DA">
        <w:rPr>
          <w:rFonts w:ascii="Times New Roman" w:hAnsi="Times New Roman"/>
          <w:sz w:val="24"/>
          <w:szCs w:val="24"/>
        </w:rPr>
        <w:t xml:space="preserve"> la presente observación</w:t>
      </w:r>
      <w:r>
        <w:rPr>
          <w:rFonts w:ascii="Times New Roman" w:hAnsi="Times New Roman"/>
          <w:sz w:val="24"/>
          <w:szCs w:val="24"/>
        </w:rPr>
        <w:t>, máxime si el participante solicita que se modifiquen necesariamente en función de su particular interés</w:t>
      </w:r>
      <w:r w:rsidR="002578AA" w:rsidRPr="009023DA">
        <w:rPr>
          <w:rFonts w:ascii="Times New Roman" w:hAnsi="Times New Roman"/>
          <w:sz w:val="24"/>
          <w:szCs w:val="24"/>
        </w:rPr>
        <w:t>.</w:t>
      </w:r>
    </w:p>
    <w:p w:rsidR="002578AA" w:rsidRPr="009023DA" w:rsidRDefault="002578AA" w:rsidP="002578AA">
      <w:pPr>
        <w:widowControl w:val="0"/>
        <w:tabs>
          <w:tab w:val="left" w:pos="4820"/>
        </w:tabs>
        <w:spacing w:after="0" w:line="240" w:lineRule="auto"/>
        <w:jc w:val="both"/>
        <w:rPr>
          <w:rFonts w:ascii="Times New Roman" w:hAnsi="Times New Roman"/>
          <w:sz w:val="24"/>
          <w:szCs w:val="24"/>
        </w:rPr>
      </w:pPr>
    </w:p>
    <w:p w:rsidR="002578AA" w:rsidRPr="009023DA" w:rsidRDefault="002578AA" w:rsidP="002578AA">
      <w:pPr>
        <w:widowControl w:val="0"/>
        <w:tabs>
          <w:tab w:val="left" w:pos="4820"/>
        </w:tabs>
        <w:spacing w:after="0" w:line="240" w:lineRule="auto"/>
        <w:jc w:val="both"/>
        <w:rPr>
          <w:rFonts w:ascii="Times New Roman" w:hAnsi="Times New Roman"/>
          <w:sz w:val="24"/>
          <w:szCs w:val="24"/>
        </w:rPr>
      </w:pPr>
      <w:r>
        <w:rPr>
          <w:rFonts w:ascii="Times New Roman" w:hAnsi="Times New Roman"/>
          <w:sz w:val="24"/>
          <w:szCs w:val="24"/>
        </w:rPr>
        <w:t>Sin perjuicio de lo anterior</w:t>
      </w:r>
      <w:r w:rsidRPr="009023DA">
        <w:rPr>
          <w:rFonts w:ascii="Times New Roman" w:hAnsi="Times New Roman"/>
          <w:sz w:val="24"/>
          <w:szCs w:val="24"/>
        </w:rPr>
        <w:t xml:space="preserve">, </w:t>
      </w:r>
      <w:r w:rsidRPr="009023DA">
        <w:rPr>
          <w:rFonts w:ascii="Times New Roman" w:hAnsi="Times New Roman"/>
          <w:b/>
          <w:sz w:val="24"/>
          <w:szCs w:val="24"/>
          <w:u w:val="single"/>
        </w:rPr>
        <w:t>deberá precisarse</w:t>
      </w:r>
      <w:r w:rsidRPr="009023DA">
        <w:rPr>
          <w:rFonts w:ascii="Times New Roman" w:hAnsi="Times New Roman"/>
          <w:sz w:val="24"/>
          <w:szCs w:val="24"/>
        </w:rPr>
        <w:t xml:space="preserve"> qué servicios serán evaluados en el referido factor de evaluación, los cuales deben encontrarse relacionados con el objeto de la convocatoria. Cabe precisar que la experiencia en la actividad implica la calificación de trabajos generales, contrariamente a lo ocurrido con la experiencia en la especialidad que solo puede calificarse trabajos iguales y/o similares al objeto de la convocatoria.</w:t>
      </w:r>
    </w:p>
    <w:p w:rsidR="002578AA" w:rsidRPr="002A52A0" w:rsidRDefault="002578AA" w:rsidP="002A52A0">
      <w:pPr>
        <w:pStyle w:val="NormalWeb"/>
        <w:spacing w:before="0" w:beforeAutospacing="0" w:after="0" w:afterAutospacing="0"/>
        <w:contextualSpacing/>
        <w:jc w:val="both"/>
        <w:rPr>
          <w:bCs/>
          <w:lang w:val="es-ES_tradnl"/>
        </w:rPr>
      </w:pPr>
    </w:p>
    <w:p w:rsidR="00F81FC1" w:rsidRPr="002A52A0" w:rsidRDefault="00F81FC1" w:rsidP="002A52A0">
      <w:pPr>
        <w:widowControl w:val="0"/>
        <w:numPr>
          <w:ilvl w:val="0"/>
          <w:numId w:val="1"/>
        </w:numPr>
        <w:tabs>
          <w:tab w:val="clear" w:pos="360"/>
        </w:tabs>
        <w:spacing w:after="0" w:line="240" w:lineRule="auto"/>
        <w:ind w:left="567" w:hanging="567"/>
        <w:jc w:val="both"/>
        <w:rPr>
          <w:rFonts w:ascii="Times New Roman" w:hAnsi="Times New Roman"/>
          <w:b/>
          <w:sz w:val="24"/>
          <w:szCs w:val="24"/>
          <w:lang w:val="es-MX"/>
        </w:rPr>
      </w:pPr>
      <w:r w:rsidRPr="002A52A0">
        <w:rPr>
          <w:rFonts w:ascii="Times New Roman" w:hAnsi="Times New Roman"/>
          <w:b/>
          <w:sz w:val="24"/>
          <w:szCs w:val="24"/>
        </w:rPr>
        <w:lastRenderedPageBreak/>
        <w:t xml:space="preserve">CONTENIDO DE LAS BASES CONTRARIO A LA NORMATIVA SOBRE  CONTRATACIONES DEL ESTADO </w:t>
      </w:r>
    </w:p>
    <w:p w:rsidR="00F81FC1" w:rsidRPr="002A52A0" w:rsidRDefault="00F81FC1" w:rsidP="002A52A0">
      <w:pPr>
        <w:widowControl w:val="0"/>
        <w:tabs>
          <w:tab w:val="left" w:pos="540"/>
        </w:tabs>
        <w:spacing w:after="0" w:line="240" w:lineRule="auto"/>
        <w:jc w:val="both"/>
        <w:rPr>
          <w:rFonts w:ascii="Times New Roman" w:eastAsia="Times New Roman" w:hAnsi="Times New Roman"/>
          <w:sz w:val="24"/>
          <w:szCs w:val="24"/>
          <w:lang w:val="es-MX" w:eastAsia="es-MX"/>
        </w:rPr>
      </w:pPr>
    </w:p>
    <w:p w:rsidR="00F81FC1" w:rsidRPr="002A52A0" w:rsidRDefault="00F81FC1" w:rsidP="002A52A0">
      <w:pPr>
        <w:widowControl w:val="0"/>
        <w:tabs>
          <w:tab w:val="left" w:pos="540"/>
        </w:tabs>
        <w:spacing w:after="0" w:line="240" w:lineRule="auto"/>
        <w:jc w:val="both"/>
        <w:rPr>
          <w:rFonts w:ascii="Times New Roman" w:hAnsi="Times New Roman"/>
          <w:sz w:val="24"/>
          <w:szCs w:val="24"/>
          <w:lang w:val="es-MX" w:eastAsia="es-MX"/>
        </w:rPr>
      </w:pPr>
      <w:r w:rsidRPr="002A52A0">
        <w:rPr>
          <w:rFonts w:ascii="Times New Roman" w:hAnsi="Times New Roman"/>
          <w:sz w:val="24"/>
          <w:szCs w:val="24"/>
          <w:lang w:val="es-MX" w:eastAsia="es-MX"/>
        </w:rPr>
        <w:t xml:space="preserve">En ejercicio de su función de velar por el cumplimiento de la normativa vigente en materia de contrataciones del Estado, conforme a lo señalado en el inciso a) del artículo 58º de la Ley, este Organismo Supervisor ha procedido a realizar la revisión de las Bases remitidas, habiendo detectado el siguiente contenido contrario a la Ley y el Reglamento. </w:t>
      </w:r>
    </w:p>
    <w:p w:rsidR="00943B6A" w:rsidRPr="00B472AA" w:rsidRDefault="00943B6A" w:rsidP="002A52A0">
      <w:pPr>
        <w:widowControl w:val="0"/>
        <w:spacing w:after="0" w:line="240" w:lineRule="auto"/>
        <w:contextualSpacing/>
        <w:jc w:val="both"/>
        <w:rPr>
          <w:rFonts w:ascii="Times New Roman" w:hAnsi="Times New Roman"/>
          <w:sz w:val="24"/>
          <w:szCs w:val="24"/>
          <w:highlight w:val="yellow"/>
          <w:lang w:val="es-ES_tradnl"/>
        </w:rPr>
      </w:pPr>
    </w:p>
    <w:p w:rsidR="00943B6A" w:rsidRPr="003A0CC9" w:rsidRDefault="00943B6A" w:rsidP="002A52A0">
      <w:pPr>
        <w:pStyle w:val="Prrafodelista"/>
        <w:widowControl w:val="0"/>
        <w:numPr>
          <w:ilvl w:val="1"/>
          <w:numId w:val="4"/>
        </w:numPr>
        <w:spacing w:after="0" w:line="240" w:lineRule="auto"/>
        <w:contextualSpacing/>
        <w:jc w:val="both"/>
        <w:rPr>
          <w:rFonts w:ascii="Times New Roman" w:hAnsi="Times New Roman"/>
          <w:b/>
          <w:color w:val="000000"/>
          <w:sz w:val="24"/>
          <w:szCs w:val="24"/>
        </w:rPr>
      </w:pPr>
      <w:r w:rsidRPr="003A0CC9">
        <w:rPr>
          <w:rFonts w:ascii="Times New Roman" w:hAnsi="Times New Roman"/>
          <w:b/>
          <w:color w:val="000000"/>
          <w:sz w:val="24"/>
          <w:szCs w:val="24"/>
        </w:rPr>
        <w:t>Documentación para acreditar la experiencia del personal propuesto</w:t>
      </w:r>
    </w:p>
    <w:p w:rsidR="00943B6A" w:rsidRPr="003A0CC9" w:rsidRDefault="00943B6A" w:rsidP="002A52A0">
      <w:pPr>
        <w:pStyle w:val="Prrafodelista"/>
        <w:widowControl w:val="0"/>
        <w:spacing w:after="0" w:line="240" w:lineRule="auto"/>
        <w:ind w:left="360"/>
        <w:contextualSpacing/>
        <w:jc w:val="both"/>
        <w:rPr>
          <w:rFonts w:ascii="Times New Roman" w:hAnsi="Times New Roman"/>
          <w:b/>
          <w:color w:val="000000"/>
          <w:sz w:val="24"/>
          <w:szCs w:val="24"/>
          <w:u w:val="single"/>
        </w:rPr>
      </w:pPr>
    </w:p>
    <w:p w:rsidR="00943B6A" w:rsidRPr="003A0CC9" w:rsidRDefault="003D1611" w:rsidP="002A52A0">
      <w:pPr>
        <w:pStyle w:val="Prrafodelista"/>
        <w:widowControl w:val="0"/>
        <w:spacing w:after="0" w:line="240" w:lineRule="auto"/>
        <w:ind w:left="0"/>
        <w:contextualSpacing/>
        <w:jc w:val="both"/>
        <w:rPr>
          <w:rFonts w:ascii="Times New Roman" w:hAnsi="Times New Roman"/>
          <w:color w:val="000000"/>
          <w:sz w:val="24"/>
          <w:szCs w:val="24"/>
        </w:rPr>
      </w:pPr>
      <w:r w:rsidRPr="00F751FC">
        <w:rPr>
          <w:noProof/>
          <w:color w:val="000000" w:themeColor="text1"/>
          <w:lang w:val="es-PE"/>
        </w:rPr>
        <w:drawing>
          <wp:anchor distT="0" distB="0" distL="114300" distR="114300" simplePos="0" relativeHeight="251669504" behindDoc="1" locked="0" layoutInCell="1" allowOverlap="1" wp14:anchorId="5A45CF47" wp14:editId="432DB102">
            <wp:simplePos x="0" y="0"/>
            <wp:positionH relativeFrom="leftMargin">
              <wp:posOffset>245387</wp:posOffset>
            </wp:positionH>
            <wp:positionV relativeFrom="paragraph">
              <wp:posOffset>782514</wp:posOffset>
            </wp:positionV>
            <wp:extent cx="819150" cy="3510915"/>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943B6A" w:rsidRPr="003A0CC9">
        <w:rPr>
          <w:rFonts w:ascii="Times New Roman" w:hAnsi="Times New Roman"/>
          <w:color w:val="000000"/>
          <w:sz w:val="24"/>
          <w:szCs w:val="24"/>
        </w:rPr>
        <w:t>De acuerdo con el Precedente Administrativo de Observancia Obligatoria contenido en el Pronunciamiento N° 723-2013/DSU  la experiencia del personal propuesto, se podrá acreditar con cualquiera de los siguientes documentos: (i) copia simple de contratos y su respectiva conformidad o (ii) constancias o (iii) certificados o (iv) cualquier otra documentación que, de manera fehaciente demuestre la experiencia del personal propuesto, no siendo válida cualquier regulación de las Bases que se oponga a lo señalado.</w:t>
      </w:r>
    </w:p>
    <w:p w:rsidR="00943B6A" w:rsidRPr="003A0CC9" w:rsidRDefault="00943B6A" w:rsidP="002A52A0">
      <w:pPr>
        <w:pStyle w:val="Prrafodelista"/>
        <w:widowControl w:val="0"/>
        <w:spacing w:after="0" w:line="240" w:lineRule="auto"/>
        <w:ind w:left="360"/>
        <w:contextualSpacing/>
        <w:jc w:val="both"/>
        <w:rPr>
          <w:rFonts w:ascii="Times New Roman" w:hAnsi="Times New Roman"/>
          <w:color w:val="000000"/>
          <w:sz w:val="24"/>
          <w:szCs w:val="24"/>
        </w:rPr>
      </w:pPr>
    </w:p>
    <w:p w:rsidR="00943B6A" w:rsidRPr="003A0CC9" w:rsidRDefault="00943B6A" w:rsidP="002A52A0">
      <w:pPr>
        <w:pStyle w:val="Prrafodelista"/>
        <w:widowControl w:val="0"/>
        <w:spacing w:after="0" w:line="240" w:lineRule="auto"/>
        <w:ind w:left="0"/>
        <w:contextualSpacing/>
        <w:jc w:val="both"/>
        <w:rPr>
          <w:rFonts w:ascii="Times New Roman" w:hAnsi="Times New Roman"/>
          <w:color w:val="000000"/>
          <w:sz w:val="24"/>
          <w:szCs w:val="24"/>
        </w:rPr>
      </w:pPr>
      <w:r w:rsidRPr="003A0CC9">
        <w:rPr>
          <w:rFonts w:ascii="Times New Roman" w:hAnsi="Times New Roman"/>
          <w:color w:val="000000"/>
          <w:sz w:val="24"/>
          <w:szCs w:val="24"/>
        </w:rPr>
        <w:t>En ese sentido, ello deberá precisarse en todos los extremos de las Bases, donde se haga referencia a la forma de acreditación de la experiencia del personal propuesto, no siendo válida cualquier regulación contraria de cualquier extremo de las Bases.</w:t>
      </w:r>
    </w:p>
    <w:p w:rsidR="00D2142F" w:rsidRPr="003A0CC9" w:rsidRDefault="00D2142F" w:rsidP="002A52A0">
      <w:pPr>
        <w:widowControl w:val="0"/>
        <w:spacing w:after="0" w:line="240" w:lineRule="auto"/>
        <w:ind w:right="-1"/>
        <w:contextualSpacing/>
        <w:jc w:val="both"/>
        <w:rPr>
          <w:rFonts w:ascii="Times New Roman" w:hAnsi="Times New Roman"/>
          <w:b/>
          <w:sz w:val="24"/>
          <w:szCs w:val="24"/>
        </w:rPr>
      </w:pPr>
    </w:p>
    <w:p w:rsidR="00D2142F" w:rsidRPr="00584D87" w:rsidRDefault="00D2142F" w:rsidP="00584D87">
      <w:pPr>
        <w:pStyle w:val="Prrafodelista"/>
        <w:widowControl w:val="0"/>
        <w:numPr>
          <w:ilvl w:val="1"/>
          <w:numId w:val="4"/>
        </w:numPr>
        <w:spacing w:after="0" w:line="240" w:lineRule="auto"/>
        <w:contextualSpacing/>
        <w:jc w:val="both"/>
        <w:rPr>
          <w:rFonts w:ascii="Times New Roman" w:hAnsi="Times New Roman"/>
          <w:b/>
          <w:color w:val="000000"/>
          <w:sz w:val="24"/>
          <w:szCs w:val="24"/>
        </w:rPr>
      </w:pPr>
      <w:r w:rsidRPr="00584D87">
        <w:rPr>
          <w:rFonts w:ascii="Times New Roman" w:hAnsi="Times New Roman"/>
          <w:b/>
          <w:color w:val="000000"/>
          <w:sz w:val="24"/>
          <w:szCs w:val="24"/>
        </w:rPr>
        <w:t>Documentación de presentación facultativa</w:t>
      </w:r>
    </w:p>
    <w:p w:rsidR="00D2142F" w:rsidRPr="00584D87" w:rsidRDefault="00D2142F" w:rsidP="002A52A0">
      <w:pPr>
        <w:autoSpaceDE w:val="0"/>
        <w:autoSpaceDN w:val="0"/>
        <w:adjustRightInd w:val="0"/>
        <w:spacing w:after="0" w:line="240" w:lineRule="auto"/>
        <w:contextualSpacing/>
        <w:jc w:val="both"/>
        <w:rPr>
          <w:rFonts w:ascii="Times New Roman" w:hAnsi="Times New Roman"/>
          <w:color w:val="000000"/>
          <w:sz w:val="24"/>
          <w:szCs w:val="24"/>
        </w:rPr>
      </w:pPr>
    </w:p>
    <w:p w:rsidR="00D2142F" w:rsidRPr="00584D87" w:rsidRDefault="00D2142F" w:rsidP="002A52A0">
      <w:pPr>
        <w:autoSpaceDE w:val="0"/>
        <w:autoSpaceDN w:val="0"/>
        <w:adjustRightInd w:val="0"/>
        <w:spacing w:after="0" w:line="240" w:lineRule="auto"/>
        <w:contextualSpacing/>
        <w:jc w:val="both"/>
        <w:rPr>
          <w:rFonts w:ascii="Times New Roman" w:hAnsi="Times New Roman"/>
          <w:color w:val="000000"/>
          <w:sz w:val="24"/>
          <w:szCs w:val="24"/>
        </w:rPr>
      </w:pPr>
      <w:r w:rsidRPr="00584D87">
        <w:rPr>
          <w:rFonts w:ascii="Times New Roman" w:hAnsi="Times New Roman"/>
          <w:color w:val="000000"/>
          <w:sz w:val="24"/>
          <w:szCs w:val="24"/>
        </w:rPr>
        <w:t>En el literal b) de la relación de documentos de presentación facultativa se ha precisado que el factor cumplimiento del servicio será acreditado a través de certificados o constancias que acrediten que la prestación se efectuó sin incurrir en penalidades.</w:t>
      </w:r>
    </w:p>
    <w:p w:rsidR="00D2142F" w:rsidRPr="00584D87" w:rsidRDefault="00D2142F" w:rsidP="002A52A0">
      <w:pPr>
        <w:autoSpaceDE w:val="0"/>
        <w:autoSpaceDN w:val="0"/>
        <w:adjustRightInd w:val="0"/>
        <w:spacing w:after="0" w:line="240" w:lineRule="auto"/>
        <w:contextualSpacing/>
        <w:jc w:val="both"/>
        <w:rPr>
          <w:rFonts w:ascii="Times New Roman" w:hAnsi="Times New Roman"/>
          <w:color w:val="000000"/>
          <w:sz w:val="24"/>
          <w:szCs w:val="24"/>
        </w:rPr>
      </w:pPr>
    </w:p>
    <w:p w:rsidR="00D2142F" w:rsidRPr="00584D87" w:rsidRDefault="00D2142F" w:rsidP="002A52A0">
      <w:pPr>
        <w:autoSpaceDE w:val="0"/>
        <w:autoSpaceDN w:val="0"/>
        <w:adjustRightInd w:val="0"/>
        <w:spacing w:after="0" w:line="240" w:lineRule="auto"/>
        <w:contextualSpacing/>
        <w:jc w:val="both"/>
        <w:rPr>
          <w:rFonts w:ascii="Times New Roman" w:hAnsi="Times New Roman"/>
          <w:color w:val="000000"/>
          <w:sz w:val="24"/>
          <w:szCs w:val="24"/>
        </w:rPr>
      </w:pPr>
      <w:r w:rsidRPr="00584D87">
        <w:rPr>
          <w:rFonts w:ascii="Times New Roman" w:hAnsi="Times New Roman"/>
          <w:color w:val="000000"/>
          <w:sz w:val="24"/>
          <w:szCs w:val="24"/>
        </w:rPr>
        <w:t xml:space="preserve">En ese sentido, se advierte que únicamente se están contemplado la presentación de constancias y certificados, y no la de cualquier otro documento que independientemente de su denominación indique las precisiones que sí han sido indicadas en el factor de evaluación </w:t>
      </w:r>
      <w:r w:rsidRPr="00584D87">
        <w:rPr>
          <w:rFonts w:ascii="Times New Roman" w:hAnsi="Times New Roman"/>
          <w:i/>
          <w:iCs/>
          <w:color w:val="000000"/>
          <w:sz w:val="24"/>
          <w:szCs w:val="24"/>
        </w:rPr>
        <w:t>“B. Cumplimiento del servicio”</w:t>
      </w:r>
      <w:r w:rsidRPr="00584D87">
        <w:rPr>
          <w:rFonts w:ascii="Times New Roman" w:hAnsi="Times New Roman"/>
          <w:color w:val="000000"/>
          <w:sz w:val="24"/>
          <w:szCs w:val="24"/>
        </w:rPr>
        <w:t xml:space="preserve">, por lo tanto, con ocasión de la integración de las Bases, </w:t>
      </w:r>
      <w:r w:rsidRPr="00584D87">
        <w:rPr>
          <w:rFonts w:ascii="Times New Roman" w:hAnsi="Times New Roman"/>
          <w:b/>
          <w:bCs/>
          <w:color w:val="000000"/>
          <w:sz w:val="24"/>
          <w:szCs w:val="24"/>
          <w:u w:val="single"/>
        </w:rPr>
        <w:t>deberá uniformizarse lo establecido en el literal b) de la relación de documentos de presentación facultativa con lo consignado en el factor de evaluación “B. Cumplimiento del servicio</w:t>
      </w:r>
      <w:r w:rsidRPr="00584D87">
        <w:rPr>
          <w:rFonts w:ascii="Times New Roman" w:hAnsi="Times New Roman"/>
          <w:color w:val="000000"/>
          <w:sz w:val="24"/>
          <w:szCs w:val="24"/>
        </w:rPr>
        <w:t>”.</w:t>
      </w:r>
    </w:p>
    <w:p w:rsidR="00644EFF" w:rsidRDefault="00644EFF" w:rsidP="002A52A0">
      <w:pPr>
        <w:widowControl w:val="0"/>
        <w:tabs>
          <w:tab w:val="left" w:pos="567"/>
        </w:tabs>
        <w:spacing w:after="0" w:line="240" w:lineRule="auto"/>
        <w:contextualSpacing/>
        <w:jc w:val="both"/>
        <w:rPr>
          <w:rFonts w:ascii="Times New Roman" w:eastAsia="MS Mincho" w:hAnsi="Times New Roman"/>
          <w:b/>
          <w:sz w:val="24"/>
          <w:szCs w:val="24"/>
          <w:highlight w:val="yellow"/>
          <w:u w:val="single"/>
          <w:lang w:eastAsia="es-PE"/>
        </w:rPr>
      </w:pPr>
    </w:p>
    <w:p w:rsidR="00584D87" w:rsidRPr="00B472AA" w:rsidRDefault="00584D87" w:rsidP="002A52A0">
      <w:pPr>
        <w:widowControl w:val="0"/>
        <w:tabs>
          <w:tab w:val="left" w:pos="567"/>
        </w:tabs>
        <w:spacing w:after="0" w:line="240" w:lineRule="auto"/>
        <w:contextualSpacing/>
        <w:jc w:val="both"/>
        <w:rPr>
          <w:rFonts w:ascii="Times New Roman" w:eastAsia="MS Mincho" w:hAnsi="Times New Roman"/>
          <w:b/>
          <w:sz w:val="24"/>
          <w:szCs w:val="24"/>
          <w:highlight w:val="yellow"/>
          <w:u w:val="single"/>
          <w:lang w:eastAsia="es-PE"/>
        </w:rPr>
      </w:pPr>
    </w:p>
    <w:p w:rsidR="00584D87" w:rsidRPr="00584D87" w:rsidRDefault="00584D87" w:rsidP="00584D87">
      <w:pPr>
        <w:pStyle w:val="Prrafodelista"/>
        <w:widowControl w:val="0"/>
        <w:numPr>
          <w:ilvl w:val="1"/>
          <w:numId w:val="4"/>
        </w:numPr>
        <w:spacing w:after="0" w:line="240" w:lineRule="auto"/>
        <w:contextualSpacing/>
        <w:jc w:val="both"/>
        <w:rPr>
          <w:rFonts w:ascii="Times New Roman" w:hAnsi="Times New Roman"/>
          <w:b/>
          <w:sz w:val="24"/>
          <w:szCs w:val="24"/>
        </w:rPr>
      </w:pPr>
      <w:r>
        <w:rPr>
          <w:rFonts w:ascii="Times New Roman" w:hAnsi="Times New Roman"/>
          <w:b/>
          <w:sz w:val="24"/>
          <w:szCs w:val="24"/>
        </w:rPr>
        <w:t>Personal propuesto</w:t>
      </w:r>
    </w:p>
    <w:p w:rsidR="00584D87" w:rsidRDefault="00584D87" w:rsidP="00584D87">
      <w:pPr>
        <w:pStyle w:val="Prrafodelista"/>
        <w:widowControl w:val="0"/>
        <w:spacing w:after="0" w:line="240" w:lineRule="auto"/>
        <w:ind w:left="360"/>
        <w:contextualSpacing/>
        <w:jc w:val="both"/>
        <w:rPr>
          <w:rFonts w:ascii="Times New Roman" w:hAnsi="Times New Roman"/>
          <w:b/>
          <w:sz w:val="24"/>
          <w:szCs w:val="24"/>
        </w:rPr>
      </w:pPr>
    </w:p>
    <w:p w:rsidR="00584D87" w:rsidRPr="00584D87" w:rsidRDefault="00584D87" w:rsidP="00584D87">
      <w:pPr>
        <w:widowControl w:val="0"/>
        <w:spacing w:after="0" w:line="240" w:lineRule="auto"/>
        <w:jc w:val="both"/>
        <w:rPr>
          <w:rFonts w:ascii="Times New Roman" w:eastAsia="Times New Roman" w:hAnsi="Times New Roman"/>
          <w:sz w:val="24"/>
          <w:szCs w:val="24"/>
          <w:lang w:val="es-ES" w:eastAsia="es-ES"/>
        </w:rPr>
      </w:pPr>
      <w:r w:rsidRPr="00584D87">
        <w:rPr>
          <w:rFonts w:ascii="Times New Roman" w:hAnsi="Times New Roman"/>
          <w:sz w:val="24"/>
          <w:szCs w:val="24"/>
        </w:rPr>
        <w:t xml:space="preserve">Asimismo, </w:t>
      </w:r>
      <w:r w:rsidRPr="00584D87">
        <w:rPr>
          <w:rFonts w:ascii="Times New Roman" w:hAnsi="Times New Roman"/>
          <w:sz w:val="24"/>
          <w:szCs w:val="24"/>
          <w:u w:val="single"/>
        </w:rPr>
        <w:t>respecto del perfil del Representante</w:t>
      </w:r>
      <w:r w:rsidRPr="00584D87">
        <w:rPr>
          <w:rFonts w:ascii="Times New Roman" w:hAnsi="Times New Roman"/>
          <w:sz w:val="24"/>
          <w:szCs w:val="24"/>
        </w:rPr>
        <w:t xml:space="preserve">, </w:t>
      </w:r>
      <w:r w:rsidRPr="00584D87">
        <w:rPr>
          <w:rFonts w:ascii="Times New Roman" w:hAnsi="Times New Roman"/>
          <w:b/>
          <w:sz w:val="24"/>
          <w:szCs w:val="24"/>
          <w:u w:val="single"/>
        </w:rPr>
        <w:t>deberá precisarse</w:t>
      </w:r>
      <w:r w:rsidRPr="00584D87">
        <w:rPr>
          <w:rFonts w:ascii="Times New Roman" w:hAnsi="Times New Roman"/>
          <w:sz w:val="24"/>
          <w:szCs w:val="24"/>
        </w:rPr>
        <w:t xml:space="preserve"> que se considerará también aquella experiencia obtenida </w:t>
      </w:r>
      <w:r w:rsidRPr="00584D87">
        <w:rPr>
          <w:rFonts w:ascii="Times New Roman" w:eastAsia="Times New Roman" w:hAnsi="Times New Roman"/>
          <w:sz w:val="24"/>
          <w:szCs w:val="24"/>
          <w:lang w:val="es-ES" w:eastAsia="es-ES"/>
        </w:rPr>
        <w:t xml:space="preserve">como </w:t>
      </w:r>
      <w:r w:rsidRPr="00584D87">
        <w:rPr>
          <w:rFonts w:ascii="Times New Roman" w:hAnsi="Times New Roman"/>
          <w:sz w:val="24"/>
          <w:szCs w:val="24"/>
        </w:rPr>
        <w:t xml:space="preserve">Representante </w:t>
      </w:r>
      <w:r w:rsidRPr="00584D87">
        <w:rPr>
          <w:rFonts w:ascii="Times New Roman" w:eastAsia="Times New Roman" w:hAnsi="Times New Roman"/>
          <w:sz w:val="24"/>
          <w:szCs w:val="24"/>
          <w:lang w:val="es-ES" w:eastAsia="es-ES"/>
        </w:rPr>
        <w:t xml:space="preserve">en empresas que brinden servicios de alimentación, dado que dicha experiencia guarda congruencia con las actividades que realizaría dicho profesional en la ejecución del contrato. </w:t>
      </w:r>
    </w:p>
    <w:p w:rsidR="00584D87" w:rsidRDefault="00584D87" w:rsidP="00584D87">
      <w:pPr>
        <w:widowControl w:val="0"/>
        <w:spacing w:after="0" w:line="240" w:lineRule="auto"/>
        <w:jc w:val="both"/>
        <w:rPr>
          <w:rFonts w:ascii="Times New Roman" w:eastAsia="Times New Roman" w:hAnsi="Times New Roman"/>
          <w:sz w:val="24"/>
          <w:szCs w:val="24"/>
          <w:lang w:val="es-ES" w:eastAsia="es-ES"/>
        </w:rPr>
      </w:pPr>
    </w:p>
    <w:p w:rsidR="00584D87" w:rsidRPr="00DE375E" w:rsidRDefault="00584D87" w:rsidP="00584D87">
      <w:pPr>
        <w:widowControl w:val="0"/>
        <w:spacing w:after="0" w:line="240" w:lineRule="auto"/>
        <w:jc w:val="both"/>
        <w:rPr>
          <w:rFonts w:ascii="Times New Roman" w:hAnsi="Times New Roman"/>
          <w:sz w:val="24"/>
          <w:szCs w:val="24"/>
        </w:rPr>
      </w:pPr>
      <w:r>
        <w:rPr>
          <w:rFonts w:ascii="Times New Roman" w:eastAsia="Times New Roman" w:hAnsi="Times New Roman"/>
          <w:sz w:val="24"/>
          <w:szCs w:val="24"/>
          <w:lang w:val="es-ES" w:eastAsia="es-ES"/>
        </w:rPr>
        <w:t xml:space="preserve">Finalmente, </w:t>
      </w:r>
      <w:r w:rsidRPr="0097260D">
        <w:rPr>
          <w:rFonts w:ascii="Times New Roman" w:eastAsia="Times New Roman" w:hAnsi="Times New Roman"/>
          <w:b/>
          <w:sz w:val="24"/>
          <w:szCs w:val="24"/>
          <w:u w:val="single"/>
          <w:lang w:val="es-ES" w:eastAsia="es-ES"/>
        </w:rPr>
        <w:t>respecto de las capacitaciones</w:t>
      </w:r>
      <w:r>
        <w:rPr>
          <w:rFonts w:ascii="Times New Roman" w:eastAsia="Times New Roman" w:hAnsi="Times New Roman"/>
          <w:sz w:val="24"/>
          <w:szCs w:val="24"/>
          <w:lang w:val="es-ES" w:eastAsia="es-ES"/>
        </w:rPr>
        <w:t xml:space="preserve">, </w:t>
      </w:r>
      <w:r w:rsidRPr="0097260D">
        <w:rPr>
          <w:rFonts w:ascii="Times New Roman" w:eastAsia="Times New Roman" w:hAnsi="Times New Roman"/>
          <w:sz w:val="24"/>
          <w:szCs w:val="24"/>
          <w:lang w:val="es-ES" w:eastAsia="es-ES"/>
        </w:rPr>
        <w:t xml:space="preserve">deberá precisarse que ésta podrá </w:t>
      </w:r>
      <w:r w:rsidRPr="0097260D">
        <w:rPr>
          <w:rFonts w:ascii="Times New Roman" w:hAnsi="Times New Roman"/>
          <w:sz w:val="24"/>
          <w:szCs w:val="24"/>
        </w:rPr>
        <w:t>acreditarse con la presentación de constancias, certificados o cualquier otro documento que, de manera fehaciente, demuestre que el profesional propuesto recibió la formac</w:t>
      </w:r>
      <w:r>
        <w:rPr>
          <w:rFonts w:ascii="Times New Roman" w:hAnsi="Times New Roman"/>
          <w:sz w:val="24"/>
          <w:szCs w:val="24"/>
        </w:rPr>
        <w:t xml:space="preserve">ión y/o capacitación </w:t>
      </w:r>
      <w:r>
        <w:rPr>
          <w:rFonts w:ascii="Times New Roman" w:hAnsi="Times New Roman"/>
          <w:sz w:val="24"/>
          <w:szCs w:val="24"/>
        </w:rPr>
        <w:lastRenderedPageBreak/>
        <w:t>requerida</w:t>
      </w:r>
      <w:r w:rsidRPr="0097260D">
        <w:rPr>
          <w:rFonts w:ascii="Times New Roman" w:hAnsi="Times New Roman"/>
          <w:sz w:val="24"/>
          <w:szCs w:val="24"/>
        </w:rPr>
        <w:t xml:space="preserve"> por el Comité Especial</w:t>
      </w:r>
      <w:r w:rsidRPr="0097260D">
        <w:rPr>
          <w:rFonts w:ascii="Times New Roman" w:hAnsi="Times New Roman"/>
          <w:sz w:val="24"/>
          <w:szCs w:val="24"/>
          <w:lang w:val="es-ES"/>
        </w:rPr>
        <w:t xml:space="preserve">, conforme a los diversos pronunciamientos emitidos por este Organismo Supervisor.  </w:t>
      </w:r>
    </w:p>
    <w:p w:rsidR="00584D87" w:rsidRPr="00584D87" w:rsidRDefault="00584D87" w:rsidP="00584D87">
      <w:pPr>
        <w:pStyle w:val="Prrafodelista"/>
        <w:widowControl w:val="0"/>
        <w:spacing w:after="0" w:line="240" w:lineRule="auto"/>
        <w:ind w:left="360"/>
        <w:contextualSpacing/>
        <w:jc w:val="both"/>
        <w:rPr>
          <w:rFonts w:ascii="Times New Roman" w:hAnsi="Times New Roman"/>
          <w:b/>
          <w:sz w:val="24"/>
          <w:szCs w:val="24"/>
        </w:rPr>
      </w:pPr>
    </w:p>
    <w:p w:rsidR="00787C29" w:rsidRPr="00787C29" w:rsidRDefault="00787C29" w:rsidP="00584D87">
      <w:pPr>
        <w:pStyle w:val="Prrafodelista"/>
        <w:widowControl w:val="0"/>
        <w:numPr>
          <w:ilvl w:val="1"/>
          <w:numId w:val="4"/>
        </w:numPr>
        <w:spacing w:after="0" w:line="240" w:lineRule="auto"/>
        <w:contextualSpacing/>
        <w:jc w:val="both"/>
        <w:rPr>
          <w:rFonts w:ascii="Times New Roman" w:hAnsi="Times New Roman"/>
          <w:b/>
          <w:sz w:val="24"/>
          <w:szCs w:val="24"/>
        </w:rPr>
      </w:pPr>
      <w:r w:rsidRPr="00787C29">
        <w:rPr>
          <w:rFonts w:ascii="Times New Roman" w:hAnsi="Times New Roman"/>
          <w:b/>
          <w:sz w:val="24"/>
          <w:szCs w:val="24"/>
        </w:rPr>
        <w:t>Factor mejoras</w:t>
      </w:r>
    </w:p>
    <w:p w:rsidR="00787C29" w:rsidRPr="00787C29" w:rsidRDefault="00787C29" w:rsidP="00787C29">
      <w:pPr>
        <w:widowControl w:val="0"/>
        <w:spacing w:after="0" w:line="240" w:lineRule="auto"/>
        <w:ind w:left="540"/>
        <w:contextualSpacing/>
        <w:jc w:val="both"/>
        <w:rPr>
          <w:rFonts w:ascii="Times New Roman" w:hAnsi="Times New Roman"/>
          <w:b/>
          <w:sz w:val="24"/>
          <w:szCs w:val="24"/>
        </w:rPr>
      </w:pPr>
    </w:p>
    <w:p w:rsidR="00787C29" w:rsidRPr="009023DA" w:rsidRDefault="00787C29" w:rsidP="00787C29">
      <w:pPr>
        <w:autoSpaceDE w:val="0"/>
        <w:autoSpaceDN w:val="0"/>
        <w:adjustRightInd w:val="0"/>
        <w:spacing w:after="0" w:line="240" w:lineRule="auto"/>
        <w:ind w:right="-1"/>
        <w:jc w:val="both"/>
        <w:rPr>
          <w:rFonts w:ascii="Times New Roman" w:hAnsi="Times New Roman"/>
          <w:sz w:val="24"/>
          <w:szCs w:val="24"/>
        </w:rPr>
      </w:pPr>
      <w:r w:rsidRPr="00787C29">
        <w:rPr>
          <w:rFonts w:ascii="Times New Roman" w:hAnsi="Times New Roman"/>
          <w:sz w:val="24"/>
          <w:szCs w:val="24"/>
        </w:rPr>
        <w:t xml:space="preserve">Al respecto, con ocasión de la integración de las Bases, </w:t>
      </w:r>
      <w:r w:rsidRPr="00787C29">
        <w:rPr>
          <w:rFonts w:ascii="Times New Roman" w:hAnsi="Times New Roman"/>
          <w:b/>
          <w:sz w:val="24"/>
          <w:szCs w:val="24"/>
          <w:u w:val="single"/>
        </w:rPr>
        <w:t>deberá reducirse</w:t>
      </w:r>
      <w:r w:rsidRPr="00787C29">
        <w:rPr>
          <w:rFonts w:ascii="Times New Roman" w:hAnsi="Times New Roman"/>
          <w:sz w:val="24"/>
          <w:szCs w:val="24"/>
        </w:rPr>
        <w:t xml:space="preserve"> el puntaje previsto en el factor “Mejoras a las condiciones previstas” a un puntaje no mayor a diez (10) puntos, pues tal como ha sido establecido en las Bases el criterio de calificación éste podría resultar determinante para la obtención de una propuesta competitiva.</w:t>
      </w:r>
      <w:r>
        <w:rPr>
          <w:rFonts w:ascii="Times New Roman" w:hAnsi="Times New Roman"/>
          <w:sz w:val="24"/>
          <w:szCs w:val="24"/>
        </w:rPr>
        <w:t xml:space="preserve"> </w:t>
      </w:r>
    </w:p>
    <w:p w:rsidR="00787C29" w:rsidRDefault="00787C29" w:rsidP="00787C29">
      <w:pPr>
        <w:widowControl w:val="0"/>
        <w:spacing w:after="0" w:line="240" w:lineRule="auto"/>
        <w:ind w:left="540"/>
        <w:contextualSpacing/>
        <w:jc w:val="both"/>
        <w:rPr>
          <w:rFonts w:ascii="Times New Roman" w:hAnsi="Times New Roman"/>
          <w:b/>
          <w:sz w:val="24"/>
          <w:szCs w:val="24"/>
          <w:highlight w:val="yellow"/>
        </w:rPr>
      </w:pPr>
    </w:p>
    <w:p w:rsidR="00644EFF" w:rsidRPr="00584D87" w:rsidRDefault="00644EFF" w:rsidP="00584D87">
      <w:pPr>
        <w:pStyle w:val="Prrafodelista"/>
        <w:widowControl w:val="0"/>
        <w:numPr>
          <w:ilvl w:val="1"/>
          <w:numId w:val="4"/>
        </w:numPr>
        <w:spacing w:after="0" w:line="240" w:lineRule="auto"/>
        <w:contextualSpacing/>
        <w:jc w:val="both"/>
        <w:rPr>
          <w:rFonts w:ascii="Times New Roman" w:hAnsi="Times New Roman"/>
          <w:b/>
          <w:sz w:val="24"/>
          <w:szCs w:val="24"/>
        </w:rPr>
      </w:pPr>
      <w:r w:rsidRPr="00584D87">
        <w:rPr>
          <w:rFonts w:ascii="Times New Roman" w:hAnsi="Times New Roman"/>
          <w:b/>
          <w:sz w:val="24"/>
          <w:szCs w:val="24"/>
        </w:rPr>
        <w:t>Proforma del Contrato</w:t>
      </w:r>
    </w:p>
    <w:p w:rsidR="00644EFF" w:rsidRPr="00584D87" w:rsidRDefault="00644EFF" w:rsidP="002A52A0">
      <w:pPr>
        <w:pStyle w:val="Prrafodelista"/>
        <w:widowControl w:val="0"/>
        <w:spacing w:after="0" w:line="240" w:lineRule="auto"/>
        <w:ind w:left="0" w:right="-1"/>
        <w:contextualSpacing/>
        <w:jc w:val="both"/>
        <w:rPr>
          <w:rFonts w:ascii="Times New Roman" w:hAnsi="Times New Roman"/>
          <w:sz w:val="24"/>
          <w:szCs w:val="24"/>
        </w:rPr>
      </w:pPr>
    </w:p>
    <w:p w:rsidR="00644EFF" w:rsidRPr="00584D87" w:rsidRDefault="00644EFF" w:rsidP="002A52A0">
      <w:pPr>
        <w:pStyle w:val="Prrafodelista"/>
        <w:widowControl w:val="0"/>
        <w:spacing w:after="0" w:line="240" w:lineRule="auto"/>
        <w:ind w:left="0" w:right="-1"/>
        <w:contextualSpacing/>
        <w:jc w:val="both"/>
        <w:rPr>
          <w:rFonts w:ascii="Times New Roman" w:hAnsi="Times New Roman"/>
          <w:sz w:val="24"/>
          <w:szCs w:val="24"/>
        </w:rPr>
      </w:pPr>
      <w:r w:rsidRPr="00584D87">
        <w:rPr>
          <w:rFonts w:ascii="Times New Roman" w:hAnsi="Times New Roman"/>
          <w:sz w:val="24"/>
          <w:szCs w:val="24"/>
        </w:rPr>
        <w:t>Con ocasión de la integración de Bases</w:t>
      </w:r>
      <w:r w:rsidR="00047865" w:rsidRPr="00584D87">
        <w:rPr>
          <w:rFonts w:ascii="Times New Roman" w:hAnsi="Times New Roman"/>
          <w:sz w:val="24"/>
          <w:szCs w:val="24"/>
        </w:rPr>
        <w:t>, o para la firma del Contrato:</w:t>
      </w:r>
    </w:p>
    <w:p w:rsidR="00047865" w:rsidRPr="00584D87" w:rsidRDefault="00047865" w:rsidP="002A52A0">
      <w:pPr>
        <w:pStyle w:val="Prrafodelista"/>
        <w:widowControl w:val="0"/>
        <w:spacing w:after="0" w:line="240" w:lineRule="auto"/>
        <w:ind w:left="0" w:right="-1"/>
        <w:contextualSpacing/>
        <w:jc w:val="both"/>
        <w:rPr>
          <w:rFonts w:ascii="Times New Roman" w:hAnsi="Times New Roman"/>
          <w:sz w:val="24"/>
          <w:szCs w:val="24"/>
        </w:rPr>
      </w:pPr>
    </w:p>
    <w:p w:rsidR="00644EFF" w:rsidRPr="00584D87" w:rsidRDefault="003D1611" w:rsidP="002A52A0">
      <w:pPr>
        <w:pStyle w:val="Prrafodelista"/>
        <w:widowControl w:val="0"/>
        <w:numPr>
          <w:ilvl w:val="0"/>
          <w:numId w:val="7"/>
        </w:numPr>
        <w:spacing w:after="0" w:line="240" w:lineRule="auto"/>
        <w:ind w:right="-1"/>
        <w:contextualSpacing/>
        <w:jc w:val="both"/>
        <w:rPr>
          <w:rFonts w:ascii="Times New Roman" w:hAnsi="Times New Roman"/>
          <w:sz w:val="24"/>
          <w:szCs w:val="24"/>
        </w:rPr>
      </w:pPr>
      <w:r w:rsidRPr="00F751FC">
        <w:rPr>
          <w:noProof/>
          <w:color w:val="000000" w:themeColor="text1"/>
          <w:lang w:val="es-PE"/>
        </w:rPr>
        <w:drawing>
          <wp:anchor distT="0" distB="0" distL="114300" distR="114300" simplePos="0" relativeHeight="251671552" behindDoc="1" locked="0" layoutInCell="1" allowOverlap="1" wp14:anchorId="257CCF86" wp14:editId="403204BF">
            <wp:simplePos x="0" y="0"/>
            <wp:positionH relativeFrom="leftMargin">
              <wp:posOffset>269240</wp:posOffset>
            </wp:positionH>
            <wp:positionV relativeFrom="paragraph">
              <wp:posOffset>224596</wp:posOffset>
            </wp:positionV>
            <wp:extent cx="819150" cy="3510915"/>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9150" cy="3510915"/>
                    </a:xfrm>
                    <a:prstGeom prst="rect">
                      <a:avLst/>
                    </a:prstGeom>
                    <a:noFill/>
                    <a:ln>
                      <a:noFill/>
                    </a:ln>
                  </pic:spPr>
                </pic:pic>
              </a:graphicData>
            </a:graphic>
            <wp14:sizeRelH relativeFrom="page">
              <wp14:pctWidth>0</wp14:pctWidth>
            </wp14:sizeRelH>
            <wp14:sizeRelV relativeFrom="page">
              <wp14:pctHeight>0</wp14:pctHeight>
            </wp14:sizeRelV>
          </wp:anchor>
        </w:drawing>
      </w:r>
      <w:r w:rsidR="00644EFF" w:rsidRPr="00584D87">
        <w:rPr>
          <w:rFonts w:ascii="Times New Roman" w:hAnsi="Times New Roman"/>
          <w:sz w:val="24"/>
          <w:szCs w:val="24"/>
        </w:rPr>
        <w:t>Deberá precisa</w:t>
      </w:r>
      <w:r w:rsidR="00047865" w:rsidRPr="00584D87">
        <w:rPr>
          <w:rFonts w:ascii="Times New Roman" w:hAnsi="Times New Roman"/>
          <w:sz w:val="24"/>
          <w:szCs w:val="24"/>
        </w:rPr>
        <w:t>rse en la Cláusula Décimo Tercera</w:t>
      </w:r>
      <w:r w:rsidR="00644EFF" w:rsidRPr="00584D87">
        <w:rPr>
          <w:rFonts w:ascii="Times New Roman" w:hAnsi="Times New Roman"/>
          <w:sz w:val="24"/>
          <w:szCs w:val="24"/>
        </w:rPr>
        <w:t xml:space="preserve"> de la Proforma del Contrato el plazo máximo de responsabilidad del contratista, de conformidad con lo dispuesto por el artículo 50 de la Ley.</w:t>
      </w:r>
    </w:p>
    <w:p w:rsidR="00644EFF" w:rsidRPr="00584D87" w:rsidRDefault="00644EFF" w:rsidP="002A52A0">
      <w:pPr>
        <w:pStyle w:val="Prrafodelista"/>
        <w:widowControl w:val="0"/>
        <w:spacing w:after="0" w:line="240" w:lineRule="auto"/>
        <w:ind w:right="-1"/>
        <w:contextualSpacing/>
        <w:jc w:val="both"/>
        <w:rPr>
          <w:rFonts w:ascii="Times New Roman" w:hAnsi="Times New Roman"/>
          <w:sz w:val="24"/>
          <w:szCs w:val="24"/>
        </w:rPr>
      </w:pPr>
    </w:p>
    <w:p w:rsidR="00644EFF" w:rsidRPr="00584D87" w:rsidRDefault="00644EFF" w:rsidP="002A52A0">
      <w:pPr>
        <w:pStyle w:val="Prrafodelista"/>
        <w:widowControl w:val="0"/>
        <w:numPr>
          <w:ilvl w:val="0"/>
          <w:numId w:val="7"/>
        </w:numPr>
        <w:spacing w:after="0" w:line="240" w:lineRule="auto"/>
        <w:ind w:right="-1"/>
        <w:contextualSpacing/>
        <w:jc w:val="both"/>
        <w:rPr>
          <w:rFonts w:ascii="Times New Roman" w:hAnsi="Times New Roman"/>
          <w:sz w:val="24"/>
          <w:szCs w:val="24"/>
        </w:rPr>
      </w:pPr>
      <w:r w:rsidRPr="00584D87">
        <w:rPr>
          <w:rFonts w:ascii="Times New Roman" w:hAnsi="Times New Roman"/>
          <w:b/>
          <w:sz w:val="24"/>
          <w:szCs w:val="24"/>
          <w:u w:val="single"/>
        </w:rPr>
        <w:t>Deberá suprimirse</w:t>
      </w:r>
      <w:r w:rsidR="00047865" w:rsidRPr="00584D87">
        <w:rPr>
          <w:rFonts w:ascii="Times New Roman" w:hAnsi="Times New Roman"/>
          <w:sz w:val="24"/>
          <w:szCs w:val="24"/>
        </w:rPr>
        <w:t xml:space="preserve"> de la Cláusula Décimo Tercera</w:t>
      </w:r>
      <w:r w:rsidRPr="00584D87">
        <w:rPr>
          <w:rFonts w:ascii="Times New Roman" w:hAnsi="Times New Roman"/>
          <w:sz w:val="24"/>
          <w:szCs w:val="24"/>
        </w:rPr>
        <w:t xml:space="preserve"> la referencia a “F = 0.40 para plazos menores o iguales a sesenta (60) días”, dado que dicha disposición no corresponde al plazo de ejecución de la presente contratación.</w:t>
      </w:r>
    </w:p>
    <w:p w:rsidR="00B77E0F" w:rsidRPr="002A52A0" w:rsidRDefault="00B77E0F" w:rsidP="002A52A0">
      <w:pPr>
        <w:widowControl w:val="0"/>
        <w:spacing w:after="0" w:line="240" w:lineRule="auto"/>
        <w:jc w:val="both"/>
        <w:rPr>
          <w:rFonts w:ascii="Times New Roman" w:eastAsia="MS Mincho" w:hAnsi="Times New Roman"/>
          <w:b/>
          <w:snapToGrid w:val="0"/>
          <w:sz w:val="24"/>
          <w:szCs w:val="24"/>
          <w:lang w:eastAsia="es-PE"/>
        </w:rPr>
      </w:pPr>
    </w:p>
    <w:p w:rsidR="00066DAA" w:rsidRPr="002A52A0" w:rsidRDefault="00066DAA" w:rsidP="002A52A0">
      <w:pPr>
        <w:widowControl w:val="0"/>
        <w:numPr>
          <w:ilvl w:val="0"/>
          <w:numId w:val="1"/>
        </w:numPr>
        <w:spacing w:after="0" w:line="240" w:lineRule="auto"/>
        <w:jc w:val="both"/>
        <w:rPr>
          <w:rFonts w:ascii="Times New Roman" w:eastAsia="MS Mincho" w:hAnsi="Times New Roman"/>
          <w:b/>
          <w:snapToGrid w:val="0"/>
          <w:sz w:val="24"/>
          <w:szCs w:val="24"/>
          <w:lang w:eastAsia="es-PE"/>
        </w:rPr>
      </w:pPr>
      <w:r w:rsidRPr="002A52A0">
        <w:rPr>
          <w:rFonts w:ascii="Times New Roman" w:eastAsia="MS Mincho" w:hAnsi="Times New Roman"/>
          <w:b/>
          <w:snapToGrid w:val="0"/>
          <w:sz w:val="24"/>
          <w:szCs w:val="24"/>
          <w:lang w:eastAsia="es-PE"/>
        </w:rPr>
        <w:t xml:space="preserve">CONCLUSIONES </w:t>
      </w:r>
    </w:p>
    <w:p w:rsidR="00066DAA" w:rsidRPr="002A52A0" w:rsidRDefault="00066DAA" w:rsidP="002A52A0">
      <w:pPr>
        <w:widowControl w:val="0"/>
        <w:spacing w:after="0" w:line="240" w:lineRule="auto"/>
        <w:jc w:val="both"/>
        <w:rPr>
          <w:rFonts w:ascii="Times New Roman" w:eastAsia="Times New Roman" w:hAnsi="Times New Roman"/>
          <w:snapToGrid w:val="0"/>
          <w:sz w:val="24"/>
          <w:szCs w:val="24"/>
          <w:lang w:eastAsia="es-MX"/>
        </w:rPr>
      </w:pPr>
    </w:p>
    <w:p w:rsidR="00066DAA" w:rsidRPr="002A52A0" w:rsidRDefault="00066DAA" w:rsidP="002A52A0">
      <w:pPr>
        <w:widowControl w:val="0"/>
        <w:spacing w:after="0" w:line="240" w:lineRule="auto"/>
        <w:jc w:val="both"/>
        <w:rPr>
          <w:rFonts w:ascii="Times New Roman" w:hAnsi="Times New Roman"/>
          <w:snapToGrid w:val="0"/>
          <w:sz w:val="24"/>
          <w:szCs w:val="24"/>
        </w:rPr>
      </w:pPr>
      <w:r w:rsidRPr="002A52A0">
        <w:rPr>
          <w:rFonts w:ascii="Times New Roman" w:hAnsi="Times New Roman"/>
          <w:snapToGrid w:val="0"/>
          <w:sz w:val="24"/>
          <w:szCs w:val="24"/>
        </w:rPr>
        <w:t>En virtud de lo expuesto, este Organismo Supervisor ha dispuesto:</w:t>
      </w:r>
    </w:p>
    <w:p w:rsidR="00066DAA" w:rsidRPr="002A52A0" w:rsidRDefault="00066DAA" w:rsidP="002A52A0">
      <w:pPr>
        <w:widowControl w:val="0"/>
        <w:spacing w:after="0" w:line="240" w:lineRule="auto"/>
        <w:jc w:val="both"/>
        <w:rPr>
          <w:rFonts w:ascii="Times New Roman" w:hAnsi="Times New Roman"/>
          <w:snapToGrid w:val="0"/>
          <w:sz w:val="24"/>
          <w:szCs w:val="24"/>
        </w:rPr>
      </w:pPr>
    </w:p>
    <w:p w:rsidR="00066DAA" w:rsidRPr="002A52A0" w:rsidRDefault="00066DAA" w:rsidP="002A52A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2A52A0">
        <w:rPr>
          <w:rFonts w:ascii="Times New Roman" w:eastAsia="Times New Roman" w:hAnsi="Times New Roman"/>
          <w:snapToGrid w:val="0"/>
          <w:sz w:val="24"/>
          <w:szCs w:val="24"/>
          <w:lang w:eastAsia="es-MX"/>
        </w:rPr>
        <w:t xml:space="preserve">El </w:t>
      </w:r>
      <w:r w:rsidRPr="002A52A0">
        <w:rPr>
          <w:rFonts w:ascii="Times New Roman" w:hAnsi="Times New Roman"/>
          <w:sz w:val="24"/>
          <w:szCs w:val="24"/>
          <w:lang w:val="es-ES" w:eastAsia="es-ES"/>
        </w:rPr>
        <w:t>Comité Especial deberá cumplir con lo dispuesto por este Organismo Supervisor al absolver las observaciones indicadas en el numeral 2 del presente Pronunciamiento.</w:t>
      </w:r>
    </w:p>
    <w:p w:rsidR="00066DAA" w:rsidRPr="002A52A0" w:rsidRDefault="00066DAA" w:rsidP="002A52A0">
      <w:pPr>
        <w:widowControl w:val="0"/>
        <w:spacing w:after="0" w:line="240" w:lineRule="auto"/>
        <w:ind w:left="567"/>
        <w:jc w:val="both"/>
        <w:rPr>
          <w:rFonts w:ascii="Times New Roman" w:eastAsia="Times New Roman" w:hAnsi="Times New Roman"/>
          <w:sz w:val="24"/>
          <w:szCs w:val="24"/>
          <w:lang w:val="es-MX" w:eastAsia="es-MX"/>
        </w:rPr>
      </w:pPr>
    </w:p>
    <w:p w:rsidR="00066DAA" w:rsidRPr="002A52A0" w:rsidRDefault="00066DAA" w:rsidP="002A52A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2A52A0">
        <w:rPr>
          <w:rFonts w:ascii="Times New Roman" w:hAnsi="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066DAA" w:rsidRPr="002A52A0" w:rsidRDefault="00066DAA" w:rsidP="002A52A0">
      <w:pPr>
        <w:widowControl w:val="0"/>
        <w:spacing w:after="0" w:line="240" w:lineRule="auto"/>
        <w:ind w:left="567"/>
        <w:jc w:val="both"/>
        <w:rPr>
          <w:rFonts w:ascii="Times New Roman" w:eastAsia="Times New Roman" w:hAnsi="Times New Roman"/>
          <w:sz w:val="24"/>
          <w:szCs w:val="24"/>
          <w:lang w:val="es-MX" w:eastAsia="es-MX"/>
        </w:rPr>
      </w:pPr>
    </w:p>
    <w:p w:rsidR="00066DAA" w:rsidRPr="002A52A0" w:rsidRDefault="00066DAA" w:rsidP="002A52A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2A52A0">
        <w:rPr>
          <w:rFonts w:ascii="Times New Roman" w:hAnsi="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58º del Reglamento.</w:t>
      </w:r>
    </w:p>
    <w:p w:rsidR="00066DAA" w:rsidRPr="002A52A0" w:rsidRDefault="00066DAA" w:rsidP="002A52A0">
      <w:pPr>
        <w:widowControl w:val="0"/>
        <w:spacing w:after="0" w:line="240" w:lineRule="auto"/>
        <w:ind w:left="567"/>
        <w:jc w:val="both"/>
        <w:rPr>
          <w:rFonts w:ascii="Times New Roman" w:eastAsia="Times New Roman" w:hAnsi="Times New Roman"/>
          <w:sz w:val="24"/>
          <w:szCs w:val="24"/>
          <w:lang w:val="es-MX" w:eastAsia="es-MX"/>
        </w:rPr>
      </w:pPr>
    </w:p>
    <w:p w:rsidR="00066DAA" w:rsidRPr="002A52A0" w:rsidRDefault="00066DAA" w:rsidP="002A52A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2A52A0">
        <w:rPr>
          <w:rFonts w:ascii="Times New Roman" w:hAnsi="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w:t>
      </w:r>
      <w:r w:rsidRPr="002A52A0">
        <w:rPr>
          <w:rFonts w:ascii="Times New Roman" w:hAnsi="Times New Roman"/>
          <w:iCs/>
          <w:sz w:val="24"/>
          <w:szCs w:val="24"/>
        </w:rPr>
        <w:lastRenderedPageBreak/>
        <w:t xml:space="preserve">registro de participantes sea electrónico, las personas naturales y jurídicas que deseen participar en el presente proceso de selección podrán registrarse hasta un </w:t>
      </w:r>
      <w:r w:rsidRPr="002A52A0">
        <w:rPr>
          <w:rFonts w:ascii="Times New Roman" w:eastAsia="Times New Roman" w:hAnsi="Times New Roman"/>
          <w:sz w:val="24"/>
          <w:szCs w:val="24"/>
          <w:lang w:val="es-MX" w:eastAsia="es-MX"/>
        </w:rPr>
        <w:t xml:space="preserve">un (1) día después de haber quedado integradas las Bases, y que, a tenor del artículo 24º del Reglamento, entre la integración de Bases y la presentación de propuestas no podrá mediar menos de </w:t>
      </w:r>
      <w:r w:rsidR="00E31D4B">
        <w:rPr>
          <w:rFonts w:ascii="Times New Roman" w:eastAsia="Times New Roman" w:hAnsi="Times New Roman"/>
          <w:sz w:val="24"/>
          <w:szCs w:val="24"/>
          <w:lang w:val="es-MX" w:eastAsia="es-MX"/>
        </w:rPr>
        <w:t>cinco</w:t>
      </w:r>
      <w:r w:rsidRPr="002A52A0">
        <w:rPr>
          <w:rFonts w:ascii="Times New Roman" w:eastAsia="Times New Roman" w:hAnsi="Times New Roman"/>
          <w:sz w:val="24"/>
          <w:szCs w:val="24"/>
          <w:lang w:val="es-MX" w:eastAsia="es-MX"/>
        </w:rPr>
        <w:t xml:space="preserve"> (</w:t>
      </w:r>
      <w:r w:rsidR="00E31D4B">
        <w:rPr>
          <w:rFonts w:ascii="Times New Roman" w:eastAsia="Times New Roman" w:hAnsi="Times New Roman"/>
          <w:sz w:val="24"/>
          <w:szCs w:val="24"/>
          <w:lang w:val="es-MX" w:eastAsia="es-MX"/>
        </w:rPr>
        <w:t>5</w:t>
      </w:r>
      <w:r w:rsidRPr="002A52A0">
        <w:rPr>
          <w:rFonts w:ascii="Times New Roman" w:eastAsia="Times New Roman" w:hAnsi="Times New Roman"/>
          <w:sz w:val="24"/>
          <w:szCs w:val="24"/>
          <w:lang w:val="es-MX" w:eastAsia="es-MX"/>
        </w:rPr>
        <w:t>) días hábiles, computados a partir del día siguiente de la publicación de las Bases integradas en el SEACE.</w:t>
      </w:r>
    </w:p>
    <w:p w:rsidR="00066DAA" w:rsidRPr="002A52A0" w:rsidRDefault="003D1611" w:rsidP="002A52A0">
      <w:pPr>
        <w:pStyle w:val="Prrafodelista"/>
        <w:spacing w:after="0" w:line="240" w:lineRule="auto"/>
        <w:jc w:val="both"/>
        <w:rPr>
          <w:rFonts w:ascii="Times New Roman" w:eastAsia="Times New Roman" w:hAnsi="Times New Roman"/>
          <w:sz w:val="24"/>
          <w:szCs w:val="24"/>
          <w:lang w:val="es-MX" w:eastAsia="es-MX"/>
        </w:rPr>
      </w:pPr>
      <w:r w:rsidRPr="00F751FC">
        <w:rPr>
          <w:noProof/>
          <w:color w:val="000000" w:themeColor="text1"/>
          <w:lang w:val="es-PE"/>
        </w:rPr>
        <w:drawing>
          <wp:anchor distT="0" distB="0" distL="114300" distR="114300" simplePos="0" relativeHeight="251673600" behindDoc="1" locked="0" layoutInCell="1" allowOverlap="1" wp14:anchorId="05C47B46" wp14:editId="5DB9D830">
            <wp:simplePos x="0" y="0"/>
            <wp:positionH relativeFrom="leftMargin">
              <wp:posOffset>356235</wp:posOffset>
            </wp:positionH>
            <wp:positionV relativeFrom="paragraph">
              <wp:posOffset>-466725</wp:posOffset>
            </wp:positionV>
            <wp:extent cx="818515" cy="2643505"/>
            <wp:effectExtent l="0" t="0" r="635" b="4445"/>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97" t="24691" r="197"/>
                    <a:stretch/>
                  </pic:blipFill>
                  <pic:spPr bwMode="auto">
                    <a:xfrm>
                      <a:off x="0" y="0"/>
                      <a:ext cx="818515" cy="26435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66DAA" w:rsidRPr="002A52A0" w:rsidRDefault="00066DAA" w:rsidP="002A52A0">
      <w:pPr>
        <w:widowControl w:val="0"/>
        <w:numPr>
          <w:ilvl w:val="1"/>
          <w:numId w:val="2"/>
        </w:numPr>
        <w:spacing w:after="0" w:line="240" w:lineRule="auto"/>
        <w:ind w:left="567" w:hanging="567"/>
        <w:jc w:val="both"/>
        <w:rPr>
          <w:rFonts w:ascii="Times New Roman" w:eastAsia="Times New Roman" w:hAnsi="Times New Roman"/>
          <w:sz w:val="24"/>
          <w:szCs w:val="24"/>
          <w:lang w:val="es-MX" w:eastAsia="es-MX"/>
        </w:rPr>
      </w:pPr>
      <w:r w:rsidRPr="002A52A0">
        <w:rPr>
          <w:rFonts w:ascii="Times New Roman" w:hAnsi="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59º del Reglamento.</w:t>
      </w:r>
    </w:p>
    <w:p w:rsidR="00066DAA" w:rsidRPr="002A52A0" w:rsidRDefault="00066DAA" w:rsidP="002A52A0">
      <w:pPr>
        <w:widowControl w:val="0"/>
        <w:spacing w:after="0" w:line="240" w:lineRule="auto"/>
        <w:ind w:left="567"/>
        <w:jc w:val="both"/>
        <w:rPr>
          <w:rFonts w:ascii="Times New Roman" w:eastAsia="Times New Roman" w:hAnsi="Times New Roman"/>
          <w:sz w:val="24"/>
          <w:szCs w:val="24"/>
          <w:lang w:val="es-MX" w:eastAsia="es-MX"/>
        </w:rPr>
      </w:pPr>
    </w:p>
    <w:p w:rsidR="00066DAA" w:rsidRPr="002A52A0" w:rsidRDefault="00066DAA" w:rsidP="002A52A0">
      <w:pPr>
        <w:widowControl w:val="0"/>
        <w:numPr>
          <w:ilvl w:val="1"/>
          <w:numId w:val="2"/>
        </w:numPr>
        <w:spacing w:after="0" w:line="240" w:lineRule="auto"/>
        <w:ind w:left="567" w:hanging="567"/>
        <w:jc w:val="both"/>
        <w:rPr>
          <w:rFonts w:ascii="Times New Roman" w:hAnsi="Times New Roman"/>
          <w:iCs/>
          <w:sz w:val="24"/>
          <w:szCs w:val="24"/>
        </w:rPr>
      </w:pPr>
      <w:r w:rsidRPr="002A52A0">
        <w:rPr>
          <w:rFonts w:ascii="Times New Roman" w:hAnsi="Times New Roman"/>
          <w:iCs/>
          <w:sz w:val="24"/>
          <w:szCs w:val="24"/>
        </w:rPr>
        <w:t>Conforme al artículo 58º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066DAA" w:rsidRPr="002A52A0" w:rsidRDefault="00066DAA" w:rsidP="002A52A0">
      <w:pPr>
        <w:pStyle w:val="Prrafodelista"/>
        <w:spacing w:after="0" w:line="240" w:lineRule="auto"/>
        <w:jc w:val="both"/>
        <w:rPr>
          <w:rFonts w:ascii="Times New Roman" w:hAnsi="Times New Roman"/>
          <w:iCs/>
          <w:sz w:val="24"/>
          <w:szCs w:val="24"/>
        </w:rPr>
      </w:pPr>
    </w:p>
    <w:p w:rsidR="00066DAA" w:rsidRPr="002A52A0" w:rsidRDefault="00066DAA" w:rsidP="002A52A0">
      <w:pPr>
        <w:widowControl w:val="0"/>
        <w:numPr>
          <w:ilvl w:val="1"/>
          <w:numId w:val="2"/>
        </w:numPr>
        <w:spacing w:after="0" w:line="240" w:lineRule="auto"/>
        <w:ind w:left="567" w:hanging="567"/>
        <w:jc w:val="both"/>
        <w:rPr>
          <w:rFonts w:ascii="Times New Roman" w:hAnsi="Times New Roman"/>
          <w:iCs/>
          <w:sz w:val="24"/>
          <w:szCs w:val="24"/>
        </w:rPr>
      </w:pPr>
      <w:r w:rsidRPr="002A52A0">
        <w:rPr>
          <w:rFonts w:ascii="Times New Roman" w:hAnsi="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066DAA" w:rsidRPr="002A52A0" w:rsidRDefault="00066DAA" w:rsidP="002A52A0">
      <w:pPr>
        <w:widowControl w:val="0"/>
        <w:spacing w:after="0" w:line="240" w:lineRule="auto"/>
        <w:ind w:left="567"/>
        <w:jc w:val="both"/>
        <w:rPr>
          <w:rFonts w:ascii="Times New Roman" w:hAnsi="Times New Roman"/>
          <w:iCs/>
          <w:sz w:val="24"/>
          <w:szCs w:val="24"/>
        </w:rPr>
      </w:pPr>
    </w:p>
    <w:p w:rsidR="00066DAA" w:rsidRPr="002A52A0" w:rsidRDefault="00066DAA" w:rsidP="002A52A0">
      <w:pPr>
        <w:widowControl w:val="0"/>
        <w:spacing w:after="0" w:line="240" w:lineRule="auto"/>
        <w:ind w:left="3545" w:firstLine="709"/>
        <w:jc w:val="both"/>
        <w:rPr>
          <w:rFonts w:ascii="Times New Roman" w:hAnsi="Times New Roman"/>
          <w:sz w:val="24"/>
          <w:szCs w:val="24"/>
        </w:rPr>
      </w:pPr>
    </w:p>
    <w:p w:rsidR="00066DAA" w:rsidRPr="002A52A0" w:rsidRDefault="00B77E0F" w:rsidP="002A52A0">
      <w:pPr>
        <w:widowControl w:val="0"/>
        <w:spacing w:after="0" w:line="240" w:lineRule="auto"/>
        <w:ind w:left="3545" w:firstLine="709"/>
        <w:jc w:val="both"/>
        <w:rPr>
          <w:rFonts w:ascii="Times New Roman" w:hAnsi="Times New Roman"/>
          <w:sz w:val="24"/>
          <w:szCs w:val="24"/>
        </w:rPr>
      </w:pPr>
      <w:r w:rsidRPr="002A52A0">
        <w:rPr>
          <w:rFonts w:ascii="Times New Roman" w:hAnsi="Times New Roman"/>
          <w:sz w:val="24"/>
          <w:szCs w:val="24"/>
        </w:rPr>
        <w:t xml:space="preserve">                 Jesús María, 1</w:t>
      </w:r>
      <w:r w:rsidR="00A77598">
        <w:rPr>
          <w:rFonts w:ascii="Times New Roman" w:hAnsi="Times New Roman"/>
          <w:sz w:val="24"/>
          <w:szCs w:val="24"/>
        </w:rPr>
        <w:t>7</w:t>
      </w:r>
      <w:r w:rsidRPr="002A52A0">
        <w:rPr>
          <w:rFonts w:ascii="Times New Roman" w:hAnsi="Times New Roman"/>
          <w:sz w:val="24"/>
          <w:szCs w:val="24"/>
        </w:rPr>
        <w:t xml:space="preserve"> de agosto</w:t>
      </w:r>
      <w:r w:rsidR="00066DAA" w:rsidRPr="002A52A0">
        <w:rPr>
          <w:rFonts w:ascii="Times New Roman" w:hAnsi="Times New Roman"/>
          <w:sz w:val="24"/>
          <w:szCs w:val="24"/>
        </w:rPr>
        <w:t xml:space="preserve"> de 2015.</w:t>
      </w:r>
    </w:p>
    <w:p w:rsidR="00066DAA" w:rsidRPr="002A52A0" w:rsidRDefault="00066DAA" w:rsidP="002A52A0">
      <w:pPr>
        <w:widowControl w:val="0"/>
        <w:spacing w:after="0" w:line="240" w:lineRule="auto"/>
        <w:ind w:left="3545" w:firstLine="709"/>
        <w:jc w:val="center"/>
        <w:rPr>
          <w:rFonts w:ascii="Times New Roman" w:hAnsi="Times New Roman"/>
          <w:sz w:val="24"/>
          <w:szCs w:val="24"/>
        </w:rPr>
      </w:pPr>
    </w:p>
    <w:p w:rsidR="00B77E0F" w:rsidRPr="002A52A0" w:rsidRDefault="003D1611" w:rsidP="002A52A0">
      <w:pPr>
        <w:widowControl w:val="0"/>
        <w:spacing w:after="0" w:line="240" w:lineRule="auto"/>
        <w:ind w:left="2127" w:hanging="138"/>
        <w:contextualSpacing/>
        <w:jc w:val="both"/>
        <w:rPr>
          <w:rFonts w:ascii="Times New Roman" w:hAnsi="Times New Roman"/>
          <w:b/>
          <w:sz w:val="24"/>
          <w:szCs w:val="24"/>
        </w:rPr>
      </w:pPr>
      <w:r>
        <w:rPr>
          <w:rFonts w:ascii="Times New Roman" w:hAnsi="Times New Roman"/>
          <w:b/>
          <w:sz w:val="24"/>
          <w:szCs w:val="24"/>
        </w:rPr>
        <w:t xml:space="preserve"> </w:t>
      </w:r>
      <w:bookmarkStart w:id="0" w:name="_GoBack"/>
      <w:bookmarkEnd w:id="0"/>
      <w:r w:rsidR="00B77E0F" w:rsidRPr="002A52A0">
        <w:rPr>
          <w:rFonts w:ascii="Times New Roman" w:hAnsi="Times New Roman"/>
          <w:b/>
          <w:sz w:val="24"/>
          <w:szCs w:val="24"/>
        </w:rPr>
        <w:t>Elaborado:</w:t>
      </w:r>
      <w:r w:rsidR="00B77E0F" w:rsidRPr="002A52A0">
        <w:rPr>
          <w:rFonts w:ascii="Times New Roman" w:hAnsi="Times New Roman"/>
          <w:b/>
          <w:sz w:val="24"/>
          <w:szCs w:val="24"/>
        </w:rPr>
        <w:tab/>
        <w:t xml:space="preserve">  Luis Alberto Villarreal Angulo</w:t>
      </w:r>
    </w:p>
    <w:p w:rsidR="00B77E0F" w:rsidRPr="002A52A0" w:rsidRDefault="00B77E0F" w:rsidP="002A52A0">
      <w:pPr>
        <w:widowControl w:val="0"/>
        <w:tabs>
          <w:tab w:val="left" w:pos="1985"/>
        </w:tabs>
        <w:spacing w:after="0" w:line="240" w:lineRule="auto"/>
        <w:contextualSpacing/>
        <w:jc w:val="both"/>
        <w:rPr>
          <w:rFonts w:ascii="Times New Roman" w:hAnsi="Times New Roman"/>
          <w:b/>
          <w:sz w:val="24"/>
          <w:szCs w:val="24"/>
        </w:rPr>
      </w:pPr>
      <w:r w:rsidRPr="002A52A0">
        <w:rPr>
          <w:rFonts w:ascii="Times New Roman" w:hAnsi="Times New Roman"/>
          <w:b/>
          <w:sz w:val="24"/>
          <w:szCs w:val="24"/>
        </w:rPr>
        <w:t xml:space="preserve">                                 Supervisado: </w:t>
      </w:r>
      <w:r w:rsidRPr="002A52A0">
        <w:rPr>
          <w:rFonts w:ascii="Times New Roman" w:hAnsi="Times New Roman"/>
          <w:b/>
          <w:sz w:val="24"/>
          <w:szCs w:val="24"/>
        </w:rPr>
        <w:tab/>
        <w:t xml:space="preserve">  </w:t>
      </w:r>
      <w:r w:rsidR="00E20E38">
        <w:rPr>
          <w:rFonts w:ascii="Times New Roman" w:hAnsi="Times New Roman"/>
          <w:b/>
          <w:sz w:val="24"/>
          <w:szCs w:val="24"/>
        </w:rPr>
        <w:t>Anthony Laura Silva</w:t>
      </w:r>
    </w:p>
    <w:p w:rsidR="00E20E38" w:rsidRPr="002A52A0" w:rsidRDefault="00B77E0F" w:rsidP="00E20E38">
      <w:pPr>
        <w:widowControl w:val="0"/>
        <w:tabs>
          <w:tab w:val="left" w:pos="1985"/>
        </w:tabs>
        <w:spacing w:after="0" w:line="240" w:lineRule="auto"/>
        <w:contextualSpacing/>
        <w:jc w:val="both"/>
        <w:rPr>
          <w:rFonts w:ascii="Times New Roman" w:hAnsi="Times New Roman"/>
          <w:b/>
          <w:sz w:val="24"/>
          <w:szCs w:val="24"/>
        </w:rPr>
      </w:pPr>
      <w:r w:rsidRPr="002A52A0">
        <w:rPr>
          <w:rFonts w:ascii="Times New Roman" w:hAnsi="Times New Roman"/>
          <w:b/>
          <w:sz w:val="24"/>
          <w:szCs w:val="24"/>
        </w:rPr>
        <w:t xml:space="preserve">                                 Validado:</w:t>
      </w:r>
      <w:r w:rsidRPr="002A52A0">
        <w:rPr>
          <w:rFonts w:ascii="Times New Roman" w:hAnsi="Times New Roman"/>
          <w:b/>
          <w:sz w:val="24"/>
          <w:szCs w:val="24"/>
        </w:rPr>
        <w:tab/>
        <w:t xml:space="preserve">  </w:t>
      </w:r>
      <w:r w:rsidR="00E20E38">
        <w:rPr>
          <w:rFonts w:ascii="Times New Roman" w:hAnsi="Times New Roman"/>
          <w:b/>
          <w:sz w:val="24"/>
          <w:szCs w:val="24"/>
        </w:rPr>
        <w:t xml:space="preserve">Pamela Hawkins </w:t>
      </w:r>
      <w:proofErr w:type="spellStart"/>
      <w:r w:rsidR="00E20E38">
        <w:rPr>
          <w:rFonts w:ascii="Times New Roman" w:hAnsi="Times New Roman"/>
          <w:b/>
          <w:sz w:val="24"/>
          <w:szCs w:val="24"/>
        </w:rPr>
        <w:t>Tacchino</w:t>
      </w:r>
      <w:proofErr w:type="spellEnd"/>
    </w:p>
    <w:p w:rsidR="00066DAA" w:rsidRPr="002A52A0" w:rsidRDefault="00066DAA" w:rsidP="002A52A0">
      <w:pPr>
        <w:widowControl w:val="0"/>
        <w:spacing w:after="0" w:line="240" w:lineRule="auto"/>
        <w:contextualSpacing/>
        <w:rPr>
          <w:rFonts w:ascii="Times New Roman" w:hAnsi="Times New Roman"/>
          <w:b/>
          <w:sz w:val="24"/>
          <w:szCs w:val="24"/>
        </w:rPr>
      </w:pPr>
    </w:p>
    <w:p w:rsidR="00066DAA" w:rsidRPr="002A52A0" w:rsidRDefault="00066DAA" w:rsidP="002A52A0">
      <w:pPr>
        <w:widowControl w:val="0"/>
        <w:spacing w:after="0" w:line="240" w:lineRule="auto"/>
        <w:ind w:left="3545" w:firstLine="709"/>
        <w:jc w:val="center"/>
        <w:rPr>
          <w:rFonts w:ascii="Times New Roman" w:hAnsi="Times New Roman"/>
          <w:b/>
          <w:sz w:val="24"/>
          <w:szCs w:val="24"/>
        </w:rPr>
      </w:pPr>
    </w:p>
    <w:p w:rsidR="00066DAA" w:rsidRPr="002A52A0" w:rsidRDefault="00066DAA" w:rsidP="002A52A0">
      <w:pPr>
        <w:widowControl w:val="0"/>
        <w:spacing w:after="0" w:line="240" w:lineRule="auto"/>
        <w:ind w:left="3545" w:firstLine="709"/>
        <w:jc w:val="center"/>
        <w:rPr>
          <w:rFonts w:ascii="Times New Roman" w:hAnsi="Times New Roman"/>
          <w:b/>
          <w:sz w:val="24"/>
          <w:szCs w:val="24"/>
        </w:rPr>
      </w:pPr>
    </w:p>
    <w:p w:rsidR="0026163B" w:rsidRPr="002A52A0" w:rsidRDefault="005174C9" w:rsidP="002A52A0">
      <w:pPr>
        <w:spacing w:after="0" w:line="240" w:lineRule="auto"/>
        <w:rPr>
          <w:rFonts w:ascii="Times New Roman" w:hAnsi="Times New Roman"/>
          <w:sz w:val="24"/>
          <w:szCs w:val="24"/>
        </w:rPr>
      </w:pPr>
      <w:r>
        <w:rPr>
          <w:rFonts w:ascii="Times New Roman" w:hAnsi="Times New Roman"/>
          <w:noProof/>
          <w:sz w:val="24"/>
          <w:szCs w:val="24"/>
          <w:lang w:eastAsia="es-PE"/>
        </w:rPr>
        <w:drawing>
          <wp:anchor distT="0" distB="0" distL="114300" distR="114300" simplePos="0" relativeHeight="251659264" behindDoc="1" locked="0" layoutInCell="1" allowOverlap="1">
            <wp:simplePos x="0" y="0"/>
            <wp:positionH relativeFrom="column">
              <wp:posOffset>966380</wp:posOffset>
            </wp:positionH>
            <wp:positionV relativeFrom="paragraph">
              <wp:posOffset>95527</wp:posOffset>
            </wp:positionV>
            <wp:extent cx="2887131" cy="1068947"/>
            <wp:effectExtent l="19050" t="0" r="8469"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pic:cNvPicPr>
                      <a:picLocks noChangeAspect="1" noChangeArrowheads="1"/>
                    </pic:cNvPicPr>
                  </pic:nvPicPr>
                  <pic:blipFill>
                    <a:blip r:embed="rId10" cstate="print">
                      <a:extLst>
                        <a:ext uri="{28A0092B-C50C-407E-A947-70E740481C1C}">
                          <a14:useLocalDpi xmlns:a14="http://schemas.microsoft.com/office/drawing/2010/main" val="0"/>
                        </a:ext>
                      </a:extLst>
                    </a:blip>
                    <a:srcRect t="5208" r="7138" b="15625"/>
                    <a:stretch>
                      <a:fillRect/>
                    </a:stretch>
                  </pic:blipFill>
                  <pic:spPr bwMode="auto">
                    <a:xfrm>
                      <a:off x="0" y="0"/>
                      <a:ext cx="2887131" cy="1068947"/>
                    </a:xfrm>
                    <a:prstGeom prst="rect">
                      <a:avLst/>
                    </a:prstGeom>
                    <a:noFill/>
                  </pic:spPr>
                </pic:pic>
              </a:graphicData>
            </a:graphic>
          </wp:anchor>
        </w:drawing>
      </w:r>
    </w:p>
    <w:sectPr w:rsidR="0026163B" w:rsidRPr="002A52A0" w:rsidSect="00126D4E">
      <w:headerReference w:type="default" r:id="rId11"/>
      <w:pgSz w:w="12240" w:h="15840"/>
      <w:pgMar w:top="84" w:right="1327" w:bottom="1418" w:left="209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715" w:rsidRDefault="00690715">
      <w:pPr>
        <w:spacing w:after="0" w:line="240" w:lineRule="auto"/>
      </w:pPr>
      <w:r>
        <w:separator/>
      </w:r>
    </w:p>
  </w:endnote>
  <w:endnote w:type="continuationSeparator" w:id="0">
    <w:p w:rsidR="00690715" w:rsidRDefault="00690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715" w:rsidRDefault="00690715">
      <w:pPr>
        <w:spacing w:after="0" w:line="240" w:lineRule="auto"/>
      </w:pPr>
      <w:r>
        <w:separator/>
      </w:r>
    </w:p>
  </w:footnote>
  <w:footnote w:type="continuationSeparator" w:id="0">
    <w:p w:rsidR="00690715" w:rsidRDefault="006907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7C29" w:rsidRDefault="00787C29">
    <w:pPr>
      <w:pStyle w:val="Encabezado"/>
      <w:jc w:val="center"/>
    </w:pPr>
  </w:p>
  <w:p w:rsidR="00787C29" w:rsidRDefault="00787C2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0000001F"/>
    <w:name w:val="WW8Num31"/>
    <w:lvl w:ilvl="0">
      <w:start w:val="3"/>
      <w:numFmt w:val="decimal"/>
      <w:lvlText w:val="%1"/>
      <w:lvlJc w:val="left"/>
      <w:pPr>
        <w:tabs>
          <w:tab w:val="num" w:pos="360"/>
        </w:tabs>
        <w:ind w:left="360" w:hanging="360"/>
      </w:pPr>
    </w:lvl>
    <w:lvl w:ilvl="1">
      <w:start w:val="1"/>
      <w:numFmt w:val="decimal"/>
      <w:lvlText w:val="%1.%2"/>
      <w:lvlJc w:val="left"/>
      <w:pPr>
        <w:tabs>
          <w:tab w:val="num" w:pos="4320"/>
        </w:tabs>
        <w:ind w:left="4320" w:hanging="360"/>
      </w:pPr>
    </w:lvl>
    <w:lvl w:ilvl="2">
      <w:start w:val="1"/>
      <w:numFmt w:val="decimal"/>
      <w:lvlText w:val="%1.%2.%3"/>
      <w:lvlJc w:val="left"/>
      <w:pPr>
        <w:tabs>
          <w:tab w:val="num" w:pos="8640"/>
        </w:tabs>
        <w:ind w:left="8640" w:hanging="720"/>
      </w:pPr>
    </w:lvl>
    <w:lvl w:ilvl="3">
      <w:start w:val="1"/>
      <w:numFmt w:val="decimal"/>
      <w:lvlText w:val="%1.%2.%3.%4"/>
      <w:lvlJc w:val="left"/>
      <w:pPr>
        <w:tabs>
          <w:tab w:val="num" w:pos="12960"/>
        </w:tabs>
        <w:ind w:left="12960" w:hanging="1080"/>
      </w:pPr>
    </w:lvl>
    <w:lvl w:ilvl="4">
      <w:start w:val="1"/>
      <w:numFmt w:val="decimal"/>
      <w:lvlText w:val="%1.%2.%3.%4.%5"/>
      <w:lvlJc w:val="left"/>
      <w:pPr>
        <w:tabs>
          <w:tab w:val="num" w:pos="16920"/>
        </w:tabs>
        <w:ind w:left="16920" w:hanging="1080"/>
      </w:pPr>
    </w:lvl>
    <w:lvl w:ilvl="5">
      <w:start w:val="1"/>
      <w:numFmt w:val="decimal"/>
      <w:lvlText w:val="%1.%2.%3.%4.%5.%6"/>
      <w:lvlJc w:val="left"/>
      <w:pPr>
        <w:tabs>
          <w:tab w:val="num" w:pos="21240"/>
        </w:tabs>
        <w:ind w:left="21240" w:hanging="1440"/>
      </w:pPr>
    </w:lvl>
    <w:lvl w:ilvl="6">
      <w:start w:val="1"/>
      <w:numFmt w:val="decimal"/>
      <w:lvlText w:val="%1.%2.%3.%4.%5.%6.%7"/>
      <w:lvlJc w:val="left"/>
      <w:pPr>
        <w:tabs>
          <w:tab w:val="num" w:pos="25200"/>
        </w:tabs>
        <w:ind w:left="25200" w:hanging="1440"/>
      </w:pPr>
    </w:lvl>
    <w:lvl w:ilvl="7">
      <w:start w:val="1"/>
      <w:numFmt w:val="decimal"/>
      <w:lvlText w:val="%1.%2.%3.%4.%5.%6.%7.%8"/>
      <w:lvlJc w:val="left"/>
      <w:pPr>
        <w:tabs>
          <w:tab w:val="num" w:pos="29520"/>
        </w:tabs>
        <w:ind w:left="29520" w:hanging="1800"/>
      </w:pPr>
    </w:lvl>
    <w:lvl w:ilvl="8">
      <w:start w:val="1"/>
      <w:numFmt w:val="decimal"/>
      <w:lvlText w:val="%1.%2.%3.%4.%5.%6.%7.%8.%9"/>
      <w:lvlJc w:val="left"/>
      <w:pPr>
        <w:tabs>
          <w:tab w:val="num" w:pos="-31680"/>
        </w:tabs>
        <w:ind w:left="32056" w:hanging="1800"/>
      </w:pPr>
    </w:lvl>
  </w:abstractNum>
  <w:abstractNum w:abstractNumId="1">
    <w:nsid w:val="0D0E7E4A"/>
    <w:multiLevelType w:val="hybridMultilevel"/>
    <w:tmpl w:val="2A0A0E74"/>
    <w:lvl w:ilvl="0" w:tplc="040C9400">
      <w:start w:val="1"/>
      <w:numFmt w:val="low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nsid w:val="198121BE"/>
    <w:multiLevelType w:val="multilevel"/>
    <w:tmpl w:val="B186E052"/>
    <w:lvl w:ilvl="0">
      <w:start w:val="3"/>
      <w:numFmt w:val="decimal"/>
      <w:lvlText w:val="%1"/>
      <w:lvlJc w:val="left"/>
      <w:pPr>
        <w:ind w:left="360" w:hanging="360"/>
      </w:pPr>
      <w:rPr>
        <w:rFonts w:eastAsia="Calibri" w:hint="default"/>
        <w:b/>
        <w:color w:val="000000"/>
      </w:rPr>
    </w:lvl>
    <w:lvl w:ilvl="1">
      <w:start w:val="7"/>
      <w:numFmt w:val="decimal"/>
      <w:lvlText w:val="%1.%2"/>
      <w:lvlJc w:val="left"/>
      <w:pPr>
        <w:ind w:left="360" w:hanging="360"/>
      </w:pPr>
      <w:rPr>
        <w:rFonts w:eastAsia="Calibri" w:hint="default"/>
        <w:b/>
        <w:color w:val="000000"/>
      </w:rPr>
    </w:lvl>
    <w:lvl w:ilvl="2">
      <w:start w:val="1"/>
      <w:numFmt w:val="decimal"/>
      <w:lvlText w:val="%1.%2.%3"/>
      <w:lvlJc w:val="left"/>
      <w:pPr>
        <w:ind w:left="720" w:hanging="720"/>
      </w:pPr>
      <w:rPr>
        <w:rFonts w:eastAsia="Calibri" w:hint="default"/>
        <w:b/>
        <w:color w:val="000000"/>
      </w:rPr>
    </w:lvl>
    <w:lvl w:ilvl="3">
      <w:start w:val="1"/>
      <w:numFmt w:val="decimal"/>
      <w:lvlText w:val="%1.%2.%3.%4"/>
      <w:lvlJc w:val="left"/>
      <w:pPr>
        <w:ind w:left="720" w:hanging="720"/>
      </w:pPr>
      <w:rPr>
        <w:rFonts w:eastAsia="Calibri" w:hint="default"/>
        <w:b/>
        <w:color w:val="000000"/>
      </w:rPr>
    </w:lvl>
    <w:lvl w:ilvl="4">
      <w:start w:val="1"/>
      <w:numFmt w:val="decimal"/>
      <w:lvlText w:val="%1.%2.%3.%4.%5"/>
      <w:lvlJc w:val="left"/>
      <w:pPr>
        <w:ind w:left="1080" w:hanging="1080"/>
      </w:pPr>
      <w:rPr>
        <w:rFonts w:eastAsia="Calibri" w:hint="default"/>
        <w:b/>
        <w:color w:val="000000"/>
      </w:rPr>
    </w:lvl>
    <w:lvl w:ilvl="5">
      <w:start w:val="1"/>
      <w:numFmt w:val="decimal"/>
      <w:lvlText w:val="%1.%2.%3.%4.%5.%6"/>
      <w:lvlJc w:val="left"/>
      <w:pPr>
        <w:ind w:left="1080" w:hanging="1080"/>
      </w:pPr>
      <w:rPr>
        <w:rFonts w:eastAsia="Calibri" w:hint="default"/>
        <w:b/>
        <w:color w:val="000000"/>
      </w:rPr>
    </w:lvl>
    <w:lvl w:ilvl="6">
      <w:start w:val="1"/>
      <w:numFmt w:val="decimal"/>
      <w:lvlText w:val="%1.%2.%3.%4.%5.%6.%7"/>
      <w:lvlJc w:val="left"/>
      <w:pPr>
        <w:ind w:left="1440" w:hanging="1440"/>
      </w:pPr>
      <w:rPr>
        <w:rFonts w:eastAsia="Calibri" w:hint="default"/>
        <w:b/>
        <w:color w:val="000000"/>
      </w:rPr>
    </w:lvl>
    <w:lvl w:ilvl="7">
      <w:start w:val="1"/>
      <w:numFmt w:val="decimal"/>
      <w:lvlText w:val="%1.%2.%3.%4.%5.%6.%7.%8"/>
      <w:lvlJc w:val="left"/>
      <w:pPr>
        <w:ind w:left="1440" w:hanging="1440"/>
      </w:pPr>
      <w:rPr>
        <w:rFonts w:eastAsia="Calibri" w:hint="default"/>
        <w:b/>
        <w:color w:val="000000"/>
      </w:rPr>
    </w:lvl>
    <w:lvl w:ilvl="8">
      <w:start w:val="1"/>
      <w:numFmt w:val="decimal"/>
      <w:lvlText w:val="%1.%2.%3.%4.%5.%6.%7.%8.%9"/>
      <w:lvlJc w:val="left"/>
      <w:pPr>
        <w:ind w:left="1800" w:hanging="1800"/>
      </w:pPr>
      <w:rPr>
        <w:rFonts w:eastAsia="Calibri" w:hint="default"/>
        <w:b/>
        <w:color w:val="000000"/>
      </w:rPr>
    </w:lvl>
  </w:abstractNum>
  <w:abstractNum w:abstractNumId="3">
    <w:nsid w:val="23344C2E"/>
    <w:multiLevelType w:val="multilevel"/>
    <w:tmpl w:val="9F9EF964"/>
    <w:lvl w:ilvl="0">
      <w:start w:val="3"/>
      <w:numFmt w:val="decimal"/>
      <w:lvlText w:val="%1"/>
      <w:lvlJc w:val="left"/>
      <w:pPr>
        <w:ind w:left="360" w:hanging="360"/>
      </w:pPr>
      <w:rPr>
        <w:rFonts w:eastAsia="Calibri" w:hint="default"/>
        <w:b/>
        <w:color w:val="000000"/>
      </w:rPr>
    </w:lvl>
    <w:lvl w:ilvl="1">
      <w:start w:val="1"/>
      <w:numFmt w:val="decimal"/>
      <w:lvlText w:val="%1.%2"/>
      <w:lvlJc w:val="left"/>
      <w:pPr>
        <w:ind w:left="360" w:hanging="360"/>
      </w:pPr>
      <w:rPr>
        <w:rFonts w:eastAsia="Calibri" w:hint="default"/>
        <w:b/>
        <w:color w:val="000000"/>
      </w:rPr>
    </w:lvl>
    <w:lvl w:ilvl="2">
      <w:start w:val="1"/>
      <w:numFmt w:val="decimal"/>
      <w:lvlText w:val="%1.%2.%3"/>
      <w:lvlJc w:val="left"/>
      <w:pPr>
        <w:ind w:left="720" w:hanging="720"/>
      </w:pPr>
      <w:rPr>
        <w:rFonts w:eastAsia="Calibri" w:hint="default"/>
        <w:b/>
        <w:color w:val="000000"/>
      </w:rPr>
    </w:lvl>
    <w:lvl w:ilvl="3">
      <w:start w:val="1"/>
      <w:numFmt w:val="decimal"/>
      <w:lvlText w:val="%1.%2.%3.%4"/>
      <w:lvlJc w:val="left"/>
      <w:pPr>
        <w:ind w:left="720" w:hanging="720"/>
      </w:pPr>
      <w:rPr>
        <w:rFonts w:eastAsia="Calibri" w:hint="default"/>
        <w:b/>
        <w:color w:val="000000"/>
      </w:rPr>
    </w:lvl>
    <w:lvl w:ilvl="4">
      <w:start w:val="1"/>
      <w:numFmt w:val="decimal"/>
      <w:lvlText w:val="%1.%2.%3.%4.%5"/>
      <w:lvlJc w:val="left"/>
      <w:pPr>
        <w:ind w:left="1080" w:hanging="1080"/>
      </w:pPr>
      <w:rPr>
        <w:rFonts w:eastAsia="Calibri" w:hint="default"/>
        <w:b/>
        <w:color w:val="000000"/>
      </w:rPr>
    </w:lvl>
    <w:lvl w:ilvl="5">
      <w:start w:val="1"/>
      <w:numFmt w:val="decimal"/>
      <w:lvlText w:val="%1.%2.%3.%4.%5.%6"/>
      <w:lvlJc w:val="left"/>
      <w:pPr>
        <w:ind w:left="1080" w:hanging="1080"/>
      </w:pPr>
      <w:rPr>
        <w:rFonts w:eastAsia="Calibri" w:hint="default"/>
        <w:b/>
        <w:color w:val="000000"/>
      </w:rPr>
    </w:lvl>
    <w:lvl w:ilvl="6">
      <w:start w:val="1"/>
      <w:numFmt w:val="decimal"/>
      <w:lvlText w:val="%1.%2.%3.%4.%5.%6.%7"/>
      <w:lvlJc w:val="left"/>
      <w:pPr>
        <w:ind w:left="1440" w:hanging="1440"/>
      </w:pPr>
      <w:rPr>
        <w:rFonts w:eastAsia="Calibri" w:hint="default"/>
        <w:b/>
        <w:color w:val="000000"/>
      </w:rPr>
    </w:lvl>
    <w:lvl w:ilvl="7">
      <w:start w:val="1"/>
      <w:numFmt w:val="decimal"/>
      <w:lvlText w:val="%1.%2.%3.%4.%5.%6.%7.%8"/>
      <w:lvlJc w:val="left"/>
      <w:pPr>
        <w:ind w:left="1440" w:hanging="1440"/>
      </w:pPr>
      <w:rPr>
        <w:rFonts w:eastAsia="Calibri" w:hint="default"/>
        <w:b/>
        <w:color w:val="000000"/>
      </w:rPr>
    </w:lvl>
    <w:lvl w:ilvl="8">
      <w:start w:val="1"/>
      <w:numFmt w:val="decimal"/>
      <w:lvlText w:val="%1.%2.%3.%4.%5.%6.%7.%8.%9"/>
      <w:lvlJc w:val="left"/>
      <w:pPr>
        <w:ind w:left="1800" w:hanging="1800"/>
      </w:pPr>
      <w:rPr>
        <w:rFonts w:eastAsia="Calibri" w:hint="default"/>
        <w:b/>
        <w:color w:val="000000"/>
      </w:rPr>
    </w:lvl>
  </w:abstractNum>
  <w:abstractNum w:abstractNumId="4">
    <w:nsid w:val="30C81876"/>
    <w:multiLevelType w:val="hybridMultilevel"/>
    <w:tmpl w:val="0414EAFC"/>
    <w:lvl w:ilvl="0" w:tplc="5F9A014C">
      <w:numFmt w:val="bullet"/>
      <w:lvlText w:val="-"/>
      <w:lvlJc w:val="left"/>
      <w:pPr>
        <w:ind w:left="720" w:hanging="360"/>
      </w:pPr>
      <w:rPr>
        <w:rFonts w:ascii="Times New Roman" w:eastAsia="Calibri"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nsid w:val="3F403B24"/>
    <w:multiLevelType w:val="multilevel"/>
    <w:tmpl w:val="287099D0"/>
    <w:lvl w:ilvl="0">
      <w:start w:val="3"/>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4DC24DB6"/>
    <w:multiLevelType w:val="multilevel"/>
    <w:tmpl w:val="E806E31C"/>
    <w:lvl w:ilvl="0">
      <w:start w:val="1"/>
      <w:numFmt w:val="decimal"/>
      <w:lvlText w:val="%1."/>
      <w:lvlJc w:val="left"/>
      <w:pPr>
        <w:tabs>
          <w:tab w:val="num" w:pos="360"/>
        </w:tabs>
        <w:ind w:left="360" w:hanging="360"/>
      </w:pPr>
      <w:rPr>
        <w:rFonts w:hint="default"/>
        <w:b/>
        <w:sz w:val="24"/>
        <w:szCs w:val="24"/>
        <w:vertAlign w:val="baseline"/>
      </w:rPr>
    </w:lvl>
    <w:lvl w:ilvl="1">
      <w:start w:val="11"/>
      <w:numFmt w:val="decimal"/>
      <w:isLgl/>
      <w:lvlText w:val="%1.%2."/>
      <w:lvlJc w:val="left"/>
      <w:pPr>
        <w:tabs>
          <w:tab w:val="num" w:pos="540"/>
        </w:tabs>
        <w:ind w:left="540" w:hanging="54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7">
    <w:nsid w:val="4F966B4E"/>
    <w:multiLevelType w:val="hybridMultilevel"/>
    <w:tmpl w:val="979A7002"/>
    <w:lvl w:ilvl="0" w:tplc="6A8CDD08">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nsid w:val="5C7F4890"/>
    <w:multiLevelType w:val="multilevel"/>
    <w:tmpl w:val="2D0C9144"/>
    <w:lvl w:ilvl="0">
      <w:start w:val="5"/>
      <w:numFmt w:val="none"/>
      <w:lvlText w:val="4."/>
      <w:lvlJc w:val="left"/>
      <w:pPr>
        <w:ind w:left="360" w:hanging="360"/>
      </w:pPr>
      <w:rPr>
        <w:rFonts w:hint="default"/>
      </w:rPr>
    </w:lvl>
    <w:lvl w:ilvl="1">
      <w:start w:val="1"/>
      <w:numFmt w:val="decimal"/>
      <w:lvlText w:val="%14.%2."/>
      <w:lvlJc w:val="left"/>
      <w:pPr>
        <w:ind w:left="50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D513CE2"/>
    <w:multiLevelType w:val="multilevel"/>
    <w:tmpl w:val="D03AF4B6"/>
    <w:lvl w:ilvl="0">
      <w:start w:val="3"/>
      <w:numFmt w:val="decimal"/>
      <w:lvlText w:val="%1."/>
      <w:lvlJc w:val="left"/>
      <w:pPr>
        <w:tabs>
          <w:tab w:val="num" w:pos="360"/>
        </w:tabs>
        <w:ind w:left="360" w:hanging="360"/>
      </w:pPr>
      <w:rPr>
        <w:rFonts w:hint="default"/>
        <w:b/>
      </w:rPr>
    </w:lvl>
    <w:lvl w:ilvl="1">
      <w:start w:val="5"/>
      <w:numFmt w:val="decimal"/>
      <w:isLgl/>
      <w:lvlText w:val="%1.%2."/>
      <w:lvlJc w:val="left"/>
      <w:pPr>
        <w:tabs>
          <w:tab w:val="num" w:pos="540"/>
        </w:tabs>
        <w:ind w:left="540" w:hanging="540"/>
      </w:pPr>
      <w:rPr>
        <w:rFonts w:hint="default"/>
        <w:b/>
        <w:i w:val="0"/>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080"/>
        </w:tabs>
        <w:ind w:left="1080" w:hanging="108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440"/>
        </w:tabs>
        <w:ind w:left="1440" w:hanging="1440"/>
      </w:pPr>
      <w:rPr>
        <w:rFonts w:hint="default"/>
        <w:b/>
      </w:rPr>
    </w:lvl>
    <w:lvl w:ilvl="8">
      <w:start w:val="1"/>
      <w:numFmt w:val="decimal"/>
      <w:isLgl/>
      <w:lvlText w:val="%1.%2.%3.%4.%5.%6.%7.%8.%9."/>
      <w:lvlJc w:val="left"/>
      <w:pPr>
        <w:tabs>
          <w:tab w:val="num" w:pos="1800"/>
        </w:tabs>
        <w:ind w:left="1800" w:hanging="1800"/>
      </w:pPr>
      <w:rPr>
        <w:rFonts w:hint="default"/>
        <w:b/>
      </w:rPr>
    </w:lvl>
  </w:abstractNum>
  <w:num w:numId="1">
    <w:abstractNumId w:val="6"/>
  </w:num>
  <w:num w:numId="2">
    <w:abstractNumId w:val="8"/>
  </w:num>
  <w:num w:numId="3">
    <w:abstractNumId w:val="1"/>
  </w:num>
  <w:num w:numId="4">
    <w:abstractNumId w:val="3"/>
  </w:num>
  <w:num w:numId="5">
    <w:abstractNumId w:val="4"/>
  </w:num>
  <w:num w:numId="6">
    <w:abstractNumId w:val="0"/>
  </w:num>
  <w:num w:numId="7">
    <w:abstractNumId w:val="7"/>
  </w:num>
  <w:num w:numId="8">
    <w:abstractNumId w:val="9"/>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DAA"/>
    <w:rsid w:val="00031D7C"/>
    <w:rsid w:val="00047865"/>
    <w:rsid w:val="00052DB9"/>
    <w:rsid w:val="00061DCD"/>
    <w:rsid w:val="00066DAA"/>
    <w:rsid w:val="00126D4E"/>
    <w:rsid w:val="001C6AFF"/>
    <w:rsid w:val="00225D35"/>
    <w:rsid w:val="00254C31"/>
    <w:rsid w:val="002578AA"/>
    <w:rsid w:val="0026163B"/>
    <w:rsid w:val="002A52A0"/>
    <w:rsid w:val="002D268A"/>
    <w:rsid w:val="00396D7D"/>
    <w:rsid w:val="003A0CC9"/>
    <w:rsid w:val="003D1611"/>
    <w:rsid w:val="004D045D"/>
    <w:rsid w:val="004F4010"/>
    <w:rsid w:val="005174C9"/>
    <w:rsid w:val="00584D87"/>
    <w:rsid w:val="005B1CA0"/>
    <w:rsid w:val="005F3CDA"/>
    <w:rsid w:val="00644EFF"/>
    <w:rsid w:val="00660980"/>
    <w:rsid w:val="00690715"/>
    <w:rsid w:val="00695490"/>
    <w:rsid w:val="006C68D5"/>
    <w:rsid w:val="006D2903"/>
    <w:rsid w:val="00714207"/>
    <w:rsid w:val="0072690B"/>
    <w:rsid w:val="007318A8"/>
    <w:rsid w:val="00737207"/>
    <w:rsid w:val="00750C4F"/>
    <w:rsid w:val="00754520"/>
    <w:rsid w:val="00787C29"/>
    <w:rsid w:val="00834C11"/>
    <w:rsid w:val="00881950"/>
    <w:rsid w:val="008B4F25"/>
    <w:rsid w:val="00901743"/>
    <w:rsid w:val="00921785"/>
    <w:rsid w:val="009228B5"/>
    <w:rsid w:val="00943B6A"/>
    <w:rsid w:val="00A15B58"/>
    <w:rsid w:val="00A57BB3"/>
    <w:rsid w:val="00A77598"/>
    <w:rsid w:val="00AA5061"/>
    <w:rsid w:val="00AD0586"/>
    <w:rsid w:val="00B242D8"/>
    <w:rsid w:val="00B472AA"/>
    <w:rsid w:val="00B77D1F"/>
    <w:rsid w:val="00B77E0F"/>
    <w:rsid w:val="00BB60B3"/>
    <w:rsid w:val="00BD2955"/>
    <w:rsid w:val="00C04EA2"/>
    <w:rsid w:val="00CC3CB8"/>
    <w:rsid w:val="00CF281D"/>
    <w:rsid w:val="00D1594D"/>
    <w:rsid w:val="00D2142F"/>
    <w:rsid w:val="00D76B61"/>
    <w:rsid w:val="00DB71CE"/>
    <w:rsid w:val="00E10106"/>
    <w:rsid w:val="00E1797E"/>
    <w:rsid w:val="00E20E38"/>
    <w:rsid w:val="00E310FD"/>
    <w:rsid w:val="00E31D4B"/>
    <w:rsid w:val="00EC36C4"/>
    <w:rsid w:val="00EC49E2"/>
    <w:rsid w:val="00ED14F7"/>
    <w:rsid w:val="00EF187A"/>
    <w:rsid w:val="00EF40FE"/>
    <w:rsid w:val="00F004DD"/>
    <w:rsid w:val="00F44B14"/>
    <w:rsid w:val="00F81FC1"/>
    <w:rsid w:val="00FB0528"/>
    <w:rsid w:val="00FE1D2D"/>
  </w:rsids>
  <m:mathPr>
    <m:mathFont m:val="Cambria Math"/>
    <m:brkBin m:val="before"/>
    <m:brkBinSub m:val="--"/>
    <m:smallFrac/>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D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TITULO,Imagen 01."/>
    <w:basedOn w:val="Normal"/>
    <w:link w:val="PrrafodelistaCar"/>
    <w:uiPriority w:val="34"/>
    <w:qFormat/>
    <w:rsid w:val="00066DAA"/>
    <w:pPr>
      <w:ind w:left="708"/>
    </w:pPr>
    <w:rPr>
      <w:lang w:val="x-none"/>
    </w:rPr>
  </w:style>
  <w:style w:type="paragraph" w:customStyle="1" w:styleId="WW-Sangra3detindependiente">
    <w:name w:val="WW-Sangría 3 de t. independiente"/>
    <w:basedOn w:val="Normal"/>
    <w:rsid w:val="00066DAA"/>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066DAA"/>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066DAA"/>
    <w:pPr>
      <w:tabs>
        <w:tab w:val="center" w:pos="4252"/>
        <w:tab w:val="right" w:pos="8504"/>
      </w:tabs>
    </w:pPr>
    <w:rPr>
      <w:sz w:val="20"/>
      <w:szCs w:val="20"/>
      <w:lang w:eastAsia="x-none"/>
    </w:rPr>
  </w:style>
  <w:style w:type="character" w:customStyle="1" w:styleId="EncabezadoCar">
    <w:name w:val="Encabezado Car"/>
    <w:basedOn w:val="Fuentedeprrafopredeter"/>
    <w:link w:val="Encabezado"/>
    <w:uiPriority w:val="99"/>
    <w:rsid w:val="00066DAA"/>
    <w:rPr>
      <w:rFonts w:ascii="Calibri" w:eastAsia="Calibri" w:hAnsi="Calibri" w:cs="Times New Roman"/>
      <w:sz w:val="20"/>
      <w:szCs w:val="20"/>
      <w:lang w:eastAsia="x-none"/>
    </w:rPr>
  </w:style>
  <w:style w:type="character" w:customStyle="1" w:styleId="PrrafodelistaCar">
    <w:name w:val="Párrafo de lista Car"/>
    <w:aliases w:val="Titulo de Fígura Car,TITULO A Car,Titulo parrafo Car,Punto Car,TITULO Car,Imagen 01. Car"/>
    <w:link w:val="Prrafodelista"/>
    <w:uiPriority w:val="34"/>
    <w:rsid w:val="00066DAA"/>
    <w:rPr>
      <w:rFonts w:ascii="Calibri" w:eastAsia="Calibri" w:hAnsi="Calibri" w:cs="Times New Roman"/>
      <w:lang w:val="x-none"/>
    </w:rPr>
  </w:style>
  <w:style w:type="paragraph" w:styleId="Sinespaciado">
    <w:name w:val="No Spacing"/>
    <w:link w:val="SinespaciadoCar"/>
    <w:uiPriority w:val="1"/>
    <w:qFormat/>
    <w:rsid w:val="00066DAA"/>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066DAA"/>
    <w:rPr>
      <w:rFonts w:ascii="Calibri" w:eastAsia="Calibri" w:hAnsi="Calibri" w:cs="Times New Roman"/>
    </w:rPr>
  </w:style>
  <w:style w:type="paragraph" w:styleId="Textodeglobo">
    <w:name w:val="Balloon Text"/>
    <w:basedOn w:val="Normal"/>
    <w:link w:val="TextodegloboCar"/>
    <w:uiPriority w:val="99"/>
    <w:semiHidden/>
    <w:unhideWhenUsed/>
    <w:rsid w:val="00066D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6DAA"/>
    <w:rPr>
      <w:rFonts w:ascii="Tahoma" w:eastAsia="Calibri" w:hAnsi="Tahoma" w:cs="Tahoma"/>
      <w:sz w:val="16"/>
      <w:szCs w:val="16"/>
    </w:rPr>
  </w:style>
  <w:style w:type="paragraph" w:styleId="Piedepgina">
    <w:name w:val="footer"/>
    <w:basedOn w:val="Normal"/>
    <w:link w:val="PiedepginaCar"/>
    <w:uiPriority w:val="99"/>
    <w:unhideWhenUsed/>
    <w:rsid w:val="00AA50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5061"/>
    <w:rPr>
      <w:rFonts w:ascii="Calibri" w:eastAsia="Calibri" w:hAnsi="Calibri" w:cs="Times New Roman"/>
    </w:rPr>
  </w:style>
  <w:style w:type="paragraph" w:styleId="NormalWeb">
    <w:name w:val="Normal (Web)"/>
    <w:basedOn w:val="Normal"/>
    <w:rsid w:val="00834C11"/>
    <w:pPr>
      <w:spacing w:before="100" w:beforeAutospacing="1" w:after="100" w:afterAutospacing="1" w:line="240" w:lineRule="auto"/>
    </w:pPr>
    <w:rPr>
      <w:rFonts w:ascii="Times New Roman" w:eastAsia="Times New Roman" w:hAnsi="Times New Roman"/>
      <w:color w:val="000000"/>
      <w:sz w:val="24"/>
      <w:szCs w:val="24"/>
      <w:lang w:val="es-ES" w:eastAsia="es-E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locked/>
    <w:rsid w:val="006C68D5"/>
    <w:rPr>
      <w:rFonts w:ascii="Calibri" w:eastAsia="Calibri" w:hAnsi="Calibri" w:cs="Times New Roman"/>
      <w:sz w:val="20"/>
      <w:szCs w:val="20"/>
    </w:rPr>
  </w:style>
  <w:style w:type="paragraph" w:styleId="Textonotapie">
    <w:name w:val="footnote text"/>
    <w:aliases w:val="Car,Car1 Car Car,Car2 Car Car Car Car Car,Car2 Car,Car2,Car1 Car,Car1,Car1 Car Car Car Car,Car1 Car Car Car Car Car Car,Car Car Ca"/>
    <w:basedOn w:val="Normal"/>
    <w:link w:val="TextonotapieCar"/>
    <w:unhideWhenUsed/>
    <w:rsid w:val="006C68D5"/>
    <w:pPr>
      <w:spacing w:after="0" w:line="240" w:lineRule="auto"/>
    </w:pPr>
    <w:rPr>
      <w:sz w:val="20"/>
      <w:szCs w:val="20"/>
    </w:rPr>
  </w:style>
  <w:style w:type="character" w:customStyle="1" w:styleId="TextonotapieCar1">
    <w:name w:val="Texto nota pie Car1"/>
    <w:basedOn w:val="Fuentedeprrafopredeter"/>
    <w:uiPriority w:val="99"/>
    <w:semiHidden/>
    <w:rsid w:val="006C68D5"/>
    <w:rPr>
      <w:rFonts w:ascii="Calibri" w:eastAsia="Calibri" w:hAnsi="Calibri" w:cs="Times New Roman"/>
      <w:sz w:val="20"/>
      <w:szCs w:val="20"/>
    </w:rPr>
  </w:style>
  <w:style w:type="character" w:styleId="Refdenotaalpie">
    <w:name w:val="footnote reference"/>
    <w:aliases w:val="16 Point,Superscript 6 Point,FC,referencia nota al pie,CVR Ref. de nota al pie"/>
    <w:unhideWhenUsed/>
    <w:rsid w:val="006C68D5"/>
    <w:rPr>
      <w:vertAlign w:val="superscript"/>
    </w:rPr>
  </w:style>
  <w:style w:type="paragraph" w:customStyle="1" w:styleId="Normaltimes">
    <w:name w:val="Normal+times"/>
    <w:basedOn w:val="Normal"/>
    <w:link w:val="NormaltimesCar"/>
    <w:rsid w:val="00E1797E"/>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basedOn w:val="Fuentedeprrafopredeter"/>
    <w:link w:val="Normaltimes"/>
    <w:rsid w:val="00E1797E"/>
    <w:rPr>
      <w:rFonts w:ascii="Times New Roman" w:eastAsia="Times New Roman" w:hAnsi="Times New Roman" w:cs="Times New Roman"/>
      <w:sz w:val="24"/>
      <w:szCs w:val="20"/>
      <w:lang w:val="es-MX" w:eastAsia="es-MX"/>
    </w:rPr>
  </w:style>
  <w:style w:type="paragraph" w:customStyle="1" w:styleId="TDRNormal">
    <w:name w:val="TDR Normal"/>
    <w:basedOn w:val="Normal"/>
    <w:link w:val="TDRNormalChar"/>
    <w:uiPriority w:val="99"/>
    <w:rsid w:val="002578AA"/>
    <w:pPr>
      <w:tabs>
        <w:tab w:val="left" w:pos="-720"/>
      </w:tabs>
      <w:suppressAutoHyphens/>
      <w:spacing w:after="0" w:line="240" w:lineRule="auto"/>
      <w:ind w:left="600"/>
      <w:jc w:val="both"/>
    </w:pPr>
    <w:rPr>
      <w:rFonts w:ascii="Arial" w:eastAsia="Times New Roman" w:hAnsi="Arial" w:cs="Arial"/>
      <w:spacing w:val="-2"/>
      <w:sz w:val="24"/>
      <w:szCs w:val="24"/>
      <w:lang w:val="es-ES" w:eastAsia="es-PE"/>
    </w:rPr>
  </w:style>
  <w:style w:type="character" w:customStyle="1" w:styleId="TDRNormalChar">
    <w:name w:val="TDR Normal Char"/>
    <w:link w:val="TDRNormal"/>
    <w:uiPriority w:val="99"/>
    <w:rsid w:val="002578AA"/>
    <w:rPr>
      <w:rFonts w:ascii="Arial" w:eastAsia="Times New Roman" w:hAnsi="Arial" w:cs="Arial"/>
      <w:spacing w:val="-2"/>
      <w:sz w:val="24"/>
      <w:szCs w:val="24"/>
      <w:lang w:val="es-ES" w:eastAsia="es-P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DAA"/>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de Fígura,TITULO A,Titulo parrafo,Punto,TITULO,Imagen 01."/>
    <w:basedOn w:val="Normal"/>
    <w:link w:val="PrrafodelistaCar"/>
    <w:uiPriority w:val="34"/>
    <w:qFormat/>
    <w:rsid w:val="00066DAA"/>
    <w:pPr>
      <w:ind w:left="708"/>
    </w:pPr>
    <w:rPr>
      <w:lang w:val="x-none"/>
    </w:rPr>
  </w:style>
  <w:style w:type="paragraph" w:customStyle="1" w:styleId="WW-Sangra3detindependiente">
    <w:name w:val="WW-Sangría 3 de t. independiente"/>
    <w:basedOn w:val="Normal"/>
    <w:rsid w:val="00066DAA"/>
    <w:pPr>
      <w:widowControl w:val="0"/>
      <w:suppressAutoHyphens/>
      <w:spacing w:after="0" w:line="240" w:lineRule="auto"/>
      <w:ind w:left="426" w:firstLine="1"/>
      <w:jc w:val="both"/>
    </w:pPr>
    <w:rPr>
      <w:rFonts w:ascii="Times New Roman" w:eastAsia="Times New Roman" w:hAnsi="Times New Roman"/>
      <w:sz w:val="24"/>
      <w:szCs w:val="20"/>
      <w:lang w:val="es-ES_tradnl" w:eastAsia="es-MX"/>
    </w:rPr>
  </w:style>
  <w:style w:type="paragraph" w:customStyle="1" w:styleId="WW-Textoindependiente2">
    <w:name w:val="WW-Texto independiente 2"/>
    <w:basedOn w:val="Normal"/>
    <w:uiPriority w:val="99"/>
    <w:rsid w:val="00066DAA"/>
    <w:pPr>
      <w:spacing w:after="0" w:line="240" w:lineRule="auto"/>
      <w:jc w:val="both"/>
    </w:pPr>
    <w:rPr>
      <w:rFonts w:ascii="Arial" w:eastAsia="Times New Roman" w:hAnsi="Arial"/>
      <w:snapToGrid w:val="0"/>
      <w:sz w:val="24"/>
      <w:szCs w:val="24"/>
      <w:lang w:val="es-ES" w:eastAsia="es-MX"/>
    </w:rPr>
  </w:style>
  <w:style w:type="paragraph" w:styleId="Encabezado">
    <w:name w:val="header"/>
    <w:basedOn w:val="Normal"/>
    <w:link w:val="EncabezadoCar"/>
    <w:uiPriority w:val="99"/>
    <w:unhideWhenUsed/>
    <w:rsid w:val="00066DAA"/>
    <w:pPr>
      <w:tabs>
        <w:tab w:val="center" w:pos="4252"/>
        <w:tab w:val="right" w:pos="8504"/>
      </w:tabs>
    </w:pPr>
    <w:rPr>
      <w:sz w:val="20"/>
      <w:szCs w:val="20"/>
      <w:lang w:eastAsia="x-none"/>
    </w:rPr>
  </w:style>
  <w:style w:type="character" w:customStyle="1" w:styleId="EncabezadoCar">
    <w:name w:val="Encabezado Car"/>
    <w:basedOn w:val="Fuentedeprrafopredeter"/>
    <w:link w:val="Encabezado"/>
    <w:uiPriority w:val="99"/>
    <w:rsid w:val="00066DAA"/>
    <w:rPr>
      <w:rFonts w:ascii="Calibri" w:eastAsia="Calibri" w:hAnsi="Calibri" w:cs="Times New Roman"/>
      <w:sz w:val="20"/>
      <w:szCs w:val="20"/>
      <w:lang w:eastAsia="x-none"/>
    </w:rPr>
  </w:style>
  <w:style w:type="character" w:customStyle="1" w:styleId="PrrafodelistaCar">
    <w:name w:val="Párrafo de lista Car"/>
    <w:aliases w:val="Titulo de Fígura Car,TITULO A Car,Titulo parrafo Car,Punto Car,TITULO Car,Imagen 01. Car"/>
    <w:link w:val="Prrafodelista"/>
    <w:uiPriority w:val="34"/>
    <w:rsid w:val="00066DAA"/>
    <w:rPr>
      <w:rFonts w:ascii="Calibri" w:eastAsia="Calibri" w:hAnsi="Calibri" w:cs="Times New Roman"/>
      <w:lang w:val="x-none"/>
    </w:rPr>
  </w:style>
  <w:style w:type="paragraph" w:styleId="Sinespaciado">
    <w:name w:val="No Spacing"/>
    <w:link w:val="SinespaciadoCar"/>
    <w:uiPriority w:val="1"/>
    <w:qFormat/>
    <w:rsid w:val="00066DAA"/>
    <w:pPr>
      <w:spacing w:after="0" w:line="240" w:lineRule="auto"/>
    </w:pPr>
    <w:rPr>
      <w:rFonts w:ascii="Calibri" w:eastAsia="Calibri" w:hAnsi="Calibri" w:cs="Times New Roman"/>
    </w:rPr>
  </w:style>
  <w:style w:type="character" w:customStyle="1" w:styleId="SinespaciadoCar">
    <w:name w:val="Sin espaciado Car"/>
    <w:link w:val="Sinespaciado"/>
    <w:uiPriority w:val="1"/>
    <w:rsid w:val="00066DAA"/>
    <w:rPr>
      <w:rFonts w:ascii="Calibri" w:eastAsia="Calibri" w:hAnsi="Calibri" w:cs="Times New Roman"/>
    </w:rPr>
  </w:style>
  <w:style w:type="paragraph" w:styleId="Textodeglobo">
    <w:name w:val="Balloon Text"/>
    <w:basedOn w:val="Normal"/>
    <w:link w:val="TextodegloboCar"/>
    <w:uiPriority w:val="99"/>
    <w:semiHidden/>
    <w:unhideWhenUsed/>
    <w:rsid w:val="00066DA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66DAA"/>
    <w:rPr>
      <w:rFonts w:ascii="Tahoma" w:eastAsia="Calibri" w:hAnsi="Tahoma" w:cs="Tahoma"/>
      <w:sz w:val="16"/>
      <w:szCs w:val="16"/>
    </w:rPr>
  </w:style>
  <w:style w:type="paragraph" w:styleId="Piedepgina">
    <w:name w:val="footer"/>
    <w:basedOn w:val="Normal"/>
    <w:link w:val="PiedepginaCar"/>
    <w:uiPriority w:val="99"/>
    <w:unhideWhenUsed/>
    <w:rsid w:val="00AA506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A5061"/>
    <w:rPr>
      <w:rFonts w:ascii="Calibri" w:eastAsia="Calibri" w:hAnsi="Calibri" w:cs="Times New Roman"/>
    </w:rPr>
  </w:style>
  <w:style w:type="paragraph" w:styleId="NormalWeb">
    <w:name w:val="Normal (Web)"/>
    <w:basedOn w:val="Normal"/>
    <w:rsid w:val="00834C11"/>
    <w:pPr>
      <w:spacing w:before="100" w:beforeAutospacing="1" w:after="100" w:afterAutospacing="1" w:line="240" w:lineRule="auto"/>
    </w:pPr>
    <w:rPr>
      <w:rFonts w:ascii="Times New Roman" w:eastAsia="Times New Roman" w:hAnsi="Times New Roman"/>
      <w:color w:val="000000"/>
      <w:sz w:val="24"/>
      <w:szCs w:val="24"/>
      <w:lang w:val="es-ES" w:eastAsia="es-ES"/>
    </w:rPr>
  </w:style>
  <w:style w:type="character" w:customStyle="1" w:styleId="TextonotapieCar">
    <w:name w:val="Texto nota pie Car"/>
    <w:aliases w:val="Car Car,Car1 Car Car Car,Car2 Car Car Car Car Car Car,Car2 Car Car,Car2 Car1,Car1 Car Car1,Car1 Car1,Car1 Car Car Car Car Car,Car1 Car Car Car Car Car Car Car,Car Car Ca Car"/>
    <w:basedOn w:val="Fuentedeprrafopredeter"/>
    <w:link w:val="Textonotapie"/>
    <w:locked/>
    <w:rsid w:val="006C68D5"/>
    <w:rPr>
      <w:rFonts w:ascii="Calibri" w:eastAsia="Calibri" w:hAnsi="Calibri" w:cs="Times New Roman"/>
      <w:sz w:val="20"/>
      <w:szCs w:val="20"/>
    </w:rPr>
  </w:style>
  <w:style w:type="paragraph" w:styleId="Textonotapie">
    <w:name w:val="footnote text"/>
    <w:aliases w:val="Car,Car1 Car Car,Car2 Car Car Car Car Car,Car2 Car,Car2,Car1 Car,Car1,Car1 Car Car Car Car,Car1 Car Car Car Car Car Car,Car Car Ca"/>
    <w:basedOn w:val="Normal"/>
    <w:link w:val="TextonotapieCar"/>
    <w:unhideWhenUsed/>
    <w:rsid w:val="006C68D5"/>
    <w:pPr>
      <w:spacing w:after="0" w:line="240" w:lineRule="auto"/>
    </w:pPr>
    <w:rPr>
      <w:sz w:val="20"/>
      <w:szCs w:val="20"/>
    </w:rPr>
  </w:style>
  <w:style w:type="character" w:customStyle="1" w:styleId="TextonotapieCar1">
    <w:name w:val="Texto nota pie Car1"/>
    <w:basedOn w:val="Fuentedeprrafopredeter"/>
    <w:uiPriority w:val="99"/>
    <w:semiHidden/>
    <w:rsid w:val="006C68D5"/>
    <w:rPr>
      <w:rFonts w:ascii="Calibri" w:eastAsia="Calibri" w:hAnsi="Calibri" w:cs="Times New Roman"/>
      <w:sz w:val="20"/>
      <w:szCs w:val="20"/>
    </w:rPr>
  </w:style>
  <w:style w:type="character" w:styleId="Refdenotaalpie">
    <w:name w:val="footnote reference"/>
    <w:aliases w:val="16 Point,Superscript 6 Point,FC,referencia nota al pie,CVR Ref. de nota al pie"/>
    <w:unhideWhenUsed/>
    <w:rsid w:val="006C68D5"/>
    <w:rPr>
      <w:vertAlign w:val="superscript"/>
    </w:rPr>
  </w:style>
  <w:style w:type="paragraph" w:customStyle="1" w:styleId="Normaltimes">
    <w:name w:val="Normal+times"/>
    <w:basedOn w:val="Normal"/>
    <w:link w:val="NormaltimesCar"/>
    <w:rsid w:val="00E1797E"/>
    <w:pPr>
      <w:spacing w:after="0" w:line="240" w:lineRule="auto"/>
    </w:pPr>
    <w:rPr>
      <w:rFonts w:ascii="Times New Roman" w:eastAsia="Times New Roman" w:hAnsi="Times New Roman"/>
      <w:sz w:val="24"/>
      <w:szCs w:val="20"/>
      <w:lang w:val="es-MX" w:eastAsia="es-MX"/>
    </w:rPr>
  </w:style>
  <w:style w:type="character" w:customStyle="1" w:styleId="NormaltimesCar">
    <w:name w:val="Normal+times Car"/>
    <w:basedOn w:val="Fuentedeprrafopredeter"/>
    <w:link w:val="Normaltimes"/>
    <w:rsid w:val="00E1797E"/>
    <w:rPr>
      <w:rFonts w:ascii="Times New Roman" w:eastAsia="Times New Roman" w:hAnsi="Times New Roman" w:cs="Times New Roman"/>
      <w:sz w:val="24"/>
      <w:szCs w:val="20"/>
      <w:lang w:val="es-MX" w:eastAsia="es-MX"/>
    </w:rPr>
  </w:style>
  <w:style w:type="paragraph" w:customStyle="1" w:styleId="TDRNormal">
    <w:name w:val="TDR Normal"/>
    <w:basedOn w:val="Normal"/>
    <w:link w:val="TDRNormalChar"/>
    <w:uiPriority w:val="99"/>
    <w:rsid w:val="002578AA"/>
    <w:pPr>
      <w:tabs>
        <w:tab w:val="left" w:pos="-720"/>
      </w:tabs>
      <w:suppressAutoHyphens/>
      <w:spacing w:after="0" w:line="240" w:lineRule="auto"/>
      <w:ind w:left="600"/>
      <w:jc w:val="both"/>
    </w:pPr>
    <w:rPr>
      <w:rFonts w:ascii="Arial" w:eastAsia="Times New Roman" w:hAnsi="Arial" w:cs="Arial"/>
      <w:spacing w:val="-2"/>
      <w:sz w:val="24"/>
      <w:szCs w:val="24"/>
      <w:lang w:val="es-ES" w:eastAsia="es-PE"/>
    </w:rPr>
  </w:style>
  <w:style w:type="character" w:customStyle="1" w:styleId="TDRNormalChar">
    <w:name w:val="TDR Normal Char"/>
    <w:link w:val="TDRNormal"/>
    <w:uiPriority w:val="99"/>
    <w:rsid w:val="002578AA"/>
    <w:rPr>
      <w:rFonts w:ascii="Arial" w:eastAsia="Times New Roman" w:hAnsi="Arial" w:cs="Arial"/>
      <w:spacing w:val="-2"/>
      <w:sz w:val="24"/>
      <w:szCs w:val="24"/>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378C3-BEBB-49CD-AC88-CB768204B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2688</Words>
  <Characters>14790</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17444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Luis Alberto Villarreal Angulo</dc:creator>
  <cp:lastModifiedBy>Luis Alberto Villarreal Angulo</cp:lastModifiedBy>
  <cp:revision>3</cp:revision>
  <dcterms:created xsi:type="dcterms:W3CDTF">2015-08-18T16:23:00Z</dcterms:created>
  <dcterms:modified xsi:type="dcterms:W3CDTF">2015-08-18T16:27:00Z</dcterms:modified>
</cp:coreProperties>
</file>