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276" w:rsidRPr="00362812" w:rsidRDefault="00C77276" w:rsidP="00C77276">
      <w:pPr>
        <w:widowControl w:val="0"/>
        <w:jc w:val="center"/>
        <w:rPr>
          <w:b/>
          <w:u w:val="single"/>
        </w:rPr>
      </w:pPr>
      <w:r w:rsidRPr="00362812">
        <w:rPr>
          <w:b/>
          <w:u w:val="single"/>
        </w:rPr>
        <w:t xml:space="preserve">PRONUNCIAMIENTO Nº </w:t>
      </w:r>
      <w:r w:rsidR="002F224C">
        <w:rPr>
          <w:b/>
          <w:u w:val="single"/>
        </w:rPr>
        <w:t>008</w:t>
      </w:r>
      <w:r w:rsidRPr="00362812">
        <w:rPr>
          <w:b/>
          <w:u w:val="single"/>
        </w:rPr>
        <w:t>-201</w:t>
      </w:r>
      <w:r w:rsidR="002F224C">
        <w:rPr>
          <w:b/>
          <w:u w:val="single"/>
        </w:rPr>
        <w:t>6</w:t>
      </w:r>
      <w:r w:rsidRPr="00362812">
        <w:rPr>
          <w:b/>
          <w:u w:val="single"/>
        </w:rPr>
        <w:t>/DSU</w:t>
      </w:r>
    </w:p>
    <w:p w:rsidR="00C77276" w:rsidRPr="00362812" w:rsidRDefault="00C77276" w:rsidP="00C77276">
      <w:pPr>
        <w:widowControl w:val="0"/>
        <w:tabs>
          <w:tab w:val="left" w:pos="1980"/>
        </w:tabs>
        <w:jc w:val="both"/>
      </w:pPr>
    </w:p>
    <w:p w:rsidR="00C77276" w:rsidRPr="00362812" w:rsidRDefault="00C77276" w:rsidP="00C77276">
      <w:pPr>
        <w:widowControl w:val="0"/>
        <w:tabs>
          <w:tab w:val="left" w:pos="1980"/>
        </w:tabs>
        <w:ind w:left="2552" w:hanging="2552"/>
        <w:jc w:val="both"/>
      </w:pPr>
      <w:r w:rsidRPr="00362812">
        <w:t>Entidad:</w:t>
      </w:r>
      <w:r w:rsidRPr="00362812">
        <w:tab/>
      </w:r>
      <w:r w:rsidR="00DC552B">
        <w:tab/>
      </w:r>
      <w:r w:rsidR="00FA1CF6">
        <w:t>Poder Judicial</w:t>
      </w:r>
    </w:p>
    <w:p w:rsidR="00C77276" w:rsidRPr="00362812" w:rsidRDefault="006165BC" w:rsidP="006165BC">
      <w:pPr>
        <w:widowControl w:val="0"/>
        <w:tabs>
          <w:tab w:val="left" w:pos="6663"/>
        </w:tabs>
        <w:ind w:left="2880" w:hanging="2880"/>
        <w:jc w:val="both"/>
      </w:pPr>
      <w:r>
        <w:tab/>
      </w:r>
      <w:r>
        <w:tab/>
      </w:r>
    </w:p>
    <w:p w:rsidR="00C77276" w:rsidRPr="00362812" w:rsidRDefault="00C77276" w:rsidP="00C77276">
      <w:pPr>
        <w:ind w:left="2552" w:hanging="2552"/>
        <w:jc w:val="both"/>
      </w:pPr>
      <w:r w:rsidRPr="00362812">
        <w:t>Referencia:</w:t>
      </w:r>
      <w:r w:rsidRPr="00362812">
        <w:tab/>
      </w:r>
      <w:r w:rsidR="00401222">
        <w:t>Concurso Público</w:t>
      </w:r>
      <w:r w:rsidRPr="00362812">
        <w:t xml:space="preserve"> N° </w:t>
      </w:r>
      <w:r w:rsidR="00FA1CF6">
        <w:t>02-2015-CEAH-CSJLIMASUR</w:t>
      </w:r>
      <w:r w:rsidR="00DF745D">
        <w:t>/PJ</w:t>
      </w:r>
      <w:r w:rsidR="00FA1CF6">
        <w:t>-1</w:t>
      </w:r>
      <w:r w:rsidRPr="00362812">
        <w:t>, convocad</w:t>
      </w:r>
      <w:r w:rsidR="00E91A3B">
        <w:t>o</w:t>
      </w:r>
      <w:r w:rsidRPr="00362812">
        <w:t xml:space="preserve"> para la contratación </w:t>
      </w:r>
      <w:r w:rsidR="00401222">
        <w:t xml:space="preserve">del </w:t>
      </w:r>
      <w:r w:rsidR="00DF745D">
        <w:t>Servicio de "Mensajería y Encomiendas para la corte superior de justicia de Lima Sur</w:t>
      </w:r>
      <w:r w:rsidR="00401222">
        <w:t>"</w:t>
      </w:r>
    </w:p>
    <w:p w:rsidR="00C77276" w:rsidRPr="00362812" w:rsidRDefault="00C77276" w:rsidP="00C77276">
      <w:pPr>
        <w:widowControl w:val="0"/>
        <w:jc w:val="both"/>
      </w:pPr>
      <w:r w:rsidRPr="00362812">
        <w:t>_________________________________________</w:t>
      </w:r>
      <w:r w:rsidR="00526A38" w:rsidRPr="00362812">
        <w:t>_______________________________</w:t>
      </w:r>
    </w:p>
    <w:p w:rsidR="00C77276" w:rsidRPr="00362812" w:rsidRDefault="00C77276" w:rsidP="00C77276">
      <w:pPr>
        <w:widowControl w:val="0"/>
        <w:jc w:val="both"/>
      </w:pPr>
    </w:p>
    <w:p w:rsidR="00C77276" w:rsidRPr="00362812" w:rsidRDefault="00C77276" w:rsidP="00C77276">
      <w:pPr>
        <w:widowControl w:val="0"/>
        <w:numPr>
          <w:ilvl w:val="0"/>
          <w:numId w:val="1"/>
        </w:numPr>
        <w:ind w:left="567" w:hanging="567"/>
        <w:jc w:val="both"/>
        <w:rPr>
          <w:b/>
        </w:rPr>
      </w:pPr>
      <w:r w:rsidRPr="00362812">
        <w:rPr>
          <w:b/>
        </w:rPr>
        <w:t xml:space="preserve">ANTECEDENTES </w:t>
      </w:r>
    </w:p>
    <w:p w:rsidR="00C77276" w:rsidRPr="00362812" w:rsidRDefault="00C77276" w:rsidP="00C77276">
      <w:pPr>
        <w:widowControl w:val="0"/>
        <w:ind w:left="567"/>
        <w:jc w:val="both"/>
        <w:rPr>
          <w:b/>
        </w:rPr>
      </w:pPr>
    </w:p>
    <w:p w:rsidR="00C77276" w:rsidRDefault="00FB6FEF" w:rsidP="00C77276">
      <w:pPr>
        <w:pStyle w:val="WW-Textoindependiente2"/>
        <w:widowControl w:val="0"/>
        <w:tabs>
          <w:tab w:val="left" w:pos="426"/>
        </w:tabs>
        <w:rPr>
          <w:rFonts w:ascii="Times New Roman" w:hAnsi="Times New Roman"/>
          <w:lang w:val="es-PE" w:eastAsia="es-ES"/>
        </w:rPr>
      </w:pPr>
      <w:r>
        <w:rPr>
          <w:rFonts w:ascii="Times New Roman" w:hAnsi="Times New Roman"/>
          <w:lang w:val="es-PE" w:eastAsia="es-ES"/>
        </w:rPr>
        <w:t>Mediante Oficio N° 004-2015-CE-CSJLIMASUR/PJ</w:t>
      </w:r>
      <w:r w:rsidR="00C77276" w:rsidRPr="00362812">
        <w:rPr>
          <w:rFonts w:ascii="Times New Roman" w:hAnsi="Times New Roman"/>
          <w:lang w:val="es-PE" w:eastAsia="es-ES"/>
        </w:rPr>
        <w:t xml:space="preserve">, recibido con fecha </w:t>
      </w:r>
      <w:r>
        <w:rPr>
          <w:rFonts w:ascii="Times New Roman" w:hAnsi="Times New Roman"/>
          <w:lang w:val="es-PE" w:eastAsia="es-ES"/>
        </w:rPr>
        <w:t>16.DIC.2015 y subsanado mediante Oficio N° 005-2015-CE-CSJLIMASUR/PJ</w:t>
      </w:r>
      <w:r w:rsidRPr="00FB6FEF">
        <w:rPr>
          <w:rFonts w:ascii="Times New Roman" w:hAnsi="Times New Roman"/>
          <w:lang w:val="es-PE" w:eastAsia="es-ES"/>
        </w:rPr>
        <w:t xml:space="preserve"> </w:t>
      </w:r>
      <w:r w:rsidRPr="00362812">
        <w:rPr>
          <w:rFonts w:ascii="Times New Roman" w:hAnsi="Times New Roman"/>
          <w:lang w:val="es-PE" w:eastAsia="es-ES"/>
        </w:rPr>
        <w:t xml:space="preserve">recibido con fecha </w:t>
      </w:r>
      <w:r>
        <w:rPr>
          <w:rFonts w:ascii="Times New Roman" w:hAnsi="Times New Roman"/>
          <w:lang w:val="es-PE" w:eastAsia="es-ES"/>
        </w:rPr>
        <w:t>17.DIC.2015,</w:t>
      </w:r>
      <w:r w:rsidR="00342D1C">
        <w:rPr>
          <w:rFonts w:ascii="Times New Roman" w:hAnsi="Times New Roman"/>
          <w:lang w:val="es-PE" w:eastAsia="es-ES"/>
        </w:rPr>
        <w:t xml:space="preserve"> </w:t>
      </w:r>
      <w:r w:rsidR="00725CDA" w:rsidRPr="00362812">
        <w:rPr>
          <w:rFonts w:ascii="Times New Roman" w:hAnsi="Times New Roman"/>
          <w:lang w:val="es-PE" w:eastAsia="es-ES"/>
        </w:rPr>
        <w:t xml:space="preserve">el Presidente del Comité Especial encargado del proceso de selección de la referencia remitió al Organismo Supervisor de las Contrataciones del Estado (OSCE) las </w:t>
      </w:r>
      <w:r>
        <w:rPr>
          <w:rFonts w:ascii="Times New Roman" w:hAnsi="Times New Roman"/>
          <w:lang w:val="es-PE" w:eastAsia="es-ES"/>
        </w:rPr>
        <w:t xml:space="preserve">cuatro </w:t>
      </w:r>
      <w:r w:rsidR="00725CDA" w:rsidRPr="00362812">
        <w:rPr>
          <w:rFonts w:ascii="Times New Roman" w:hAnsi="Times New Roman"/>
          <w:lang w:val="es-PE" w:eastAsia="es-ES"/>
        </w:rPr>
        <w:t>(</w:t>
      </w:r>
      <w:r>
        <w:rPr>
          <w:rFonts w:ascii="Times New Roman" w:hAnsi="Times New Roman"/>
          <w:lang w:val="es-PE" w:eastAsia="es-ES"/>
        </w:rPr>
        <w:t>4</w:t>
      </w:r>
      <w:r w:rsidR="00725CDA" w:rsidRPr="00362812">
        <w:rPr>
          <w:rFonts w:ascii="Times New Roman" w:hAnsi="Times New Roman"/>
          <w:lang w:val="es-PE" w:eastAsia="es-ES"/>
        </w:rPr>
        <w:t>) observaciones</w:t>
      </w:r>
      <w:r w:rsidR="00BE49F9">
        <w:rPr>
          <w:rFonts w:ascii="Times New Roman" w:hAnsi="Times New Roman"/>
          <w:lang w:val="es-PE" w:eastAsia="es-ES"/>
        </w:rPr>
        <w:t xml:space="preserve"> </w:t>
      </w:r>
      <w:r w:rsidR="00083004">
        <w:rPr>
          <w:rFonts w:ascii="Times New Roman" w:hAnsi="Times New Roman"/>
          <w:lang w:val="es-PE" w:eastAsia="es-ES"/>
        </w:rPr>
        <w:t>formulad</w:t>
      </w:r>
      <w:r w:rsidR="00C056E9">
        <w:rPr>
          <w:rFonts w:ascii="Times New Roman" w:hAnsi="Times New Roman"/>
          <w:lang w:val="es-PE" w:eastAsia="es-ES"/>
        </w:rPr>
        <w:t>a</w:t>
      </w:r>
      <w:r w:rsidR="00083004">
        <w:rPr>
          <w:rFonts w:ascii="Times New Roman" w:hAnsi="Times New Roman"/>
          <w:lang w:val="es-PE" w:eastAsia="es-ES"/>
        </w:rPr>
        <w:t>s</w:t>
      </w:r>
      <w:r w:rsidR="00725CDA" w:rsidRPr="00362812">
        <w:rPr>
          <w:rFonts w:ascii="Times New Roman" w:hAnsi="Times New Roman"/>
          <w:lang w:val="es-PE" w:eastAsia="es-ES"/>
        </w:rPr>
        <w:t xml:space="preserve"> por el participante </w:t>
      </w:r>
      <w:r>
        <w:rPr>
          <w:rFonts w:ascii="Times New Roman" w:hAnsi="Times New Roman"/>
          <w:b/>
          <w:lang w:val="es-PE" w:eastAsia="es-ES"/>
        </w:rPr>
        <w:t>AFE TRANSPORTATION S.A.C.</w:t>
      </w:r>
      <w:r w:rsidR="00725CDA" w:rsidRPr="00362812">
        <w:rPr>
          <w:rFonts w:ascii="Times New Roman" w:hAnsi="Times New Roman"/>
          <w:lang w:val="es-PE" w:eastAsia="es-ES"/>
        </w:rPr>
        <w:t>, así como el respectivo informe técnico, en cumplimiento de lo dispuesto por el artículo 28 del Decreto Legislativo Nº 1017, que aprueba la Ley de Contrataciones del Estado, en adelante la Ley, y el artículo 58 de su Reglamento, aprobado por Decreto Supremo Nº 184-2008-EF, en adelante el Reglamento.</w:t>
      </w:r>
    </w:p>
    <w:p w:rsidR="00BE49F9" w:rsidRPr="00D3549C" w:rsidRDefault="00BE49F9" w:rsidP="00C77276">
      <w:pPr>
        <w:pStyle w:val="WW-Textoindependiente2"/>
        <w:widowControl w:val="0"/>
        <w:tabs>
          <w:tab w:val="left" w:pos="426"/>
        </w:tabs>
        <w:rPr>
          <w:rFonts w:ascii="Times New Roman" w:hAnsi="Times New Roman"/>
          <w:lang w:val="es-PE" w:eastAsia="es-ES"/>
        </w:rPr>
      </w:pPr>
    </w:p>
    <w:p w:rsidR="00BE49F9" w:rsidRPr="00CB4005" w:rsidRDefault="00BE49F9" w:rsidP="00BE49F9">
      <w:pPr>
        <w:pStyle w:val="WW-Sangra3detindependiente"/>
        <w:suppressAutoHyphens w:val="0"/>
        <w:ind w:left="1"/>
        <w:rPr>
          <w:szCs w:val="24"/>
        </w:rPr>
      </w:pPr>
      <w:r w:rsidRPr="00CB4005">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2B771B" w:rsidRPr="00FB6FEF" w:rsidRDefault="002B771B" w:rsidP="00C77276">
      <w:pPr>
        <w:pStyle w:val="WW-Sangra3detindependiente"/>
        <w:widowControl/>
        <w:suppressAutoHyphens w:val="0"/>
        <w:ind w:left="2"/>
        <w:rPr>
          <w:szCs w:val="24"/>
          <w:highlight w:val="yellow"/>
          <w:lang w:eastAsia="es-ES"/>
        </w:rPr>
      </w:pPr>
    </w:p>
    <w:p w:rsidR="00CB4005" w:rsidRDefault="00CB4005" w:rsidP="00CB4005">
      <w:pPr>
        <w:pStyle w:val="WW-Sangra3detindependiente"/>
        <w:suppressAutoHyphens w:val="0"/>
        <w:ind w:left="1" w:right="-1"/>
        <w:rPr>
          <w:szCs w:val="24"/>
          <w:highlight w:val="yellow"/>
        </w:rPr>
      </w:pPr>
      <w:r w:rsidRPr="002909DC">
        <w:rPr>
          <w:szCs w:val="24"/>
        </w:rPr>
        <w:t xml:space="preserve">En ese sentido, respecto a las </w:t>
      </w:r>
      <w:r>
        <w:rPr>
          <w:szCs w:val="24"/>
        </w:rPr>
        <w:t>cuatro</w:t>
      </w:r>
      <w:r w:rsidRPr="002909DC">
        <w:rPr>
          <w:szCs w:val="24"/>
        </w:rPr>
        <w:t xml:space="preserve"> (</w:t>
      </w:r>
      <w:r>
        <w:rPr>
          <w:szCs w:val="24"/>
        </w:rPr>
        <w:t>4</w:t>
      </w:r>
      <w:r w:rsidRPr="002909DC">
        <w:rPr>
          <w:szCs w:val="24"/>
        </w:rPr>
        <w:t xml:space="preserve">) observaciones formuladas </w:t>
      </w:r>
      <w:r w:rsidRPr="00B507C3">
        <w:rPr>
          <w:szCs w:val="24"/>
        </w:rPr>
        <w:t xml:space="preserve">por el participante </w:t>
      </w:r>
      <w:r>
        <w:rPr>
          <w:b/>
          <w:lang w:val="es-PE" w:eastAsia="es-ES"/>
        </w:rPr>
        <w:t>AFE TRANSPORTATION S.A.C.</w:t>
      </w:r>
      <w:r w:rsidRPr="00B507C3">
        <w:rPr>
          <w:szCs w:val="24"/>
        </w:rPr>
        <w:t xml:space="preserve">, cabe indicar que, respecto a la Observación N° </w:t>
      </w:r>
      <w:r>
        <w:rPr>
          <w:szCs w:val="24"/>
        </w:rPr>
        <w:t>4</w:t>
      </w:r>
      <w:r w:rsidRPr="00B507C3">
        <w:rPr>
          <w:szCs w:val="24"/>
        </w:rPr>
        <w:t xml:space="preserve">, de la lectura del pliego absolutorio de observaciones se advierte </w:t>
      </w:r>
      <w:r w:rsidRPr="00B507C3">
        <w:rPr>
          <w:szCs w:val="24"/>
          <w:lang w:val="es-PE"/>
        </w:rPr>
        <w:t xml:space="preserve">que </w:t>
      </w:r>
      <w:r w:rsidRPr="00B507C3">
        <w:rPr>
          <w:szCs w:val="24"/>
        </w:rPr>
        <w:t xml:space="preserve">fue acogida por el Comité Especial, por lo que, este Organismo Supervisor </w:t>
      </w:r>
      <w:r>
        <w:rPr>
          <w:szCs w:val="24"/>
        </w:rPr>
        <w:t xml:space="preserve">no </w:t>
      </w:r>
      <w:r w:rsidRPr="00B507C3">
        <w:rPr>
          <w:szCs w:val="24"/>
        </w:rPr>
        <w:t xml:space="preserve">se pronunciará </w:t>
      </w:r>
      <w:r>
        <w:rPr>
          <w:szCs w:val="24"/>
        </w:rPr>
        <w:t>respecto de ella.</w:t>
      </w:r>
    </w:p>
    <w:p w:rsidR="00C056E9" w:rsidRPr="00FB6FEF" w:rsidRDefault="00C056E9" w:rsidP="00BF7811">
      <w:pPr>
        <w:pStyle w:val="WW-Sangra3detindependiente"/>
        <w:suppressAutoHyphens w:val="0"/>
        <w:ind w:left="0" w:right="-1" w:firstLine="0"/>
        <w:rPr>
          <w:szCs w:val="24"/>
          <w:highlight w:val="yellow"/>
        </w:rPr>
      </w:pPr>
    </w:p>
    <w:p w:rsidR="00BF7811" w:rsidRDefault="00BF7811" w:rsidP="00BF7811">
      <w:pPr>
        <w:pStyle w:val="WW-Sangra3detindependiente"/>
        <w:suppressAutoHyphens w:val="0"/>
        <w:ind w:left="0" w:right="-1" w:firstLine="0"/>
        <w:rPr>
          <w:szCs w:val="24"/>
          <w:lang w:val="es-PE"/>
        </w:rPr>
      </w:pPr>
      <w:r w:rsidRPr="00CB4005">
        <w:rPr>
          <w:szCs w:val="24"/>
          <w:lang w:val="es-PE"/>
        </w:rPr>
        <w:t>Sin perjuicio de las observaciones de oficio que se formulen respecto de aspectos relevantes de las Bases, de conformidad con el artículo 58° de la Ley.</w:t>
      </w:r>
    </w:p>
    <w:p w:rsidR="00CB4005" w:rsidRDefault="00CB4005" w:rsidP="00BF7811">
      <w:pPr>
        <w:pStyle w:val="WW-Sangra3detindependiente"/>
        <w:suppressAutoHyphens w:val="0"/>
        <w:ind w:left="0" w:right="-1" w:firstLine="0"/>
        <w:rPr>
          <w:szCs w:val="24"/>
          <w:lang w:val="es-PE"/>
        </w:rPr>
      </w:pPr>
    </w:p>
    <w:p w:rsidR="00CB4005" w:rsidRDefault="00CB4005" w:rsidP="00BF7811">
      <w:pPr>
        <w:pStyle w:val="WW-Sangra3detindependiente"/>
        <w:suppressAutoHyphens w:val="0"/>
        <w:ind w:left="0" w:right="-1" w:firstLine="0"/>
        <w:rPr>
          <w:szCs w:val="24"/>
          <w:lang w:val="es-PE"/>
        </w:rPr>
      </w:pPr>
    </w:p>
    <w:p w:rsidR="00CB4005" w:rsidRDefault="00CB4005" w:rsidP="00BF7811">
      <w:pPr>
        <w:pStyle w:val="WW-Sangra3detindependiente"/>
        <w:suppressAutoHyphens w:val="0"/>
        <w:ind w:left="0" w:right="-1" w:firstLine="0"/>
        <w:rPr>
          <w:szCs w:val="24"/>
          <w:lang w:val="es-PE"/>
        </w:rPr>
      </w:pPr>
    </w:p>
    <w:p w:rsidR="00CB4005" w:rsidRDefault="00CB4005" w:rsidP="00BF7811">
      <w:pPr>
        <w:pStyle w:val="WW-Sangra3detindependiente"/>
        <w:suppressAutoHyphens w:val="0"/>
        <w:ind w:left="0" w:right="-1" w:firstLine="0"/>
        <w:rPr>
          <w:szCs w:val="24"/>
          <w:lang w:val="es-PE"/>
        </w:rPr>
      </w:pPr>
    </w:p>
    <w:p w:rsidR="00BF7811" w:rsidRDefault="00BF7811" w:rsidP="00BF7811">
      <w:pPr>
        <w:pStyle w:val="WW-Sangra3detindependiente"/>
        <w:suppressAutoHyphens w:val="0"/>
        <w:ind w:left="0" w:right="-1" w:firstLine="0"/>
        <w:rPr>
          <w:szCs w:val="24"/>
          <w:lang w:val="es-PE"/>
        </w:rPr>
      </w:pPr>
    </w:p>
    <w:p w:rsidR="00C77276" w:rsidRPr="00362812" w:rsidRDefault="00C77276" w:rsidP="00C77276">
      <w:pPr>
        <w:pStyle w:val="Textoindependiente2"/>
        <w:widowControl w:val="0"/>
        <w:numPr>
          <w:ilvl w:val="0"/>
          <w:numId w:val="1"/>
        </w:numPr>
        <w:tabs>
          <w:tab w:val="clear" w:pos="360"/>
          <w:tab w:val="num" w:pos="567"/>
        </w:tabs>
        <w:spacing w:after="0" w:line="240" w:lineRule="auto"/>
        <w:ind w:left="567" w:hanging="567"/>
        <w:jc w:val="both"/>
        <w:rPr>
          <w:b/>
        </w:rPr>
      </w:pPr>
      <w:r w:rsidRPr="00362812">
        <w:rPr>
          <w:b/>
        </w:rPr>
        <w:lastRenderedPageBreak/>
        <w:t>OBSERVACIONES</w:t>
      </w:r>
    </w:p>
    <w:p w:rsidR="00C77276" w:rsidRPr="00362812" w:rsidRDefault="00C77276" w:rsidP="00C77276">
      <w:pPr>
        <w:widowControl w:val="0"/>
        <w:tabs>
          <w:tab w:val="left" w:pos="567"/>
          <w:tab w:val="left" w:pos="4253"/>
        </w:tabs>
        <w:ind w:left="4248" w:hanging="4248"/>
        <w:jc w:val="both"/>
        <w:rPr>
          <w:b/>
          <w:lang w:val="es-PE"/>
        </w:rPr>
      </w:pPr>
    </w:p>
    <w:p w:rsidR="002B771B" w:rsidRDefault="00C77276" w:rsidP="002A3202">
      <w:pPr>
        <w:pStyle w:val="Textoindependiente2"/>
        <w:widowControl w:val="0"/>
        <w:spacing w:after="0" w:line="240" w:lineRule="auto"/>
        <w:ind w:left="4253" w:hanging="4253"/>
        <w:jc w:val="both"/>
        <w:rPr>
          <w:b/>
          <w:lang w:val="es-PE" w:eastAsia="es-ES"/>
        </w:rPr>
      </w:pPr>
      <w:r w:rsidRPr="00362812">
        <w:rPr>
          <w:b/>
          <w:lang w:val="es-PE"/>
        </w:rPr>
        <w:t xml:space="preserve">Observante:                             </w:t>
      </w:r>
      <w:r w:rsidR="00401222">
        <w:rPr>
          <w:b/>
          <w:lang w:val="es-PE"/>
        </w:rPr>
        <w:tab/>
      </w:r>
      <w:r w:rsidR="004726B4">
        <w:rPr>
          <w:b/>
          <w:lang w:val="es-PE"/>
        </w:rPr>
        <w:t xml:space="preserve"> </w:t>
      </w:r>
      <w:r w:rsidR="00FB6FEF">
        <w:rPr>
          <w:b/>
          <w:lang w:val="es-PE" w:eastAsia="es-ES"/>
        </w:rPr>
        <w:t>AFE TRANSPORTATION S.A.C.</w:t>
      </w:r>
    </w:p>
    <w:p w:rsidR="002A3202" w:rsidRPr="00362812" w:rsidRDefault="002A3202" w:rsidP="002A3202">
      <w:pPr>
        <w:pStyle w:val="Textoindependiente2"/>
        <w:widowControl w:val="0"/>
        <w:spacing w:after="0" w:line="240" w:lineRule="auto"/>
        <w:ind w:left="4253" w:hanging="4253"/>
        <w:jc w:val="both"/>
        <w:rPr>
          <w:b/>
          <w:lang w:val="es-ES_tradnl"/>
        </w:rPr>
      </w:pPr>
    </w:p>
    <w:p w:rsidR="001861BD" w:rsidRPr="00362812" w:rsidRDefault="00463B73" w:rsidP="00CC72DD">
      <w:pPr>
        <w:pStyle w:val="Textoindependiente2"/>
        <w:widowControl w:val="0"/>
        <w:spacing w:after="0" w:line="240" w:lineRule="auto"/>
        <w:ind w:left="4536" w:hanging="4536"/>
        <w:jc w:val="both"/>
        <w:rPr>
          <w:b/>
          <w:lang w:val="es-PE"/>
        </w:rPr>
      </w:pPr>
      <w:r w:rsidRPr="00362812">
        <w:rPr>
          <w:b/>
          <w:lang w:val="es-PE"/>
        </w:rPr>
        <w:t>Observacion</w:t>
      </w:r>
      <w:r>
        <w:rPr>
          <w:b/>
          <w:lang w:val="es-PE"/>
        </w:rPr>
        <w:t>es</w:t>
      </w:r>
      <w:r w:rsidR="000B0FB4">
        <w:rPr>
          <w:b/>
          <w:lang w:val="es-PE"/>
        </w:rPr>
        <w:t xml:space="preserve"> </w:t>
      </w:r>
      <w:r w:rsidR="00F506B8">
        <w:rPr>
          <w:b/>
          <w:lang w:val="es-PE"/>
        </w:rPr>
        <w:t xml:space="preserve">N° </w:t>
      </w:r>
      <w:r w:rsidR="00264BB3">
        <w:rPr>
          <w:b/>
          <w:lang w:val="es-PE"/>
        </w:rPr>
        <w:t>1</w:t>
      </w:r>
      <w:r w:rsidR="000B0FB4">
        <w:rPr>
          <w:b/>
          <w:lang w:val="es-PE"/>
        </w:rPr>
        <w:t xml:space="preserve"> </w:t>
      </w:r>
      <w:r>
        <w:rPr>
          <w:b/>
          <w:lang w:val="es-PE"/>
        </w:rPr>
        <w:t>y N° 3</w:t>
      </w:r>
      <w:r w:rsidR="000B0FB4">
        <w:rPr>
          <w:b/>
          <w:lang w:val="es-PE"/>
        </w:rPr>
        <w:t xml:space="preserve">   </w:t>
      </w:r>
      <w:r>
        <w:rPr>
          <w:b/>
          <w:lang w:val="es-PE"/>
        </w:rPr>
        <w:t xml:space="preserve">                      </w:t>
      </w:r>
      <w:r w:rsidR="000B0FB4">
        <w:rPr>
          <w:b/>
          <w:lang w:val="es-PE"/>
        </w:rPr>
        <w:t xml:space="preserve"> </w:t>
      </w:r>
      <w:r w:rsidR="00666BC0">
        <w:rPr>
          <w:b/>
          <w:lang w:val="es-PE"/>
        </w:rPr>
        <w:t>Sobre la documentación obligatoria</w:t>
      </w:r>
    </w:p>
    <w:p w:rsidR="00306B86" w:rsidRPr="00362812" w:rsidRDefault="00306B86" w:rsidP="00306B86">
      <w:pPr>
        <w:pStyle w:val="Textoindependiente2"/>
        <w:widowControl w:val="0"/>
        <w:spacing w:after="0" w:line="240" w:lineRule="auto"/>
        <w:ind w:left="4820" w:hanging="4820"/>
        <w:jc w:val="both"/>
        <w:rPr>
          <w:b/>
          <w:lang w:val="es-PE"/>
        </w:rPr>
      </w:pPr>
      <w:r w:rsidRPr="00362812">
        <w:rPr>
          <w:b/>
          <w:lang w:val="es-PE"/>
        </w:rPr>
        <w:tab/>
      </w:r>
    </w:p>
    <w:p w:rsidR="00DE48B1" w:rsidRDefault="00463B73" w:rsidP="00666BC0">
      <w:pPr>
        <w:pStyle w:val="Textoindependiente2"/>
        <w:widowControl w:val="0"/>
        <w:spacing w:after="0" w:line="240" w:lineRule="auto"/>
        <w:jc w:val="both"/>
        <w:rPr>
          <w:lang w:val="es-PE"/>
        </w:rPr>
      </w:pPr>
      <w:r>
        <w:rPr>
          <w:lang w:val="es-PE"/>
        </w:rPr>
        <w:t>Mediante la</w:t>
      </w:r>
      <w:r w:rsidR="008248C0">
        <w:rPr>
          <w:lang w:val="es-PE"/>
        </w:rPr>
        <w:t>s</w:t>
      </w:r>
      <w:r>
        <w:rPr>
          <w:lang w:val="es-PE"/>
        </w:rPr>
        <w:t xml:space="preserve"> </w:t>
      </w:r>
      <w:r w:rsidR="008248C0">
        <w:rPr>
          <w:lang w:val="es-PE"/>
        </w:rPr>
        <w:t>Observaciones</w:t>
      </w:r>
      <w:r>
        <w:rPr>
          <w:lang w:val="es-PE"/>
        </w:rPr>
        <w:t xml:space="preserve"> N° 1</w:t>
      </w:r>
      <w:r w:rsidR="008248C0">
        <w:rPr>
          <w:lang w:val="es-PE"/>
        </w:rPr>
        <w:t xml:space="preserve"> y N° 3</w:t>
      </w:r>
      <w:r>
        <w:rPr>
          <w:lang w:val="es-PE"/>
        </w:rPr>
        <w:t>, e</w:t>
      </w:r>
      <w:r w:rsidR="00F506B8">
        <w:rPr>
          <w:lang w:val="es-PE"/>
        </w:rPr>
        <w:t xml:space="preserve">l participante </w:t>
      </w:r>
      <w:r w:rsidR="00666BC0">
        <w:rPr>
          <w:lang w:val="es-PE"/>
        </w:rPr>
        <w:t xml:space="preserve">manifiesta que en el </w:t>
      </w:r>
      <w:r w:rsidR="00DE0C83">
        <w:rPr>
          <w:lang w:val="es-PE"/>
        </w:rPr>
        <w:t>n</w:t>
      </w:r>
      <w:r w:rsidR="00666BC0">
        <w:rPr>
          <w:lang w:val="es-PE"/>
        </w:rPr>
        <w:t>umeral</w:t>
      </w:r>
      <w:r w:rsidR="003F1270">
        <w:rPr>
          <w:lang w:val="es-PE"/>
        </w:rPr>
        <w:t xml:space="preserve"> 2.5.1 del </w:t>
      </w:r>
      <w:r w:rsidR="004726B4">
        <w:rPr>
          <w:lang w:val="es-PE"/>
        </w:rPr>
        <w:t>Capítulo</w:t>
      </w:r>
      <w:r w:rsidR="003F1270">
        <w:rPr>
          <w:lang w:val="es-PE"/>
        </w:rPr>
        <w:t xml:space="preserve"> II</w:t>
      </w:r>
      <w:r w:rsidR="00DE0C83">
        <w:rPr>
          <w:lang w:val="es-PE"/>
        </w:rPr>
        <w:t xml:space="preserve"> de la</w:t>
      </w:r>
      <w:r w:rsidR="003F1270">
        <w:rPr>
          <w:lang w:val="es-PE"/>
        </w:rPr>
        <w:t xml:space="preserve"> Sección Específica de las Bases, no se </w:t>
      </w:r>
      <w:r w:rsidR="004726B4">
        <w:rPr>
          <w:lang w:val="es-PE"/>
        </w:rPr>
        <w:t>habría</w:t>
      </w:r>
      <w:r w:rsidR="003F1270">
        <w:rPr>
          <w:lang w:val="es-PE"/>
        </w:rPr>
        <w:t xml:space="preserve"> </w:t>
      </w:r>
      <w:r w:rsidR="004726B4">
        <w:rPr>
          <w:lang w:val="es-PE"/>
        </w:rPr>
        <w:t>establecido</w:t>
      </w:r>
      <w:r w:rsidR="003F1270">
        <w:rPr>
          <w:lang w:val="es-PE"/>
        </w:rPr>
        <w:t xml:space="preserve"> las documentaciones normativas rela</w:t>
      </w:r>
      <w:r w:rsidR="004726B4">
        <w:rPr>
          <w:lang w:val="es-PE"/>
        </w:rPr>
        <w:t>cionad</w:t>
      </w:r>
      <w:r w:rsidR="00DE48B1">
        <w:rPr>
          <w:lang w:val="es-PE"/>
        </w:rPr>
        <w:t>as</w:t>
      </w:r>
      <w:r w:rsidR="004726B4">
        <w:rPr>
          <w:lang w:val="es-PE"/>
        </w:rPr>
        <w:t xml:space="preserve"> al Transporte de la Car</w:t>
      </w:r>
      <w:r w:rsidR="003F1270">
        <w:rPr>
          <w:lang w:val="es-PE"/>
        </w:rPr>
        <w:t>ga de Postal, tanto en el reco</w:t>
      </w:r>
      <w:r w:rsidR="004726B4">
        <w:rPr>
          <w:lang w:val="es-PE"/>
        </w:rPr>
        <w:t>jo</w:t>
      </w:r>
      <w:r w:rsidR="003F1270">
        <w:rPr>
          <w:lang w:val="es-PE"/>
        </w:rPr>
        <w:t xml:space="preserve"> en las </w:t>
      </w:r>
      <w:r w:rsidR="004726B4">
        <w:rPr>
          <w:lang w:val="es-PE"/>
        </w:rPr>
        <w:t>dieciséis</w:t>
      </w:r>
      <w:r w:rsidR="003F1270">
        <w:rPr>
          <w:lang w:val="es-PE"/>
        </w:rPr>
        <w:t xml:space="preserve"> (16) Sedes </w:t>
      </w:r>
      <w:r w:rsidR="004726B4">
        <w:rPr>
          <w:lang w:val="es-PE"/>
        </w:rPr>
        <w:t>Judiciales</w:t>
      </w:r>
      <w:r w:rsidR="003F1270">
        <w:rPr>
          <w:lang w:val="es-PE"/>
        </w:rPr>
        <w:t xml:space="preserve"> de la Entidad, así como para la distrib</w:t>
      </w:r>
      <w:r w:rsidR="004726B4">
        <w:rPr>
          <w:lang w:val="es-PE"/>
        </w:rPr>
        <w:t xml:space="preserve">ución de los envíos a provincia, dado que se debe tomar en consideración que </w:t>
      </w:r>
      <w:r w:rsidR="00DE48B1">
        <w:rPr>
          <w:lang w:val="es-PE"/>
        </w:rPr>
        <w:t>muchas</w:t>
      </w:r>
      <w:r w:rsidR="004726B4">
        <w:rPr>
          <w:lang w:val="es-PE"/>
        </w:rPr>
        <w:t xml:space="preserve"> Entidades del Estado, entre ellas la Sede Central del Poder Judicial y la </w:t>
      </w:r>
      <w:r w:rsidR="00DE48B1">
        <w:rPr>
          <w:lang w:val="es-PE"/>
        </w:rPr>
        <w:t>Corte</w:t>
      </w:r>
      <w:r w:rsidR="004726B4">
        <w:rPr>
          <w:lang w:val="es-PE"/>
        </w:rPr>
        <w:t xml:space="preserve"> Superior de </w:t>
      </w:r>
      <w:r w:rsidR="00DE48B1">
        <w:rPr>
          <w:lang w:val="es-PE"/>
        </w:rPr>
        <w:t>Justica</w:t>
      </w:r>
      <w:r w:rsidR="004726B4">
        <w:rPr>
          <w:lang w:val="es-PE"/>
        </w:rPr>
        <w:t xml:space="preserve"> de Lima, en los procesos </w:t>
      </w:r>
      <w:r w:rsidR="00DE48B1">
        <w:rPr>
          <w:lang w:val="es-PE"/>
        </w:rPr>
        <w:t>referidos</w:t>
      </w:r>
      <w:r w:rsidR="004726B4">
        <w:rPr>
          <w:lang w:val="es-PE"/>
        </w:rPr>
        <w:t xml:space="preserve"> a la contratación del servicio de mensajería y encomienda, solicitan entre otros</w:t>
      </w:r>
      <w:r w:rsidR="00DE48B1">
        <w:rPr>
          <w:lang w:val="es-PE"/>
        </w:rPr>
        <w:t xml:space="preserve">, </w:t>
      </w:r>
      <w:r w:rsidR="004726B4">
        <w:rPr>
          <w:lang w:val="es-PE"/>
        </w:rPr>
        <w:t>lo</w:t>
      </w:r>
      <w:r w:rsidR="00DE48B1">
        <w:rPr>
          <w:lang w:val="es-PE"/>
        </w:rPr>
        <w:t>s</w:t>
      </w:r>
      <w:r w:rsidR="004726B4">
        <w:rPr>
          <w:lang w:val="es-PE"/>
        </w:rPr>
        <w:t xml:space="preserve"> siguiente</w:t>
      </w:r>
      <w:r w:rsidR="00DE48B1">
        <w:rPr>
          <w:lang w:val="es-PE"/>
        </w:rPr>
        <w:t xml:space="preserve">s documentos: </w:t>
      </w:r>
    </w:p>
    <w:p w:rsidR="00DE48B1" w:rsidRDefault="00DE48B1" w:rsidP="00666BC0">
      <w:pPr>
        <w:pStyle w:val="Textoindependiente2"/>
        <w:widowControl w:val="0"/>
        <w:spacing w:after="0" w:line="240" w:lineRule="auto"/>
        <w:jc w:val="both"/>
        <w:rPr>
          <w:lang w:val="es-PE"/>
        </w:rPr>
      </w:pPr>
    </w:p>
    <w:p w:rsidR="00DE48B1" w:rsidRDefault="00DE48B1" w:rsidP="00DE48B1">
      <w:pPr>
        <w:pStyle w:val="Textoindependiente2"/>
        <w:widowControl w:val="0"/>
        <w:spacing w:after="0" w:line="240" w:lineRule="auto"/>
        <w:ind w:left="284"/>
        <w:jc w:val="both"/>
        <w:rPr>
          <w:i/>
          <w:lang w:val="es-PE"/>
        </w:rPr>
      </w:pPr>
      <w:r w:rsidRPr="00463B73">
        <w:rPr>
          <w:i/>
          <w:lang w:val="es-PE"/>
        </w:rPr>
        <w:t xml:space="preserve">"i) Copia del permiso de Registro de Empresas de Transporte Terrestre de Carga o mercancía emitida por el Ministerio de Transporte y Comunicaciones, </w:t>
      </w:r>
    </w:p>
    <w:p w:rsidR="007E1CF8" w:rsidRPr="00463B73" w:rsidRDefault="007E1CF8" w:rsidP="00DE48B1">
      <w:pPr>
        <w:pStyle w:val="Textoindependiente2"/>
        <w:widowControl w:val="0"/>
        <w:spacing w:after="0" w:line="240" w:lineRule="auto"/>
        <w:ind w:left="284"/>
        <w:jc w:val="both"/>
        <w:rPr>
          <w:i/>
          <w:lang w:val="es-PE"/>
        </w:rPr>
      </w:pPr>
    </w:p>
    <w:p w:rsidR="00BE58E5" w:rsidRDefault="00DE48B1" w:rsidP="00DE48B1">
      <w:pPr>
        <w:pStyle w:val="Textoindependiente2"/>
        <w:widowControl w:val="0"/>
        <w:spacing w:after="0" w:line="240" w:lineRule="auto"/>
        <w:ind w:left="284"/>
        <w:jc w:val="both"/>
        <w:rPr>
          <w:i/>
          <w:lang w:val="es-PE"/>
        </w:rPr>
      </w:pPr>
      <w:r w:rsidRPr="00463B73">
        <w:rPr>
          <w:i/>
          <w:lang w:val="es-PE"/>
        </w:rPr>
        <w:t>ii) Copia de Certificado de Habilitación Vehicular para Transporte Terrestre de Mercancías en General emitido por el Ministerio de Transporte y Comunicaciones por cada vehículo acreditado.</w:t>
      </w:r>
    </w:p>
    <w:p w:rsidR="007E1CF8" w:rsidRPr="00463B73" w:rsidRDefault="007E1CF8" w:rsidP="00DE48B1">
      <w:pPr>
        <w:pStyle w:val="Textoindependiente2"/>
        <w:widowControl w:val="0"/>
        <w:spacing w:after="0" w:line="240" w:lineRule="auto"/>
        <w:ind w:left="284"/>
        <w:jc w:val="both"/>
        <w:rPr>
          <w:i/>
          <w:lang w:val="es-PE"/>
        </w:rPr>
      </w:pPr>
    </w:p>
    <w:p w:rsidR="00DE48B1" w:rsidRDefault="00DE48B1" w:rsidP="00DE48B1">
      <w:pPr>
        <w:pStyle w:val="Textoindependiente2"/>
        <w:widowControl w:val="0"/>
        <w:spacing w:after="0" w:line="240" w:lineRule="auto"/>
        <w:ind w:left="284"/>
        <w:jc w:val="both"/>
        <w:rPr>
          <w:i/>
          <w:lang w:val="es-PE"/>
        </w:rPr>
      </w:pPr>
      <w:r w:rsidRPr="00463B73">
        <w:rPr>
          <w:i/>
          <w:lang w:val="es-PE"/>
        </w:rPr>
        <w:t>iii) Copia permiso de circulación en las provincias de Lima y Callao, emitidos por la Municipalidad Metropolitana de Lima y la Municipalidad Provincial del Callao, a través de la Gerencia de Transporte Urbano Acreditados a nombre del postor y también  de sus vehículos ofertados.</w:t>
      </w:r>
    </w:p>
    <w:p w:rsidR="007E1CF8" w:rsidRPr="00463B73" w:rsidRDefault="007E1CF8" w:rsidP="00DE48B1">
      <w:pPr>
        <w:pStyle w:val="Textoindependiente2"/>
        <w:widowControl w:val="0"/>
        <w:spacing w:after="0" w:line="240" w:lineRule="auto"/>
        <w:ind w:left="284"/>
        <w:jc w:val="both"/>
        <w:rPr>
          <w:i/>
          <w:lang w:val="es-PE"/>
        </w:rPr>
      </w:pPr>
    </w:p>
    <w:p w:rsidR="00DE48B1" w:rsidRDefault="00DE48B1" w:rsidP="00DE48B1">
      <w:pPr>
        <w:pStyle w:val="Textoindependiente2"/>
        <w:widowControl w:val="0"/>
        <w:spacing w:after="0" w:line="240" w:lineRule="auto"/>
        <w:ind w:left="284"/>
        <w:jc w:val="both"/>
        <w:rPr>
          <w:i/>
          <w:lang w:val="es-PE"/>
        </w:rPr>
      </w:pPr>
      <w:r w:rsidRPr="00463B73">
        <w:rPr>
          <w:i/>
          <w:lang w:val="es-PE"/>
        </w:rPr>
        <w:t>iv) Copia simple de la nómina de conductores expedidas por el MTC, de acuerdo a lo estipulado en R.D. N° 9215-2008-MTC/15.</w:t>
      </w:r>
    </w:p>
    <w:p w:rsidR="007E1CF8" w:rsidRPr="00463B73" w:rsidRDefault="007E1CF8" w:rsidP="00DE48B1">
      <w:pPr>
        <w:pStyle w:val="Textoindependiente2"/>
        <w:widowControl w:val="0"/>
        <w:spacing w:after="0" w:line="240" w:lineRule="auto"/>
        <w:ind w:left="284"/>
        <w:jc w:val="both"/>
        <w:rPr>
          <w:i/>
          <w:lang w:val="es-PE"/>
        </w:rPr>
      </w:pPr>
    </w:p>
    <w:p w:rsidR="00DE48B1" w:rsidRPr="00463B73" w:rsidRDefault="00DE48B1" w:rsidP="00DE48B1">
      <w:pPr>
        <w:pStyle w:val="Textoindependiente2"/>
        <w:widowControl w:val="0"/>
        <w:spacing w:after="0" w:line="240" w:lineRule="auto"/>
        <w:ind w:left="284"/>
        <w:jc w:val="both"/>
        <w:rPr>
          <w:i/>
          <w:lang w:val="es-PE"/>
        </w:rPr>
      </w:pPr>
      <w:r w:rsidRPr="00463B73">
        <w:rPr>
          <w:i/>
          <w:lang w:val="es-PE"/>
        </w:rPr>
        <w:t>v) Permiso de Operación de Agente de Carga Aérea emitido por el Ministerio de Transporte y Comunicaciones."</w:t>
      </w:r>
    </w:p>
    <w:p w:rsidR="00DE48B1" w:rsidRDefault="00DE48B1" w:rsidP="00DE48B1">
      <w:pPr>
        <w:pStyle w:val="Textoindependiente2"/>
        <w:widowControl w:val="0"/>
        <w:spacing w:after="0" w:line="240" w:lineRule="auto"/>
        <w:ind w:left="284"/>
        <w:jc w:val="both"/>
        <w:rPr>
          <w:lang w:val="es-PE"/>
        </w:rPr>
      </w:pPr>
    </w:p>
    <w:p w:rsidR="00463B73" w:rsidRDefault="00DE48B1" w:rsidP="00DE48B1">
      <w:pPr>
        <w:jc w:val="both"/>
        <w:rPr>
          <w:lang w:val="es-PE"/>
        </w:rPr>
      </w:pPr>
      <w:r>
        <w:rPr>
          <w:lang w:val="es-PE"/>
        </w:rPr>
        <w:t>En relac</w:t>
      </w:r>
      <w:r w:rsidR="00463B73">
        <w:rPr>
          <w:lang w:val="es-PE"/>
        </w:rPr>
        <w:t>ión con lo anterior, señala que</w:t>
      </w:r>
      <w:r w:rsidR="008248C0">
        <w:rPr>
          <w:lang w:val="es-PE"/>
        </w:rPr>
        <w:t xml:space="preserve"> existe una normativa legal especial del MTC en </w:t>
      </w:r>
      <w:r w:rsidR="00DF745D">
        <w:rPr>
          <w:lang w:val="es-PE"/>
        </w:rPr>
        <w:t xml:space="preserve">la </w:t>
      </w:r>
      <w:r w:rsidR="008248C0">
        <w:rPr>
          <w:lang w:val="es-PE"/>
        </w:rPr>
        <w:t>cual se establece que se requiere la presentación de los referidos documentos para la realizar la prestación del servicio obje</w:t>
      </w:r>
      <w:r w:rsidR="004C15A7">
        <w:rPr>
          <w:lang w:val="es-PE"/>
        </w:rPr>
        <w:t>to de la presente convocatoria. Adicionalmente, señala que</w:t>
      </w:r>
      <w:r w:rsidR="00463B73">
        <w:rPr>
          <w:lang w:val="es-PE"/>
        </w:rPr>
        <w:t xml:space="preserve"> el OSCE mediante el Pronunciamiento N° 912-2014/DSU, habría permitido incluir los permisos que son materia de observación, En ese sentido, solicita incluir en el listado de la documentación obligatoria, los documentos en cuestión.</w:t>
      </w:r>
    </w:p>
    <w:p w:rsidR="008248C0" w:rsidRDefault="008248C0" w:rsidP="00DE48B1">
      <w:pPr>
        <w:jc w:val="both"/>
        <w:rPr>
          <w:lang w:val="es-PE"/>
        </w:rPr>
      </w:pPr>
    </w:p>
    <w:p w:rsidR="00306B86" w:rsidRDefault="001861BD" w:rsidP="00C77276">
      <w:pPr>
        <w:pStyle w:val="Textoindependiente2"/>
        <w:widowControl w:val="0"/>
        <w:spacing w:after="0" w:line="240" w:lineRule="auto"/>
        <w:ind w:left="4820" w:hanging="4820"/>
        <w:jc w:val="both"/>
        <w:rPr>
          <w:b/>
          <w:lang w:val="es-PE"/>
        </w:rPr>
      </w:pPr>
      <w:r w:rsidRPr="00362812">
        <w:rPr>
          <w:b/>
          <w:lang w:val="es-PE"/>
        </w:rPr>
        <w:t>Pronunciamiento</w:t>
      </w:r>
    </w:p>
    <w:p w:rsidR="00463B73" w:rsidRDefault="00463B73" w:rsidP="00C77276">
      <w:pPr>
        <w:pStyle w:val="Textoindependiente2"/>
        <w:widowControl w:val="0"/>
        <w:spacing w:after="0" w:line="240" w:lineRule="auto"/>
        <w:ind w:left="4820" w:hanging="4820"/>
        <w:jc w:val="both"/>
        <w:rPr>
          <w:b/>
          <w:lang w:val="es-PE"/>
        </w:rPr>
      </w:pPr>
    </w:p>
    <w:p w:rsidR="00463B73" w:rsidRDefault="00A01A86" w:rsidP="00A01A86">
      <w:pPr>
        <w:pStyle w:val="Textoindependiente2"/>
        <w:widowControl w:val="0"/>
        <w:spacing w:after="0" w:line="240" w:lineRule="auto"/>
        <w:jc w:val="both"/>
        <w:rPr>
          <w:lang w:val="es-PE"/>
        </w:rPr>
      </w:pPr>
      <w:r>
        <w:rPr>
          <w:lang w:val="es-PE"/>
        </w:rPr>
        <w:t>Es el caso que de la revisión del listado de la documentación obligatoria prevista en el Capítulo II de la Sección Específica de las Bases, se advierte que se ha considerado lo siguiente:</w:t>
      </w:r>
    </w:p>
    <w:p w:rsidR="00A01A86" w:rsidRPr="00A01A86" w:rsidRDefault="00A01A86" w:rsidP="00A01A86">
      <w:pPr>
        <w:pStyle w:val="WW-Textosinformato"/>
        <w:widowControl w:val="0"/>
        <w:tabs>
          <w:tab w:val="left" w:pos="709"/>
          <w:tab w:val="center" w:pos="6564"/>
          <w:tab w:val="right" w:pos="10983"/>
        </w:tabs>
        <w:ind w:left="709" w:hanging="283"/>
        <w:jc w:val="both"/>
        <w:rPr>
          <w:rFonts w:ascii="Times New Roman" w:hAnsi="Times New Roman"/>
          <w:b/>
          <w:i/>
          <w:sz w:val="24"/>
          <w:szCs w:val="24"/>
          <w:lang w:val="es-ES_tradnl"/>
        </w:rPr>
      </w:pPr>
      <w:r w:rsidRPr="00A01A86">
        <w:rPr>
          <w:rFonts w:ascii="Times New Roman" w:hAnsi="Times New Roman"/>
          <w:b/>
          <w:i/>
          <w:sz w:val="24"/>
          <w:szCs w:val="24"/>
          <w:u w:val="single"/>
          <w:lang w:val="es-ES_tradnl"/>
        </w:rPr>
        <w:lastRenderedPageBreak/>
        <w:t>"Documentación de presentación obligatoria</w:t>
      </w:r>
      <w:r w:rsidRPr="00A01A86">
        <w:rPr>
          <w:rFonts w:ascii="Times New Roman" w:hAnsi="Times New Roman"/>
          <w:b/>
          <w:i/>
          <w:sz w:val="24"/>
          <w:szCs w:val="24"/>
          <w:lang w:val="es-ES_tradnl"/>
        </w:rPr>
        <w:t xml:space="preserve">: </w:t>
      </w:r>
    </w:p>
    <w:p w:rsidR="00A01A86" w:rsidRPr="00A01A86" w:rsidRDefault="00A01A86" w:rsidP="00A01A86">
      <w:pPr>
        <w:pStyle w:val="WW-Textosinformato"/>
        <w:widowControl w:val="0"/>
        <w:tabs>
          <w:tab w:val="left" w:pos="709"/>
        </w:tabs>
        <w:ind w:left="709" w:hanging="283"/>
        <w:rPr>
          <w:rFonts w:ascii="Times New Roman" w:hAnsi="Times New Roman"/>
          <w:i/>
          <w:sz w:val="24"/>
          <w:szCs w:val="24"/>
        </w:rPr>
      </w:pPr>
    </w:p>
    <w:p w:rsidR="00A01A86" w:rsidRPr="00A01A86" w:rsidRDefault="00A01A86" w:rsidP="00A01A86">
      <w:pPr>
        <w:pStyle w:val="WW-Textosinformato"/>
        <w:widowControl w:val="0"/>
        <w:numPr>
          <w:ilvl w:val="0"/>
          <w:numId w:val="28"/>
        </w:numPr>
        <w:tabs>
          <w:tab w:val="left" w:pos="709"/>
          <w:tab w:val="left" w:pos="993"/>
          <w:tab w:val="center" w:pos="1560"/>
          <w:tab w:val="right" w:pos="11163"/>
        </w:tabs>
        <w:ind w:left="709" w:hanging="283"/>
        <w:jc w:val="both"/>
        <w:rPr>
          <w:rFonts w:ascii="Times New Roman" w:hAnsi="Times New Roman"/>
          <w:i/>
          <w:sz w:val="24"/>
          <w:szCs w:val="24"/>
        </w:rPr>
      </w:pPr>
      <w:r w:rsidRPr="00A01A86">
        <w:rPr>
          <w:rFonts w:ascii="Times New Roman" w:hAnsi="Times New Roman"/>
          <w:i/>
          <w:sz w:val="24"/>
          <w:szCs w:val="24"/>
        </w:rPr>
        <w:t>Declaración jurada de datos del postor.</w:t>
      </w:r>
    </w:p>
    <w:p w:rsidR="00A01A86" w:rsidRPr="00A01A86" w:rsidRDefault="00DE779C" w:rsidP="00DE779C">
      <w:pPr>
        <w:pStyle w:val="WW-Textosinformato"/>
        <w:widowControl w:val="0"/>
        <w:tabs>
          <w:tab w:val="left" w:pos="709"/>
          <w:tab w:val="left" w:pos="993"/>
          <w:tab w:val="center" w:pos="1985"/>
          <w:tab w:val="right" w:pos="11163"/>
        </w:tabs>
        <w:ind w:left="709" w:hanging="283"/>
        <w:jc w:val="both"/>
        <w:rPr>
          <w:rFonts w:ascii="Times New Roman" w:hAnsi="Times New Roman"/>
          <w:i/>
          <w:sz w:val="24"/>
          <w:szCs w:val="24"/>
        </w:rPr>
      </w:pPr>
      <w:r>
        <w:rPr>
          <w:rFonts w:ascii="Times New Roman" w:hAnsi="Times New Roman"/>
          <w:i/>
          <w:sz w:val="24"/>
          <w:szCs w:val="24"/>
        </w:rPr>
        <w:tab/>
      </w:r>
      <w:r w:rsidR="00A01A86" w:rsidRPr="00A01A86">
        <w:rPr>
          <w:rFonts w:ascii="Times New Roman" w:hAnsi="Times New Roman"/>
          <w:i/>
          <w:sz w:val="24"/>
          <w:szCs w:val="24"/>
        </w:rPr>
        <w:t xml:space="preserve">Cuando se trate de consorcio, esta declaración jurada será presentada por cada uno de los consorciados </w:t>
      </w:r>
      <w:r w:rsidR="00A01A86" w:rsidRPr="00A01A86">
        <w:rPr>
          <w:rFonts w:ascii="Times New Roman" w:hAnsi="Times New Roman"/>
          <w:b/>
          <w:i/>
          <w:sz w:val="24"/>
          <w:szCs w:val="24"/>
        </w:rPr>
        <w:t>(Anexo N° 1).</w:t>
      </w:r>
    </w:p>
    <w:p w:rsidR="00A01A86" w:rsidRPr="00A01A86" w:rsidRDefault="00A01A86" w:rsidP="00A01A86">
      <w:pPr>
        <w:pStyle w:val="WW-Textosinformato"/>
        <w:widowControl w:val="0"/>
        <w:tabs>
          <w:tab w:val="left" w:pos="709"/>
          <w:tab w:val="left" w:pos="993"/>
          <w:tab w:val="center" w:pos="1985"/>
          <w:tab w:val="right" w:pos="11163"/>
        </w:tabs>
        <w:ind w:left="709" w:hanging="283"/>
        <w:jc w:val="both"/>
        <w:rPr>
          <w:rFonts w:ascii="Times New Roman" w:hAnsi="Times New Roman"/>
          <w:i/>
          <w:sz w:val="24"/>
          <w:szCs w:val="24"/>
        </w:rPr>
      </w:pPr>
    </w:p>
    <w:p w:rsidR="00A01A86" w:rsidRPr="00A01A86" w:rsidRDefault="00A01A86" w:rsidP="00A01A86">
      <w:pPr>
        <w:pStyle w:val="WW-Textosinformato"/>
        <w:widowControl w:val="0"/>
        <w:numPr>
          <w:ilvl w:val="0"/>
          <w:numId w:val="28"/>
        </w:numPr>
        <w:tabs>
          <w:tab w:val="left" w:pos="709"/>
          <w:tab w:val="left" w:pos="993"/>
          <w:tab w:val="center" w:pos="1560"/>
          <w:tab w:val="right" w:pos="11163"/>
        </w:tabs>
        <w:ind w:left="709" w:hanging="283"/>
        <w:jc w:val="both"/>
        <w:rPr>
          <w:rFonts w:ascii="Times New Roman" w:hAnsi="Times New Roman"/>
          <w:i/>
          <w:sz w:val="24"/>
          <w:szCs w:val="24"/>
        </w:rPr>
      </w:pPr>
      <w:r w:rsidRPr="00A01A86">
        <w:rPr>
          <w:rFonts w:ascii="Times New Roman" w:hAnsi="Times New Roman"/>
          <w:i/>
          <w:sz w:val="24"/>
          <w:szCs w:val="24"/>
        </w:rPr>
        <w:t>Declaración jurada de cumplimiento de los Requerimientos Técnicos Mínimos contenidos en el Capítulo III de la presente secció</w:t>
      </w:r>
      <w:r w:rsidR="00DE779C">
        <w:rPr>
          <w:rFonts w:ascii="Times New Roman" w:hAnsi="Times New Roman"/>
          <w:i/>
          <w:sz w:val="24"/>
          <w:szCs w:val="24"/>
        </w:rPr>
        <w:t>n</w:t>
      </w:r>
      <w:r w:rsidRPr="00A01A86">
        <w:rPr>
          <w:rFonts w:ascii="Times New Roman" w:hAnsi="Times New Roman"/>
          <w:i/>
          <w:sz w:val="24"/>
          <w:szCs w:val="24"/>
        </w:rPr>
        <w:t xml:space="preserve"> </w:t>
      </w:r>
      <w:r w:rsidRPr="00A01A86">
        <w:rPr>
          <w:rFonts w:ascii="Times New Roman" w:hAnsi="Times New Roman"/>
          <w:b/>
          <w:i/>
          <w:sz w:val="24"/>
          <w:szCs w:val="24"/>
        </w:rPr>
        <w:t>(Anexo Nº 2)</w:t>
      </w:r>
      <w:r w:rsidRPr="00A01A86">
        <w:rPr>
          <w:rFonts w:ascii="Times New Roman" w:hAnsi="Times New Roman"/>
          <w:i/>
          <w:sz w:val="24"/>
          <w:szCs w:val="24"/>
        </w:rPr>
        <w:t>.</w:t>
      </w:r>
    </w:p>
    <w:p w:rsidR="00A01A86" w:rsidRPr="00A01A86" w:rsidRDefault="00A01A86" w:rsidP="00A01A86">
      <w:pPr>
        <w:pStyle w:val="WW-Textosinformato"/>
        <w:widowControl w:val="0"/>
        <w:tabs>
          <w:tab w:val="left" w:pos="709"/>
          <w:tab w:val="left" w:pos="993"/>
          <w:tab w:val="center" w:pos="1560"/>
          <w:tab w:val="center" w:pos="2410"/>
          <w:tab w:val="right" w:pos="11163"/>
        </w:tabs>
        <w:ind w:left="709" w:hanging="283"/>
        <w:jc w:val="both"/>
        <w:rPr>
          <w:rFonts w:ascii="Times New Roman" w:hAnsi="Times New Roman"/>
          <w:i/>
          <w:sz w:val="24"/>
          <w:szCs w:val="24"/>
        </w:rPr>
      </w:pPr>
    </w:p>
    <w:p w:rsidR="00A01A86" w:rsidRPr="00A01A86" w:rsidRDefault="00A01A86" w:rsidP="00A01A86">
      <w:pPr>
        <w:pStyle w:val="WW-Textosinformato"/>
        <w:widowControl w:val="0"/>
        <w:numPr>
          <w:ilvl w:val="0"/>
          <w:numId w:val="28"/>
        </w:numPr>
        <w:tabs>
          <w:tab w:val="left" w:pos="709"/>
          <w:tab w:val="left" w:pos="993"/>
          <w:tab w:val="center" w:pos="1560"/>
          <w:tab w:val="right" w:pos="11163"/>
        </w:tabs>
        <w:ind w:left="709" w:hanging="283"/>
        <w:jc w:val="both"/>
        <w:rPr>
          <w:rFonts w:ascii="Times New Roman" w:hAnsi="Times New Roman"/>
          <w:i/>
          <w:sz w:val="24"/>
          <w:szCs w:val="24"/>
        </w:rPr>
      </w:pPr>
      <w:r w:rsidRPr="00A01A86">
        <w:rPr>
          <w:rFonts w:ascii="Times New Roman" w:hAnsi="Times New Roman"/>
          <w:i/>
          <w:sz w:val="24"/>
          <w:szCs w:val="24"/>
        </w:rPr>
        <w:t xml:space="preserve">Declaración jurada simple de acuerdo al artículo 42 del Reglamento </w:t>
      </w:r>
      <w:r w:rsidRPr="00A01A86">
        <w:rPr>
          <w:rFonts w:ascii="Times New Roman" w:hAnsi="Times New Roman"/>
          <w:b/>
          <w:i/>
          <w:sz w:val="24"/>
          <w:szCs w:val="24"/>
        </w:rPr>
        <w:t>(Anexo Nº 3)</w:t>
      </w:r>
      <w:r w:rsidRPr="00A01A86">
        <w:rPr>
          <w:rFonts w:ascii="Times New Roman" w:hAnsi="Times New Roman"/>
          <w:i/>
          <w:sz w:val="24"/>
          <w:szCs w:val="24"/>
        </w:rPr>
        <w:t>.</w:t>
      </w:r>
    </w:p>
    <w:p w:rsidR="00A01A86" w:rsidRPr="00A01A86" w:rsidRDefault="00A01A86" w:rsidP="00A01A86">
      <w:pPr>
        <w:pStyle w:val="WW-Textosinformato"/>
        <w:widowControl w:val="0"/>
        <w:tabs>
          <w:tab w:val="left" w:pos="709"/>
          <w:tab w:val="center" w:pos="1560"/>
          <w:tab w:val="center" w:pos="6744"/>
          <w:tab w:val="right" w:pos="11163"/>
        </w:tabs>
        <w:adjustRightInd w:val="0"/>
        <w:ind w:left="709" w:hanging="283"/>
        <w:textAlignment w:val="baseline"/>
        <w:rPr>
          <w:rFonts w:ascii="Times New Roman" w:hAnsi="Times New Roman"/>
          <w:i/>
          <w:sz w:val="24"/>
          <w:szCs w:val="24"/>
        </w:rPr>
      </w:pPr>
      <w:r w:rsidRPr="00A01A86">
        <w:rPr>
          <w:rFonts w:ascii="Times New Roman" w:hAnsi="Times New Roman"/>
          <w:i/>
          <w:sz w:val="24"/>
          <w:szCs w:val="24"/>
        </w:rPr>
        <w:tab/>
        <w:t>En el caso de consorcios, cada integrante debe presentar esta declaración jurada, salvo que sea presentada por el representante común del consorcio.</w:t>
      </w:r>
    </w:p>
    <w:p w:rsidR="00A01A86" w:rsidRPr="00A01A86" w:rsidRDefault="00A01A86" w:rsidP="00A01A86">
      <w:pPr>
        <w:pStyle w:val="WW-Textosinformato"/>
        <w:widowControl w:val="0"/>
        <w:tabs>
          <w:tab w:val="left" w:pos="709"/>
          <w:tab w:val="left" w:pos="993"/>
          <w:tab w:val="center" w:pos="1560"/>
          <w:tab w:val="center" w:pos="6744"/>
          <w:tab w:val="right" w:pos="11163"/>
        </w:tabs>
        <w:adjustRightInd w:val="0"/>
        <w:ind w:left="709" w:hanging="283"/>
        <w:jc w:val="both"/>
        <w:textAlignment w:val="baseline"/>
        <w:rPr>
          <w:rFonts w:ascii="Times New Roman" w:hAnsi="Times New Roman"/>
          <w:i/>
          <w:sz w:val="24"/>
          <w:szCs w:val="24"/>
        </w:rPr>
      </w:pPr>
    </w:p>
    <w:p w:rsidR="00A01A86" w:rsidRPr="00A01A86" w:rsidRDefault="00A01A86" w:rsidP="00A01A86">
      <w:pPr>
        <w:pStyle w:val="WW-Textosinformato"/>
        <w:widowControl w:val="0"/>
        <w:numPr>
          <w:ilvl w:val="0"/>
          <w:numId w:val="28"/>
        </w:numPr>
        <w:tabs>
          <w:tab w:val="left" w:pos="709"/>
          <w:tab w:val="left" w:pos="993"/>
          <w:tab w:val="center" w:pos="1560"/>
          <w:tab w:val="right" w:pos="11163"/>
        </w:tabs>
        <w:ind w:left="709" w:hanging="283"/>
        <w:jc w:val="both"/>
        <w:rPr>
          <w:rFonts w:ascii="Times New Roman" w:hAnsi="Times New Roman"/>
          <w:i/>
          <w:sz w:val="24"/>
          <w:szCs w:val="24"/>
        </w:rPr>
      </w:pPr>
      <w:r w:rsidRPr="00A01A86">
        <w:rPr>
          <w:rFonts w:ascii="Times New Roman" w:hAnsi="Times New Roman"/>
          <w:i/>
          <w:sz w:val="24"/>
          <w:szCs w:val="24"/>
          <w:lang w:val="es-ES"/>
        </w:rPr>
        <w:t xml:space="preserve">Promesa formal de consorcio, de ser el caso, en la que se consigne los integrantes, el representante común, el domicilio común y las obligaciones a las que se compromete cada uno de los integrantes del consorcio así como el porcentaje equivalente a dichas obligaciones </w:t>
      </w:r>
      <w:r w:rsidRPr="00A01A86">
        <w:rPr>
          <w:rFonts w:ascii="Times New Roman" w:hAnsi="Times New Roman"/>
          <w:b/>
          <w:i/>
          <w:sz w:val="24"/>
          <w:szCs w:val="24"/>
          <w:lang w:val="es-ES"/>
        </w:rPr>
        <w:t>(Anexo Nº 4)</w:t>
      </w:r>
      <w:r w:rsidRPr="00A01A86">
        <w:rPr>
          <w:rFonts w:ascii="Times New Roman" w:hAnsi="Times New Roman"/>
          <w:i/>
          <w:sz w:val="24"/>
          <w:szCs w:val="24"/>
          <w:lang w:val="es-ES"/>
        </w:rPr>
        <w:t>.</w:t>
      </w:r>
    </w:p>
    <w:p w:rsidR="00A01A86" w:rsidRPr="00A01A86" w:rsidRDefault="00A01A86" w:rsidP="00A01A86">
      <w:pPr>
        <w:pStyle w:val="WW-Textosinformato"/>
        <w:widowControl w:val="0"/>
        <w:tabs>
          <w:tab w:val="left" w:pos="709"/>
          <w:tab w:val="center" w:pos="6744"/>
          <w:tab w:val="right" w:pos="11163"/>
        </w:tabs>
        <w:adjustRightInd w:val="0"/>
        <w:ind w:left="709" w:hanging="283"/>
        <w:jc w:val="both"/>
        <w:textAlignment w:val="baseline"/>
        <w:rPr>
          <w:rFonts w:ascii="Times New Roman" w:hAnsi="Times New Roman"/>
          <w:i/>
          <w:sz w:val="24"/>
          <w:szCs w:val="24"/>
        </w:rPr>
      </w:pPr>
    </w:p>
    <w:p w:rsidR="00A01A86" w:rsidRPr="00A01A86" w:rsidRDefault="00A01A86" w:rsidP="00A01A86">
      <w:pPr>
        <w:widowControl w:val="0"/>
        <w:tabs>
          <w:tab w:val="left" w:pos="709"/>
        </w:tabs>
        <w:autoSpaceDE w:val="0"/>
        <w:autoSpaceDN w:val="0"/>
        <w:adjustRightInd w:val="0"/>
        <w:ind w:left="709" w:hanging="283"/>
        <w:jc w:val="both"/>
        <w:rPr>
          <w:i/>
        </w:rPr>
      </w:pPr>
      <w:r w:rsidRPr="00A01A86">
        <w:rPr>
          <w:i/>
        </w:rPr>
        <w:t xml:space="preserve">    (...)</w:t>
      </w:r>
    </w:p>
    <w:p w:rsidR="00A01A86" w:rsidRPr="00A01A86" w:rsidRDefault="00A01A86" w:rsidP="00A01A86">
      <w:pPr>
        <w:widowControl w:val="0"/>
        <w:tabs>
          <w:tab w:val="left" w:pos="709"/>
          <w:tab w:val="num" w:pos="993"/>
          <w:tab w:val="center" w:pos="1985"/>
        </w:tabs>
        <w:ind w:left="709" w:hanging="283"/>
        <w:jc w:val="both"/>
        <w:rPr>
          <w:i/>
        </w:rPr>
      </w:pPr>
    </w:p>
    <w:p w:rsidR="00A01A86" w:rsidRPr="00A01A86" w:rsidRDefault="00A01A86" w:rsidP="00A01A86">
      <w:pPr>
        <w:pStyle w:val="WW-Textosinformato"/>
        <w:widowControl w:val="0"/>
        <w:numPr>
          <w:ilvl w:val="0"/>
          <w:numId w:val="28"/>
        </w:numPr>
        <w:tabs>
          <w:tab w:val="left" w:pos="709"/>
          <w:tab w:val="left" w:pos="851"/>
          <w:tab w:val="center" w:pos="1134"/>
          <w:tab w:val="right" w:pos="11163"/>
        </w:tabs>
        <w:adjustRightInd w:val="0"/>
        <w:ind w:left="709" w:hanging="283"/>
        <w:jc w:val="both"/>
        <w:textAlignment w:val="baseline"/>
        <w:rPr>
          <w:rFonts w:ascii="Times New Roman" w:hAnsi="Times New Roman"/>
          <w:i/>
          <w:sz w:val="24"/>
          <w:szCs w:val="24"/>
        </w:rPr>
      </w:pPr>
      <w:r w:rsidRPr="00A01A86">
        <w:rPr>
          <w:rFonts w:ascii="Times New Roman" w:hAnsi="Times New Roman"/>
          <w:i/>
          <w:sz w:val="24"/>
          <w:szCs w:val="24"/>
        </w:rPr>
        <w:t xml:space="preserve">Declaración Jurada de Plazo de prestación del servicio </w:t>
      </w:r>
      <w:r w:rsidRPr="00A01A86">
        <w:rPr>
          <w:rFonts w:ascii="Times New Roman" w:hAnsi="Times New Roman"/>
          <w:b/>
          <w:i/>
          <w:sz w:val="24"/>
          <w:szCs w:val="24"/>
        </w:rPr>
        <w:t>(Anexo Nº 5)</w:t>
      </w:r>
      <w:r w:rsidRPr="00A01A86">
        <w:rPr>
          <w:rFonts w:ascii="Times New Roman" w:hAnsi="Times New Roman"/>
          <w:i/>
          <w:sz w:val="24"/>
          <w:szCs w:val="24"/>
        </w:rPr>
        <w:t>.</w:t>
      </w:r>
    </w:p>
    <w:p w:rsidR="00A01A86" w:rsidRPr="00A01A86" w:rsidRDefault="00A01A86" w:rsidP="00A01A86">
      <w:pPr>
        <w:pStyle w:val="WW-Textosinformato"/>
        <w:widowControl w:val="0"/>
        <w:tabs>
          <w:tab w:val="left" w:pos="709"/>
          <w:tab w:val="left" w:pos="1134"/>
          <w:tab w:val="left" w:pos="1276"/>
          <w:tab w:val="center" w:pos="6744"/>
          <w:tab w:val="right" w:pos="11163"/>
        </w:tabs>
        <w:adjustRightInd w:val="0"/>
        <w:ind w:left="709" w:hanging="283"/>
        <w:jc w:val="both"/>
        <w:textAlignment w:val="baseline"/>
        <w:rPr>
          <w:rFonts w:ascii="Times New Roman" w:hAnsi="Times New Roman"/>
          <w:i/>
          <w:sz w:val="24"/>
          <w:szCs w:val="24"/>
        </w:rPr>
      </w:pPr>
    </w:p>
    <w:p w:rsidR="00A01A86" w:rsidRPr="00A01A86" w:rsidRDefault="00A01A86" w:rsidP="00A01A86">
      <w:pPr>
        <w:pStyle w:val="WW-Textosinformato"/>
        <w:widowControl w:val="0"/>
        <w:numPr>
          <w:ilvl w:val="0"/>
          <w:numId w:val="28"/>
        </w:numPr>
        <w:tabs>
          <w:tab w:val="left" w:pos="709"/>
          <w:tab w:val="left" w:pos="1134"/>
          <w:tab w:val="left" w:pos="1276"/>
          <w:tab w:val="center" w:pos="6744"/>
          <w:tab w:val="right" w:pos="11163"/>
        </w:tabs>
        <w:adjustRightInd w:val="0"/>
        <w:ind w:left="709" w:hanging="283"/>
        <w:jc w:val="both"/>
        <w:textAlignment w:val="baseline"/>
        <w:rPr>
          <w:rFonts w:ascii="Times New Roman" w:hAnsi="Times New Roman"/>
          <w:i/>
          <w:sz w:val="24"/>
          <w:szCs w:val="24"/>
        </w:rPr>
      </w:pPr>
      <w:r w:rsidRPr="00A01A86">
        <w:rPr>
          <w:rFonts w:ascii="Times New Roman" w:hAnsi="Times New Roman"/>
          <w:i/>
          <w:sz w:val="24"/>
          <w:szCs w:val="24"/>
        </w:rPr>
        <w:t xml:space="preserve"> Adjuntar copia del Contrato de Concesión Postal vigente o la Autorización que es emitida por el Ministerio de Transportes y Comunicaciones, de acuerdo al Decreto Supremo N° 032-93-TCC, modificado con el Decreto Supremo N° 011-2010-MTC."</w:t>
      </w:r>
    </w:p>
    <w:p w:rsidR="00A01A86" w:rsidRDefault="00A01A86" w:rsidP="00A01A86">
      <w:pPr>
        <w:pStyle w:val="Textoindependiente2"/>
        <w:widowControl w:val="0"/>
        <w:spacing w:after="0" w:line="240" w:lineRule="auto"/>
        <w:jc w:val="both"/>
        <w:rPr>
          <w:lang w:val="es-PE"/>
        </w:rPr>
      </w:pPr>
    </w:p>
    <w:p w:rsidR="00A01A86" w:rsidRDefault="00DE779C" w:rsidP="00A01A86">
      <w:pPr>
        <w:pStyle w:val="Textoindependiente2"/>
        <w:widowControl w:val="0"/>
        <w:spacing w:after="0" w:line="240" w:lineRule="auto"/>
        <w:jc w:val="both"/>
        <w:rPr>
          <w:lang w:val="es-PE"/>
        </w:rPr>
      </w:pPr>
      <w:r>
        <w:rPr>
          <w:lang w:val="es-PE"/>
        </w:rPr>
        <w:t xml:space="preserve">En relación a la Observación N° 1, el Comité Especial señaló lo siguiente: </w:t>
      </w:r>
    </w:p>
    <w:p w:rsidR="00DE779C" w:rsidRPr="00A01A86" w:rsidRDefault="00DE779C" w:rsidP="00A01A86">
      <w:pPr>
        <w:pStyle w:val="Textoindependiente2"/>
        <w:widowControl w:val="0"/>
        <w:spacing w:after="0" w:line="240" w:lineRule="auto"/>
        <w:jc w:val="both"/>
        <w:rPr>
          <w:lang w:val="es-PE"/>
        </w:rPr>
      </w:pPr>
    </w:p>
    <w:p w:rsidR="00005904" w:rsidRDefault="00DE779C" w:rsidP="00C77276">
      <w:pPr>
        <w:pStyle w:val="Textoindependiente2"/>
        <w:widowControl w:val="0"/>
        <w:spacing w:after="0" w:line="240" w:lineRule="auto"/>
        <w:ind w:left="4820" w:hanging="4820"/>
        <w:jc w:val="both"/>
        <w:rPr>
          <w:b/>
          <w:lang w:val="es-PE"/>
        </w:rPr>
      </w:pPr>
      <w:r>
        <w:rPr>
          <w:b/>
          <w:noProof/>
          <w:lang w:val="es-PE" w:eastAsia="es-PE"/>
        </w:rPr>
        <w:drawing>
          <wp:anchor distT="0" distB="0" distL="114300" distR="114300" simplePos="0" relativeHeight="251658240" behindDoc="0" locked="0" layoutInCell="1" allowOverlap="1">
            <wp:simplePos x="0" y="0"/>
            <wp:positionH relativeFrom="column">
              <wp:posOffset>288290</wp:posOffset>
            </wp:positionH>
            <wp:positionV relativeFrom="paragraph">
              <wp:posOffset>24765</wp:posOffset>
            </wp:positionV>
            <wp:extent cx="4711065" cy="2273300"/>
            <wp:effectExtent l="19050" t="19050" r="13335" b="1270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11065" cy="2273300"/>
                    </a:xfrm>
                    <a:prstGeom prst="rect">
                      <a:avLst/>
                    </a:prstGeom>
                    <a:noFill/>
                    <a:ln w="9525">
                      <a:solidFill>
                        <a:schemeClr val="tx1"/>
                      </a:solidFill>
                      <a:miter lim="800000"/>
                      <a:headEnd/>
                      <a:tailEnd/>
                    </a:ln>
                  </pic:spPr>
                </pic:pic>
              </a:graphicData>
            </a:graphic>
          </wp:anchor>
        </w:drawing>
      </w:r>
    </w:p>
    <w:p w:rsidR="00005904" w:rsidRDefault="00005904" w:rsidP="00C77276">
      <w:pPr>
        <w:pStyle w:val="Textoindependiente2"/>
        <w:widowControl w:val="0"/>
        <w:spacing w:after="0" w:line="240" w:lineRule="auto"/>
        <w:ind w:left="4820" w:hanging="4820"/>
        <w:jc w:val="both"/>
        <w:rPr>
          <w:b/>
          <w:lang w:val="es-PE"/>
        </w:rPr>
      </w:pPr>
    </w:p>
    <w:p w:rsidR="008E5BD1" w:rsidRDefault="008E5BD1" w:rsidP="00C77276">
      <w:pPr>
        <w:pStyle w:val="Textoindependiente2"/>
        <w:widowControl w:val="0"/>
        <w:spacing w:after="0" w:line="240" w:lineRule="auto"/>
        <w:ind w:left="4820" w:hanging="4820"/>
        <w:jc w:val="both"/>
        <w:rPr>
          <w:b/>
          <w:lang w:val="es-PE"/>
        </w:rPr>
      </w:pPr>
    </w:p>
    <w:p w:rsidR="00DE779C" w:rsidRDefault="00DE779C" w:rsidP="00005904">
      <w:pPr>
        <w:pStyle w:val="Textoindependiente2"/>
        <w:widowControl w:val="0"/>
        <w:spacing w:after="0" w:line="240" w:lineRule="auto"/>
        <w:ind w:left="5670" w:hanging="5670"/>
        <w:jc w:val="both"/>
        <w:rPr>
          <w:b/>
          <w:lang w:val="es-PE"/>
        </w:rPr>
      </w:pPr>
    </w:p>
    <w:p w:rsidR="00DE779C" w:rsidRDefault="00DE779C" w:rsidP="00005904">
      <w:pPr>
        <w:pStyle w:val="Textoindependiente2"/>
        <w:widowControl w:val="0"/>
        <w:spacing w:after="0" w:line="240" w:lineRule="auto"/>
        <w:ind w:left="5670" w:hanging="5670"/>
        <w:jc w:val="both"/>
        <w:rPr>
          <w:b/>
          <w:lang w:val="es-PE"/>
        </w:rPr>
      </w:pPr>
    </w:p>
    <w:p w:rsidR="00DE779C" w:rsidRDefault="00DE779C" w:rsidP="00005904">
      <w:pPr>
        <w:pStyle w:val="Textoindependiente2"/>
        <w:widowControl w:val="0"/>
        <w:spacing w:after="0" w:line="240" w:lineRule="auto"/>
        <w:ind w:left="5670" w:hanging="5670"/>
        <w:jc w:val="both"/>
        <w:rPr>
          <w:b/>
          <w:lang w:val="es-PE"/>
        </w:rPr>
      </w:pPr>
    </w:p>
    <w:p w:rsidR="00DE779C" w:rsidRDefault="00DE779C" w:rsidP="00005904">
      <w:pPr>
        <w:pStyle w:val="Textoindependiente2"/>
        <w:widowControl w:val="0"/>
        <w:spacing w:after="0" w:line="240" w:lineRule="auto"/>
        <w:ind w:left="5670" w:hanging="5670"/>
        <w:jc w:val="both"/>
        <w:rPr>
          <w:b/>
          <w:lang w:val="es-PE"/>
        </w:rPr>
      </w:pPr>
    </w:p>
    <w:p w:rsidR="00DE779C" w:rsidRDefault="00DE779C" w:rsidP="00005904">
      <w:pPr>
        <w:pStyle w:val="Textoindependiente2"/>
        <w:widowControl w:val="0"/>
        <w:spacing w:after="0" w:line="240" w:lineRule="auto"/>
        <w:ind w:left="5670" w:hanging="5670"/>
        <w:jc w:val="both"/>
        <w:rPr>
          <w:b/>
          <w:lang w:val="es-PE"/>
        </w:rPr>
      </w:pPr>
    </w:p>
    <w:p w:rsidR="00DE779C" w:rsidRDefault="00DE779C" w:rsidP="00005904">
      <w:pPr>
        <w:pStyle w:val="Textoindependiente2"/>
        <w:widowControl w:val="0"/>
        <w:spacing w:after="0" w:line="240" w:lineRule="auto"/>
        <w:ind w:left="5670" w:hanging="5670"/>
        <w:jc w:val="both"/>
        <w:rPr>
          <w:b/>
          <w:lang w:val="es-PE"/>
        </w:rPr>
      </w:pPr>
    </w:p>
    <w:p w:rsidR="00DE779C" w:rsidRDefault="00DE779C" w:rsidP="00005904">
      <w:pPr>
        <w:pStyle w:val="Textoindependiente2"/>
        <w:widowControl w:val="0"/>
        <w:spacing w:after="0" w:line="240" w:lineRule="auto"/>
        <w:ind w:left="5670" w:hanging="5670"/>
        <w:jc w:val="both"/>
        <w:rPr>
          <w:b/>
          <w:lang w:val="es-PE"/>
        </w:rPr>
      </w:pPr>
    </w:p>
    <w:p w:rsidR="00DE779C" w:rsidRDefault="00DE779C" w:rsidP="00005904">
      <w:pPr>
        <w:pStyle w:val="Textoindependiente2"/>
        <w:widowControl w:val="0"/>
        <w:spacing w:after="0" w:line="240" w:lineRule="auto"/>
        <w:ind w:left="5670" w:hanging="5670"/>
        <w:jc w:val="both"/>
        <w:rPr>
          <w:b/>
          <w:lang w:val="es-PE"/>
        </w:rPr>
      </w:pPr>
    </w:p>
    <w:p w:rsidR="00DE779C" w:rsidRDefault="00DE779C" w:rsidP="00005904">
      <w:pPr>
        <w:pStyle w:val="Textoindependiente2"/>
        <w:widowControl w:val="0"/>
        <w:spacing w:after="0" w:line="240" w:lineRule="auto"/>
        <w:ind w:left="5670" w:hanging="5670"/>
        <w:jc w:val="both"/>
        <w:rPr>
          <w:b/>
          <w:lang w:val="es-PE"/>
        </w:rPr>
      </w:pPr>
    </w:p>
    <w:p w:rsidR="00DE779C" w:rsidRDefault="00DE779C" w:rsidP="00005904">
      <w:pPr>
        <w:pStyle w:val="Textoindependiente2"/>
        <w:widowControl w:val="0"/>
        <w:spacing w:after="0" w:line="240" w:lineRule="auto"/>
        <w:ind w:left="5670" w:hanging="5670"/>
        <w:jc w:val="both"/>
        <w:rPr>
          <w:b/>
          <w:lang w:val="es-PE"/>
        </w:rPr>
      </w:pPr>
    </w:p>
    <w:p w:rsidR="00DE779C" w:rsidRDefault="00DE779C" w:rsidP="00DE779C">
      <w:pPr>
        <w:pStyle w:val="Textoindependiente2"/>
        <w:widowControl w:val="0"/>
        <w:spacing w:after="0" w:line="240" w:lineRule="auto"/>
        <w:jc w:val="both"/>
        <w:rPr>
          <w:lang w:val="es-PE"/>
        </w:rPr>
      </w:pPr>
    </w:p>
    <w:p w:rsidR="00DE779C" w:rsidRDefault="00DE779C" w:rsidP="00DE779C">
      <w:pPr>
        <w:pStyle w:val="Textoindependiente2"/>
        <w:widowControl w:val="0"/>
        <w:spacing w:after="0" w:line="240" w:lineRule="auto"/>
        <w:jc w:val="both"/>
        <w:rPr>
          <w:lang w:val="es-PE"/>
        </w:rPr>
      </w:pPr>
      <w:r w:rsidRPr="00DE779C">
        <w:rPr>
          <w:lang w:val="es-PE"/>
        </w:rPr>
        <w:t>En cuanto</w:t>
      </w:r>
      <w:r>
        <w:rPr>
          <w:lang w:val="es-PE"/>
        </w:rPr>
        <w:t xml:space="preserve"> a la Observación N° 3, dicho órgano colegiado señaló lo siguiente:</w:t>
      </w:r>
    </w:p>
    <w:p w:rsidR="00DF745D" w:rsidRDefault="00CB4005" w:rsidP="00DE779C">
      <w:pPr>
        <w:pStyle w:val="Textoindependiente2"/>
        <w:widowControl w:val="0"/>
        <w:spacing w:after="0" w:line="240" w:lineRule="auto"/>
        <w:jc w:val="both"/>
        <w:rPr>
          <w:lang w:val="es-PE"/>
        </w:rPr>
      </w:pPr>
      <w:r>
        <w:rPr>
          <w:noProof/>
          <w:lang w:val="es-PE" w:eastAsia="es-PE"/>
        </w:rPr>
        <w:lastRenderedPageBreak/>
        <w:drawing>
          <wp:anchor distT="0" distB="0" distL="114300" distR="114300" simplePos="0" relativeHeight="251659264" behindDoc="0" locked="0" layoutInCell="1" allowOverlap="1">
            <wp:simplePos x="0" y="0"/>
            <wp:positionH relativeFrom="column">
              <wp:posOffset>363220</wp:posOffset>
            </wp:positionH>
            <wp:positionV relativeFrom="paragraph">
              <wp:posOffset>-31750</wp:posOffset>
            </wp:positionV>
            <wp:extent cx="4916805" cy="1742440"/>
            <wp:effectExtent l="19050" t="19050" r="17145" b="1016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4916805" cy="1742440"/>
                    </a:xfrm>
                    <a:prstGeom prst="rect">
                      <a:avLst/>
                    </a:prstGeom>
                    <a:noFill/>
                    <a:ln w="9525">
                      <a:solidFill>
                        <a:schemeClr val="tx1"/>
                      </a:solidFill>
                      <a:miter lim="800000"/>
                      <a:headEnd/>
                      <a:tailEnd/>
                    </a:ln>
                  </pic:spPr>
                </pic:pic>
              </a:graphicData>
            </a:graphic>
          </wp:anchor>
        </w:drawing>
      </w:r>
    </w:p>
    <w:p w:rsidR="00DE779C" w:rsidRDefault="00DE779C" w:rsidP="00DE779C">
      <w:pPr>
        <w:pStyle w:val="Textoindependiente2"/>
        <w:widowControl w:val="0"/>
        <w:spacing w:after="0" w:line="240" w:lineRule="auto"/>
        <w:jc w:val="both"/>
        <w:rPr>
          <w:lang w:val="es-PE"/>
        </w:rPr>
      </w:pPr>
    </w:p>
    <w:p w:rsidR="00DE779C" w:rsidRDefault="00DE779C" w:rsidP="00005904">
      <w:pPr>
        <w:pStyle w:val="Textoindependiente2"/>
        <w:widowControl w:val="0"/>
        <w:spacing w:after="0" w:line="240" w:lineRule="auto"/>
        <w:ind w:left="5670" w:hanging="5670"/>
        <w:jc w:val="both"/>
        <w:rPr>
          <w:b/>
          <w:lang w:val="es-PE"/>
        </w:rPr>
      </w:pPr>
    </w:p>
    <w:p w:rsidR="00CB4005" w:rsidRDefault="00CB4005" w:rsidP="00DF745D">
      <w:pPr>
        <w:pStyle w:val="Textoindependiente"/>
        <w:widowControl w:val="0"/>
        <w:spacing w:after="0"/>
        <w:jc w:val="both"/>
      </w:pPr>
    </w:p>
    <w:p w:rsidR="00CB4005" w:rsidRDefault="00CB4005" w:rsidP="00DF745D">
      <w:pPr>
        <w:pStyle w:val="Textoindependiente"/>
        <w:widowControl w:val="0"/>
        <w:spacing w:after="0"/>
        <w:jc w:val="both"/>
      </w:pPr>
    </w:p>
    <w:p w:rsidR="00CB4005" w:rsidRDefault="00CB4005" w:rsidP="00DF745D">
      <w:pPr>
        <w:pStyle w:val="Textoindependiente"/>
        <w:widowControl w:val="0"/>
        <w:spacing w:after="0"/>
        <w:jc w:val="both"/>
      </w:pPr>
    </w:p>
    <w:p w:rsidR="00CB4005" w:rsidRDefault="00CB4005" w:rsidP="00DF745D">
      <w:pPr>
        <w:pStyle w:val="Textoindependiente"/>
        <w:widowControl w:val="0"/>
        <w:spacing w:after="0"/>
        <w:jc w:val="both"/>
      </w:pPr>
    </w:p>
    <w:p w:rsidR="00CB4005" w:rsidRDefault="00CB4005" w:rsidP="00DF745D">
      <w:pPr>
        <w:pStyle w:val="Textoindependiente"/>
        <w:widowControl w:val="0"/>
        <w:spacing w:after="0"/>
        <w:jc w:val="both"/>
      </w:pPr>
    </w:p>
    <w:p w:rsidR="00CB4005" w:rsidRDefault="00CB4005" w:rsidP="00DF745D">
      <w:pPr>
        <w:pStyle w:val="Textoindependiente"/>
        <w:widowControl w:val="0"/>
        <w:spacing w:after="0"/>
        <w:jc w:val="both"/>
      </w:pPr>
    </w:p>
    <w:p w:rsidR="00CB4005" w:rsidRDefault="00CB4005" w:rsidP="00DF745D">
      <w:pPr>
        <w:pStyle w:val="Textoindependiente"/>
        <w:widowControl w:val="0"/>
        <w:spacing w:after="0"/>
        <w:jc w:val="both"/>
      </w:pPr>
    </w:p>
    <w:p w:rsidR="00CB4005" w:rsidRDefault="00CB4005" w:rsidP="00DF745D">
      <w:pPr>
        <w:pStyle w:val="Textoindependiente"/>
        <w:widowControl w:val="0"/>
        <w:spacing w:after="0"/>
        <w:jc w:val="both"/>
      </w:pPr>
    </w:p>
    <w:p w:rsidR="00140D80" w:rsidRDefault="00140D80" w:rsidP="00140D80">
      <w:pPr>
        <w:pStyle w:val="Textoindependiente2"/>
        <w:widowControl w:val="0"/>
        <w:spacing w:after="0" w:line="240" w:lineRule="auto"/>
        <w:jc w:val="both"/>
      </w:pPr>
      <w:r>
        <w:t xml:space="preserve">En principio, corresponde </w:t>
      </w:r>
      <w:r w:rsidRPr="004A7A40">
        <w:t>señalar que el Pronunciamiento</w:t>
      </w:r>
      <w:r>
        <w:t xml:space="preserve"> N° 912-2014/DSU</w:t>
      </w:r>
      <w:r w:rsidRPr="004A7A40">
        <w:t xml:space="preserve"> indicado por el recurrente en las observaciones en cuestión, y el Pronunciamiento</w:t>
      </w:r>
      <w:r>
        <w:t xml:space="preserve"> N° 079-2012/DSU</w:t>
      </w:r>
      <w:r w:rsidRPr="004A7A40">
        <w:t xml:space="preserve"> señalado por el Comité Especial no constituyen Precedentes Administrativos de Observancia Obligatoria, por lo que no son aplicables para sustentar los cuestionamientos presentados por los participantes ni para argumentar lo absuelto por la Entidad en el pliego absolutorio; máxime si los hechos cuestionados en el Pronunciamiento</w:t>
      </w:r>
      <w:r w:rsidRPr="00ED4349">
        <w:t xml:space="preserve"> </w:t>
      </w:r>
      <w:r>
        <w:t>N° 912-2014/DSU</w:t>
      </w:r>
      <w:r w:rsidRPr="004A7A40">
        <w:t xml:space="preserve"> indicado por el recurrente en sus observaciones en cuestión son diferentes a los hechos cuestionados en las Observaciones N° 1 y N°</w:t>
      </w:r>
      <w:r>
        <w:t xml:space="preserve"> </w:t>
      </w:r>
      <w:r w:rsidRPr="004A7A40">
        <w:t>3.</w:t>
      </w:r>
    </w:p>
    <w:p w:rsidR="00140D80" w:rsidRPr="004A7A40" w:rsidRDefault="00140D80" w:rsidP="00140D80">
      <w:pPr>
        <w:pStyle w:val="Textoindependiente2"/>
        <w:widowControl w:val="0"/>
        <w:spacing w:after="0" w:line="240" w:lineRule="auto"/>
        <w:jc w:val="both"/>
      </w:pPr>
    </w:p>
    <w:p w:rsidR="00DF745D" w:rsidRDefault="00140D80" w:rsidP="00DF745D">
      <w:pPr>
        <w:pStyle w:val="Textoindependiente"/>
        <w:widowControl w:val="0"/>
        <w:spacing w:after="0"/>
        <w:jc w:val="both"/>
        <w:rPr>
          <w:snapToGrid w:val="0"/>
          <w:lang w:val="es-PE"/>
        </w:rPr>
      </w:pPr>
      <w:r>
        <w:t>Efectuada dicha precisión</w:t>
      </w:r>
      <w:r w:rsidR="00103EBC">
        <w:t>,</w:t>
      </w:r>
      <w:r>
        <w:t xml:space="preserve"> cabe indicar que</w:t>
      </w:r>
      <w:r w:rsidR="00103EBC">
        <w:t>,</w:t>
      </w:r>
      <w:r w:rsidR="00DF745D">
        <w:t xml:space="preserve"> </w:t>
      </w:r>
      <w:r w:rsidR="00DF745D">
        <w:rPr>
          <w:snapToGrid w:val="0"/>
          <w:lang w:val="es-PE"/>
        </w:rPr>
        <w:t>de acuerdo con</w:t>
      </w:r>
      <w:r w:rsidR="00DF745D" w:rsidRPr="0045753B">
        <w:rPr>
          <w:snapToGrid w:val="0"/>
          <w:lang w:val="es-PE"/>
        </w:rPr>
        <w:t xml:space="preserve"> el artículo 13° de la Ley, </w:t>
      </w:r>
      <w:r w:rsidR="00DF745D" w:rsidRPr="0045753B">
        <w:rPr>
          <w:snapToGrid w:val="0"/>
        </w:rPr>
        <w:t xml:space="preserve">concordado con el artículo 11º del Reglamento, </w:t>
      </w:r>
      <w:r w:rsidR="00DF745D" w:rsidRPr="00E85166">
        <w:rPr>
          <w:snapToGrid w:val="0"/>
        </w:rPr>
        <w:t xml:space="preserve">la definición de los requerimientos técnicos mínimos, así como </w:t>
      </w:r>
      <w:r w:rsidR="00DF745D">
        <w:rPr>
          <w:snapToGrid w:val="0"/>
          <w:u w:val="single"/>
        </w:rPr>
        <w:t>la documentación que los sustente,</w:t>
      </w:r>
      <w:r w:rsidR="00DF745D" w:rsidRPr="0045753B">
        <w:rPr>
          <w:snapToGrid w:val="0"/>
          <w:u w:val="single"/>
        </w:rPr>
        <w:t xml:space="preserve"> es de exclusiva responsabilidad de la Entidad</w:t>
      </w:r>
      <w:r w:rsidR="00DF745D" w:rsidRPr="0045753B">
        <w:rPr>
          <w:snapToGrid w:val="0"/>
        </w:rPr>
        <w:t xml:space="preserve">, sin mayor restricción que la de permitir la mayor concurrencia de proveedores en el mercado, debiéndose considerar los criterios de </w:t>
      </w:r>
      <w:r w:rsidR="00DF745D" w:rsidRPr="00E85166">
        <w:rPr>
          <w:snapToGrid w:val="0"/>
          <w:u w:val="single"/>
        </w:rPr>
        <w:t>razonabilidad, congruencia y proporcionalidad</w:t>
      </w:r>
      <w:r w:rsidR="00DF745D" w:rsidRPr="0045753B">
        <w:rPr>
          <w:snapToGrid w:val="0"/>
        </w:rPr>
        <w:t>.</w:t>
      </w:r>
      <w:r w:rsidR="00DF745D" w:rsidRPr="0045753B">
        <w:rPr>
          <w:snapToGrid w:val="0"/>
          <w:lang w:val="es-PE"/>
        </w:rPr>
        <w:t xml:space="preserve"> </w:t>
      </w:r>
    </w:p>
    <w:p w:rsidR="00DF745D" w:rsidRDefault="00DF745D" w:rsidP="00DF745D">
      <w:pPr>
        <w:pStyle w:val="Textoindependiente"/>
        <w:widowControl w:val="0"/>
        <w:spacing w:after="0"/>
        <w:jc w:val="both"/>
        <w:rPr>
          <w:snapToGrid w:val="0"/>
          <w:lang w:val="es-PE"/>
        </w:rPr>
      </w:pPr>
    </w:p>
    <w:p w:rsidR="00DF745D" w:rsidRDefault="00DF745D" w:rsidP="00DF745D">
      <w:pPr>
        <w:pStyle w:val="Textoindependiente"/>
        <w:widowControl w:val="0"/>
        <w:spacing w:after="0"/>
        <w:jc w:val="both"/>
        <w:rPr>
          <w:lang w:eastAsia="es-ES"/>
        </w:rPr>
      </w:pPr>
      <w:r w:rsidRPr="00737E7B">
        <w:rPr>
          <w:snapToGrid w:val="0"/>
          <w:lang w:val="es-PE"/>
        </w:rPr>
        <w:t xml:space="preserve">Así también, </w:t>
      </w:r>
      <w:r w:rsidRPr="00737E7B">
        <w:t xml:space="preserve">cabe indicar que de conformidad con lo dispuesto en </w:t>
      </w:r>
      <w:r w:rsidRPr="00737E7B">
        <w:rPr>
          <w:lang w:eastAsia="es-ES"/>
        </w:rPr>
        <w:t xml:space="preserve">el artículo 29º de </w:t>
      </w:r>
      <w:smartTag w:uri="urn:schemas-microsoft-com:office:smarttags" w:element="PersonName">
        <w:smartTagPr>
          <w:attr w:name="ProductID" w:val="la Ley"/>
        </w:smartTagPr>
        <w:r w:rsidRPr="00737E7B">
          <w:rPr>
            <w:lang w:eastAsia="es-ES"/>
          </w:rPr>
          <w:t>la Ley</w:t>
        </w:r>
      </w:smartTag>
      <w:r w:rsidRPr="00737E7B">
        <w:rPr>
          <w:lang w:eastAsia="es-ES"/>
        </w:rPr>
        <w:t xml:space="preserve">, </w:t>
      </w:r>
      <w:r w:rsidRPr="00737E7B">
        <w:rPr>
          <w:u w:val="single"/>
          <w:lang w:eastAsia="es-ES"/>
        </w:rPr>
        <w:t>en la elaboración de las Bases se recogerá</w:t>
      </w:r>
      <w:r w:rsidRPr="00737E7B">
        <w:rPr>
          <w:lang w:eastAsia="es-ES"/>
        </w:rPr>
        <w:t xml:space="preserve"> lo establecido en la presente norma y su Reglamento </w:t>
      </w:r>
      <w:r w:rsidRPr="00737E7B">
        <w:rPr>
          <w:u w:val="single"/>
          <w:lang w:eastAsia="es-ES"/>
        </w:rPr>
        <w:t>y otras normas complementarias o conexas que tengan relación con el proceso de selección, las que se aplicarán obligatoriamente</w:t>
      </w:r>
      <w:r w:rsidRPr="00737E7B">
        <w:rPr>
          <w:lang w:eastAsia="es-ES"/>
        </w:rPr>
        <w:t>.</w:t>
      </w:r>
    </w:p>
    <w:p w:rsidR="00DF745D" w:rsidRPr="00737E7B" w:rsidRDefault="00DF745D" w:rsidP="00DF745D">
      <w:pPr>
        <w:pStyle w:val="Textoindependiente"/>
        <w:widowControl w:val="0"/>
        <w:spacing w:after="0"/>
        <w:jc w:val="both"/>
        <w:rPr>
          <w:snapToGrid w:val="0"/>
          <w:lang w:val="es-PE"/>
        </w:rPr>
      </w:pPr>
    </w:p>
    <w:p w:rsidR="00DF745D" w:rsidRDefault="00DF745D" w:rsidP="00DF745D">
      <w:pPr>
        <w:widowControl w:val="0"/>
        <w:jc w:val="both"/>
      </w:pPr>
      <w:r>
        <w:t xml:space="preserve">De lo señalado anteriormente, </w:t>
      </w:r>
      <w:r w:rsidRPr="00482A0D">
        <w:t>se desprende que</w:t>
      </w:r>
      <w:r>
        <w:t>,</w:t>
      </w:r>
      <w:r w:rsidRPr="00482A0D">
        <w:t xml:space="preserve"> </w:t>
      </w:r>
      <w:r>
        <w:t xml:space="preserve">si bien </w:t>
      </w:r>
      <w:r w:rsidRPr="00482A0D">
        <w:t>constituye facultad de las Entidades determinar</w:t>
      </w:r>
      <w:r>
        <w:t>,</w:t>
      </w:r>
      <w:r w:rsidRPr="00482A0D">
        <w:t xml:space="preserve"> en atención a sus propias</w:t>
      </w:r>
      <w:r>
        <w:t xml:space="preserve"> necesidades</w:t>
      </w:r>
      <w:r w:rsidRPr="00482A0D">
        <w:t>, l</w:t>
      </w:r>
      <w:r>
        <w:t>o</w:t>
      </w:r>
      <w:r w:rsidRPr="00482A0D">
        <w:t xml:space="preserve">s </w:t>
      </w:r>
      <w:r>
        <w:t>requerimientos técnicos mínimos</w:t>
      </w:r>
      <w:r w:rsidRPr="00482A0D">
        <w:t xml:space="preserve"> </w:t>
      </w:r>
      <w:r>
        <w:t xml:space="preserve">de los servicios que se pretende contratar, </w:t>
      </w:r>
      <w:r w:rsidRPr="006370E8">
        <w:rPr>
          <w:u w:val="single"/>
        </w:rPr>
        <w:t>estos deben ser acordes con la legislación que regula el objeto materia de la convocatoria.</w:t>
      </w:r>
      <w:r w:rsidRPr="00074C35">
        <w:rPr>
          <w:highlight w:val="yellow"/>
        </w:rPr>
        <w:t xml:space="preserve"> </w:t>
      </w:r>
    </w:p>
    <w:p w:rsidR="00DF745D" w:rsidRDefault="00DF745D" w:rsidP="00DF745D">
      <w:pPr>
        <w:widowControl w:val="0"/>
        <w:jc w:val="both"/>
      </w:pPr>
    </w:p>
    <w:p w:rsidR="00477392" w:rsidRDefault="00140D80" w:rsidP="00477392">
      <w:pPr>
        <w:widowControl w:val="0"/>
        <w:jc w:val="both"/>
      </w:pPr>
      <w:r>
        <w:t>En relación con lo anterior</w:t>
      </w:r>
      <w:r w:rsidR="00DF745D">
        <w:t>,</w:t>
      </w:r>
      <w:r w:rsidR="00477392">
        <w:t xml:space="preserve"> corresponde señalar</w:t>
      </w:r>
      <w:r w:rsidR="008F0650">
        <w:t xml:space="preserve"> que</w:t>
      </w:r>
      <w:r w:rsidR="00477392">
        <w:t xml:space="preserve"> el Decreto Supremo N° 017-2009-MTC, Reglamento Nacional de Administración de Transporte, regula el </w:t>
      </w:r>
      <w:r w:rsidR="00477392" w:rsidRPr="00B31BFF">
        <w:rPr>
          <w:b/>
          <w:u w:val="single"/>
        </w:rPr>
        <w:t>servicio de transporte terrestre de personas y mercancías</w:t>
      </w:r>
      <w:r w:rsidR="00477392">
        <w:t xml:space="preserve">; no obstante, el objeto de la presente convocatoria constituye el </w:t>
      </w:r>
      <w:r w:rsidR="00477392" w:rsidRPr="00CF7BB7">
        <w:t>servicio de mensajería y encomiendas</w:t>
      </w:r>
      <w:r w:rsidR="00477392">
        <w:t>, por</w:t>
      </w:r>
      <w:r w:rsidR="00477392" w:rsidRPr="00CF7BB7">
        <w:t xml:space="preserve"> </w:t>
      </w:r>
      <w:r w:rsidR="00477392">
        <w:t xml:space="preserve">lo que determinaría que dicha norma no resulte aplicable al presente proceso, el cual </w:t>
      </w:r>
      <w:r w:rsidR="00477392" w:rsidRPr="00CF7BB7">
        <w:t xml:space="preserve">si bien </w:t>
      </w:r>
      <w:r w:rsidR="00477392">
        <w:t xml:space="preserve">implica </w:t>
      </w:r>
      <w:r w:rsidR="00477392" w:rsidRPr="00CF7BB7">
        <w:t>“transporta</w:t>
      </w:r>
      <w:r w:rsidR="00477392">
        <w:t>r</w:t>
      </w:r>
      <w:r w:rsidR="00477392" w:rsidRPr="00CF7BB7">
        <w:t xml:space="preserve">” </w:t>
      </w:r>
      <w:r w:rsidR="00477392">
        <w:t>a un destino, dicha actividad recae en “correspondencia” y no en “personas” o “mercancías”.</w:t>
      </w:r>
    </w:p>
    <w:p w:rsidR="00477392" w:rsidRDefault="00477392" w:rsidP="00477392">
      <w:pPr>
        <w:widowControl w:val="0"/>
        <w:jc w:val="both"/>
      </w:pPr>
      <w:r>
        <w:t xml:space="preserve"> </w:t>
      </w:r>
    </w:p>
    <w:p w:rsidR="00477392" w:rsidRDefault="00477392" w:rsidP="00477392">
      <w:pPr>
        <w:widowControl w:val="0"/>
        <w:jc w:val="both"/>
      </w:pPr>
      <w:r>
        <w:lastRenderedPageBreak/>
        <w:t xml:space="preserve">De otro lado, si bien el artículo 41° del Decreto Supremo N° 017-2009-MTC dispone que los conductores deben encontrase inscritos en un registro administrativo, debe tenerse en cuenta que dicha disposición se enmarca en la Sección Segunda del citado decreto supremo “Condiciones de acceso y permanencia en el transporte terrestre”, sección que tiene por función regular el acceso y permanencia en el </w:t>
      </w:r>
      <w:r w:rsidRPr="00792C32">
        <w:rPr>
          <w:b/>
          <w:u w:val="single"/>
        </w:rPr>
        <w:t>transporte terrestre de personas y mercancías</w:t>
      </w:r>
      <w:r>
        <w:t>.</w:t>
      </w:r>
    </w:p>
    <w:p w:rsidR="00477392" w:rsidRDefault="00477392" w:rsidP="00477392">
      <w:pPr>
        <w:widowControl w:val="0"/>
        <w:jc w:val="both"/>
      </w:pPr>
    </w:p>
    <w:p w:rsidR="00477392" w:rsidRDefault="00477392" w:rsidP="00477392">
      <w:pPr>
        <w:widowControl w:val="0"/>
        <w:jc w:val="both"/>
      </w:pPr>
      <w:r>
        <w:t>Por su parte, la Ordenanza Municipal N° 1227 de la Municipalidad Metropolitana de Lima reglamenta la circulación y prestación del servicio de carga en la provincia de Lima, por lo que no resulta aplicable al presente proceso de selección, conforme a lo expuesto anteriormente.</w:t>
      </w:r>
    </w:p>
    <w:p w:rsidR="003B69F1" w:rsidRDefault="003B69F1" w:rsidP="00477392">
      <w:pPr>
        <w:widowControl w:val="0"/>
        <w:jc w:val="both"/>
      </w:pPr>
    </w:p>
    <w:p w:rsidR="00AC2B26" w:rsidRDefault="006B3C36" w:rsidP="00477392">
      <w:pPr>
        <w:widowControl w:val="0"/>
        <w:jc w:val="both"/>
      </w:pPr>
      <w:r>
        <w:t>Por otro lado, c</w:t>
      </w:r>
      <w:r w:rsidR="00477392">
        <w:t>abe precisar que según</w:t>
      </w:r>
      <w:r>
        <w:t xml:space="preserve"> el </w:t>
      </w:r>
      <w:r w:rsidR="00477392">
        <w:t xml:space="preserve">artículo </w:t>
      </w:r>
      <w:r w:rsidR="00AC2B26">
        <w:t>3</w:t>
      </w:r>
      <w:r w:rsidR="00477392">
        <w:t xml:space="preserve">° del Decreto Supremo N° 032-93-TCC, Reglamento de Servicios y Concesiones Postales, </w:t>
      </w:r>
      <w:r w:rsidR="00AC2B26">
        <w:t>el Concesionario es la persona natural o jurídica, nacional o extranjera, facultada para prestar el servicio postal.</w:t>
      </w:r>
    </w:p>
    <w:p w:rsidR="00AC2B26" w:rsidRDefault="00AC2B26" w:rsidP="00477392">
      <w:pPr>
        <w:widowControl w:val="0"/>
        <w:jc w:val="both"/>
      </w:pPr>
    </w:p>
    <w:p w:rsidR="00AC2B26" w:rsidRDefault="00AC2B26" w:rsidP="00477392">
      <w:pPr>
        <w:widowControl w:val="0"/>
        <w:jc w:val="both"/>
      </w:pPr>
      <w:r>
        <w:t xml:space="preserve">Asimismo, en el artículo 5° del referido Decreto Supremo establece que la concesión del servicio postal es otorgada por el </w:t>
      </w:r>
      <w:r w:rsidR="008F0650">
        <w:t>Ministerio</w:t>
      </w:r>
      <w:r>
        <w:t xml:space="preserve">, a </w:t>
      </w:r>
      <w:r w:rsidR="008F0650">
        <w:t>solicitud</w:t>
      </w:r>
      <w:r>
        <w:t xml:space="preserve"> del interesado, sin necesidad de licitación pública. La concesión se otorga mediante </w:t>
      </w:r>
      <w:r w:rsidR="008F0650">
        <w:t>la</w:t>
      </w:r>
      <w:r>
        <w:t xml:space="preserve"> </w:t>
      </w:r>
      <w:r w:rsidR="008F0650">
        <w:t>suscripción</w:t>
      </w:r>
      <w:r>
        <w:t xml:space="preserve"> de un contrato, previo cumplimiento de los requisitos establecidos en el Decreto Supremo N° 032-93-TCC y normas complementarias.</w:t>
      </w:r>
    </w:p>
    <w:p w:rsidR="00AC2B26" w:rsidRDefault="00AC2B26" w:rsidP="00477392">
      <w:pPr>
        <w:widowControl w:val="0"/>
        <w:jc w:val="both"/>
      </w:pPr>
    </w:p>
    <w:p w:rsidR="00AC2B26" w:rsidRDefault="00AC2B26" w:rsidP="00477392">
      <w:pPr>
        <w:widowControl w:val="0"/>
        <w:jc w:val="both"/>
      </w:pPr>
      <w:r>
        <w:t>Adicionalmente en el artículo 7 del Decreto Supremo N° 032-93-TCC, establece que son requisitos para la obtención de la concesión postal</w:t>
      </w:r>
      <w:r w:rsidR="002F224C">
        <w:t>,</w:t>
      </w:r>
      <w:r>
        <w:t xml:space="preserve"> lo siguiente:</w:t>
      </w:r>
    </w:p>
    <w:p w:rsidR="00AC2B26" w:rsidRDefault="00AC2B26" w:rsidP="00477392">
      <w:pPr>
        <w:widowControl w:val="0"/>
        <w:jc w:val="both"/>
      </w:pPr>
    </w:p>
    <w:p w:rsidR="008F0650" w:rsidRPr="008F0650" w:rsidRDefault="008F0650" w:rsidP="008F0650">
      <w:pPr>
        <w:widowControl w:val="0"/>
        <w:jc w:val="both"/>
        <w:rPr>
          <w:i/>
        </w:rPr>
      </w:pPr>
      <w:r w:rsidRPr="008F0650">
        <w:rPr>
          <w:i/>
        </w:rPr>
        <w:t>"(...)</w:t>
      </w:r>
    </w:p>
    <w:p w:rsidR="00AC2B26" w:rsidRPr="008F0650" w:rsidRDefault="00AC2B26" w:rsidP="008F0650">
      <w:pPr>
        <w:widowControl w:val="0"/>
        <w:jc w:val="both"/>
        <w:rPr>
          <w:i/>
        </w:rPr>
      </w:pPr>
      <w:r w:rsidRPr="008F0650">
        <w:rPr>
          <w:i/>
        </w:rPr>
        <w:t xml:space="preserve">a) Solicitud dirigida al Ministerio, la que debe contener la </w:t>
      </w:r>
      <w:r w:rsidR="008F0650" w:rsidRPr="008F0650">
        <w:rPr>
          <w:i/>
        </w:rPr>
        <w:t>siguiente</w:t>
      </w:r>
      <w:r w:rsidRPr="008F0650">
        <w:rPr>
          <w:i/>
        </w:rPr>
        <w:t xml:space="preserve"> información:</w:t>
      </w:r>
    </w:p>
    <w:p w:rsidR="00AC2B26" w:rsidRPr="008F0650" w:rsidRDefault="002F224C" w:rsidP="008F0650">
      <w:pPr>
        <w:widowControl w:val="0"/>
        <w:jc w:val="both"/>
        <w:rPr>
          <w:i/>
        </w:rPr>
      </w:pPr>
      <w:r>
        <w:rPr>
          <w:i/>
        </w:rPr>
        <w:t>-</w:t>
      </w:r>
      <w:r w:rsidR="00AC2B26" w:rsidRPr="008F0650">
        <w:rPr>
          <w:i/>
        </w:rPr>
        <w:t xml:space="preserve">Nombre o </w:t>
      </w:r>
      <w:r w:rsidR="008F0650" w:rsidRPr="008F0650">
        <w:rPr>
          <w:i/>
        </w:rPr>
        <w:t>razón</w:t>
      </w:r>
      <w:r w:rsidR="00AC2B26" w:rsidRPr="008F0650">
        <w:rPr>
          <w:i/>
        </w:rPr>
        <w:t xml:space="preserve"> social</w:t>
      </w:r>
    </w:p>
    <w:p w:rsidR="00AC2B26" w:rsidRPr="008F0650" w:rsidRDefault="002F224C" w:rsidP="008F0650">
      <w:pPr>
        <w:widowControl w:val="0"/>
        <w:jc w:val="both"/>
        <w:rPr>
          <w:i/>
        </w:rPr>
      </w:pPr>
      <w:r>
        <w:rPr>
          <w:i/>
        </w:rPr>
        <w:t>-D</w:t>
      </w:r>
      <w:r w:rsidR="00AC2B26" w:rsidRPr="008F0650">
        <w:rPr>
          <w:i/>
        </w:rPr>
        <w:t xml:space="preserve">ocumentos de </w:t>
      </w:r>
      <w:r w:rsidR="008F0650" w:rsidRPr="008F0650">
        <w:rPr>
          <w:i/>
        </w:rPr>
        <w:t>identidad</w:t>
      </w:r>
      <w:r w:rsidR="00AC2B26" w:rsidRPr="008F0650">
        <w:rPr>
          <w:i/>
        </w:rPr>
        <w:t xml:space="preserve"> del solicitante o representante legal, según </w:t>
      </w:r>
      <w:r w:rsidR="008F0650" w:rsidRPr="008F0650">
        <w:rPr>
          <w:i/>
        </w:rPr>
        <w:t>el</w:t>
      </w:r>
      <w:r w:rsidR="00AC2B26" w:rsidRPr="008F0650">
        <w:rPr>
          <w:i/>
        </w:rPr>
        <w:t xml:space="preserve"> caso.</w:t>
      </w:r>
    </w:p>
    <w:p w:rsidR="00AC2B26" w:rsidRPr="008F0650" w:rsidRDefault="002F224C" w:rsidP="008F0650">
      <w:pPr>
        <w:widowControl w:val="0"/>
        <w:jc w:val="both"/>
        <w:rPr>
          <w:i/>
        </w:rPr>
      </w:pPr>
      <w:r>
        <w:rPr>
          <w:i/>
        </w:rPr>
        <w:t>-D</w:t>
      </w:r>
      <w:r w:rsidR="008F0650" w:rsidRPr="008F0650">
        <w:rPr>
          <w:i/>
        </w:rPr>
        <w:t>omicilio legal y ubicación</w:t>
      </w:r>
      <w:r w:rsidR="00AC2B26" w:rsidRPr="008F0650">
        <w:rPr>
          <w:i/>
        </w:rPr>
        <w:t xml:space="preserve"> del solicitante.</w:t>
      </w:r>
    </w:p>
    <w:p w:rsidR="00AC2B26" w:rsidRPr="008F0650" w:rsidRDefault="002F224C" w:rsidP="008F0650">
      <w:pPr>
        <w:widowControl w:val="0"/>
        <w:jc w:val="both"/>
        <w:rPr>
          <w:i/>
        </w:rPr>
      </w:pPr>
      <w:r>
        <w:rPr>
          <w:i/>
        </w:rPr>
        <w:t>-</w:t>
      </w:r>
      <w:r w:rsidR="008F0650" w:rsidRPr="008F0650">
        <w:rPr>
          <w:i/>
        </w:rPr>
        <w:t>Número</w:t>
      </w:r>
      <w:r w:rsidR="00AC2B26" w:rsidRPr="008F0650">
        <w:rPr>
          <w:i/>
        </w:rPr>
        <w:t xml:space="preserve"> del Registro </w:t>
      </w:r>
      <w:r w:rsidR="008F0650" w:rsidRPr="008F0650">
        <w:rPr>
          <w:i/>
        </w:rPr>
        <w:t>Unificado</w:t>
      </w:r>
      <w:r w:rsidR="00AC2B26" w:rsidRPr="008F0650">
        <w:rPr>
          <w:i/>
        </w:rPr>
        <w:t>.</w:t>
      </w:r>
    </w:p>
    <w:p w:rsidR="00AC2B26" w:rsidRPr="008F0650" w:rsidRDefault="002F224C" w:rsidP="008F0650">
      <w:pPr>
        <w:widowControl w:val="0"/>
        <w:jc w:val="both"/>
        <w:rPr>
          <w:i/>
        </w:rPr>
      </w:pPr>
      <w:r>
        <w:rPr>
          <w:i/>
        </w:rPr>
        <w:t>-</w:t>
      </w:r>
      <w:r w:rsidR="008F0650" w:rsidRPr="008F0650">
        <w:rPr>
          <w:i/>
        </w:rPr>
        <w:t>Ambiente</w:t>
      </w:r>
      <w:r w:rsidR="00AC2B26" w:rsidRPr="008F0650">
        <w:rPr>
          <w:i/>
        </w:rPr>
        <w:t xml:space="preserve"> de operación local, regional, nacional y/o </w:t>
      </w:r>
      <w:r w:rsidR="008F0650" w:rsidRPr="008F0650">
        <w:rPr>
          <w:i/>
        </w:rPr>
        <w:t>internacional</w:t>
      </w:r>
      <w:r w:rsidR="00AC2B26" w:rsidRPr="008F0650">
        <w:rPr>
          <w:i/>
        </w:rPr>
        <w:t>.</w:t>
      </w:r>
    </w:p>
    <w:p w:rsidR="00AC2B26" w:rsidRPr="008F0650" w:rsidRDefault="002F224C" w:rsidP="008F0650">
      <w:pPr>
        <w:widowControl w:val="0"/>
        <w:jc w:val="both"/>
        <w:rPr>
          <w:i/>
        </w:rPr>
      </w:pPr>
      <w:r>
        <w:rPr>
          <w:i/>
        </w:rPr>
        <w:t>-</w:t>
      </w:r>
      <w:r w:rsidR="00AC2B26" w:rsidRPr="008F0650">
        <w:rPr>
          <w:i/>
        </w:rPr>
        <w:t xml:space="preserve">Declaración jurada de conocer y </w:t>
      </w:r>
      <w:r w:rsidR="008F0650" w:rsidRPr="008F0650">
        <w:rPr>
          <w:i/>
        </w:rPr>
        <w:t>cumplir</w:t>
      </w:r>
      <w:r w:rsidR="00AC2B26" w:rsidRPr="008F0650">
        <w:rPr>
          <w:i/>
        </w:rPr>
        <w:t xml:space="preserve"> las normas del presente Reglamento.</w:t>
      </w:r>
    </w:p>
    <w:p w:rsidR="00AC2B26" w:rsidRPr="008F0650" w:rsidRDefault="002F224C" w:rsidP="008F0650">
      <w:pPr>
        <w:widowControl w:val="0"/>
        <w:jc w:val="both"/>
        <w:rPr>
          <w:i/>
        </w:rPr>
      </w:pPr>
      <w:r>
        <w:rPr>
          <w:i/>
        </w:rPr>
        <w:t>-</w:t>
      </w:r>
      <w:r w:rsidR="00AC2B26" w:rsidRPr="008F0650">
        <w:rPr>
          <w:i/>
        </w:rPr>
        <w:t xml:space="preserve">Breve descripción del servicio postal a prestar y de la </w:t>
      </w:r>
      <w:r w:rsidR="008F0650" w:rsidRPr="008F0650">
        <w:rPr>
          <w:i/>
        </w:rPr>
        <w:t>infraestructura</w:t>
      </w:r>
      <w:r w:rsidR="00AC2B26" w:rsidRPr="008F0650">
        <w:rPr>
          <w:i/>
        </w:rPr>
        <w:t xml:space="preserve"> y equipo con que cuenta.</w:t>
      </w:r>
    </w:p>
    <w:p w:rsidR="00AC2B26" w:rsidRPr="008F0650" w:rsidRDefault="00AC2B26" w:rsidP="008F0650">
      <w:pPr>
        <w:widowControl w:val="0"/>
        <w:jc w:val="both"/>
        <w:rPr>
          <w:i/>
        </w:rPr>
      </w:pPr>
      <w:r w:rsidRPr="008F0650">
        <w:rPr>
          <w:i/>
        </w:rPr>
        <w:t>(...)</w:t>
      </w:r>
    </w:p>
    <w:p w:rsidR="008F0650" w:rsidRPr="008F0650" w:rsidRDefault="00AC2B26" w:rsidP="008F0650">
      <w:pPr>
        <w:widowControl w:val="0"/>
        <w:jc w:val="both"/>
        <w:rPr>
          <w:i/>
        </w:rPr>
      </w:pPr>
      <w:r w:rsidRPr="008F0650">
        <w:rPr>
          <w:i/>
        </w:rPr>
        <w:t xml:space="preserve">b) </w:t>
      </w:r>
      <w:r w:rsidR="008F0650" w:rsidRPr="008F0650">
        <w:rPr>
          <w:i/>
        </w:rPr>
        <w:t>La solicitud estará acompañada de los siguiente documentos.</w:t>
      </w:r>
    </w:p>
    <w:p w:rsidR="008F0650" w:rsidRPr="008F0650" w:rsidRDefault="008F0650" w:rsidP="008F0650">
      <w:pPr>
        <w:widowControl w:val="0"/>
        <w:jc w:val="both"/>
        <w:rPr>
          <w:i/>
        </w:rPr>
      </w:pPr>
      <w:r w:rsidRPr="008F0650">
        <w:rPr>
          <w:i/>
        </w:rPr>
        <w:t>(...)</w:t>
      </w:r>
    </w:p>
    <w:p w:rsidR="008F0650" w:rsidRPr="008F0650" w:rsidRDefault="008F0650" w:rsidP="008F0650">
      <w:pPr>
        <w:widowControl w:val="0"/>
        <w:jc w:val="both"/>
        <w:rPr>
          <w:i/>
        </w:rPr>
      </w:pPr>
      <w:r w:rsidRPr="008F0650">
        <w:rPr>
          <w:i/>
        </w:rPr>
        <w:t>-T</w:t>
      </w:r>
      <w:r w:rsidR="00477392" w:rsidRPr="008F0650">
        <w:rPr>
          <w:i/>
        </w:rPr>
        <w:t>ratándose de empresas de transportes de personas y mercancías</w:t>
      </w:r>
      <w:r w:rsidRPr="008F0650">
        <w:rPr>
          <w:i/>
        </w:rPr>
        <w:t>:</w:t>
      </w:r>
      <w:r w:rsidR="00477392" w:rsidRPr="008F0650">
        <w:rPr>
          <w:i/>
        </w:rPr>
        <w:t xml:space="preserve"> </w:t>
      </w:r>
      <w:r w:rsidRPr="008F0650">
        <w:rPr>
          <w:i/>
        </w:rPr>
        <w:t xml:space="preserve">Adicionalmente deberán contar </w:t>
      </w:r>
      <w:r w:rsidR="00477392" w:rsidRPr="008F0650">
        <w:rPr>
          <w:i/>
        </w:rPr>
        <w:t>con la autorización para la prestación del servicio de transporte terrestre otorgada por la autoridad competente</w:t>
      </w:r>
      <w:r w:rsidRPr="008F0650">
        <w:rPr>
          <w:i/>
        </w:rPr>
        <w:t>, según corresponda."</w:t>
      </w:r>
    </w:p>
    <w:p w:rsidR="008F0650" w:rsidRDefault="008F0650" w:rsidP="00477392">
      <w:pPr>
        <w:widowControl w:val="0"/>
        <w:jc w:val="both"/>
      </w:pPr>
    </w:p>
    <w:p w:rsidR="00477392" w:rsidRDefault="008F0650" w:rsidP="00477392">
      <w:pPr>
        <w:widowControl w:val="0"/>
        <w:jc w:val="both"/>
      </w:pPr>
      <w:r>
        <w:t xml:space="preserve">De lo expuesto, se colige que para obtener la concesión de servicio postal, se debe cumplir con determinados requisitos establecidos en el Decreto Supremo N° 032-93-TCC, siendo que en el caso que se trate de </w:t>
      </w:r>
      <w:r w:rsidRPr="008F0650">
        <w:t xml:space="preserve">empresas de transportes de personas y </w:t>
      </w:r>
      <w:r w:rsidRPr="008F0650">
        <w:lastRenderedPageBreak/>
        <w:t xml:space="preserve">mercancías </w:t>
      </w:r>
      <w:r>
        <w:t>que deseen realizar el servicio de postales,</w:t>
      </w:r>
      <w:r w:rsidR="00140D80">
        <w:t xml:space="preserve"> </w:t>
      </w:r>
      <w:r w:rsidR="00140D80" w:rsidRPr="00140D80">
        <w:t>deben contar con la autorización para la prestación del servicio de transporte terrestre otorgada por la autoridad competente</w:t>
      </w:r>
      <w:r w:rsidR="00140D80">
        <w:t>; lo cual de desprendería</w:t>
      </w:r>
      <w:r w:rsidRPr="00140D80">
        <w:t xml:space="preserve"> </w:t>
      </w:r>
      <w:r w:rsidR="00477392">
        <w:t xml:space="preserve">que </w:t>
      </w:r>
      <w:r w:rsidR="00140D80">
        <w:t>el servicio de</w:t>
      </w:r>
      <w:r w:rsidR="00477392">
        <w:t xml:space="preserve"> transporte de personas y mercancías </w:t>
      </w:r>
      <w:r w:rsidR="00140D80">
        <w:t>sería</w:t>
      </w:r>
      <w:r w:rsidR="00477392">
        <w:t xml:space="preserve"> diferente al servicio postal, </w:t>
      </w:r>
      <w:r w:rsidR="00140D80">
        <w:t xml:space="preserve">siendo </w:t>
      </w:r>
      <w:r w:rsidR="00477392">
        <w:t>que una empresa dedicada al servicio postal no necesariamente debe contar con las autorizaciones para transporte de mercancía y personas</w:t>
      </w:r>
      <w:r w:rsidR="00140D80">
        <w:t>.</w:t>
      </w:r>
    </w:p>
    <w:p w:rsidR="00DE779C" w:rsidRDefault="00DE779C" w:rsidP="00005904">
      <w:pPr>
        <w:pStyle w:val="Textoindependiente2"/>
        <w:widowControl w:val="0"/>
        <w:spacing w:after="0" w:line="240" w:lineRule="auto"/>
        <w:ind w:left="5670" w:hanging="5670"/>
        <w:jc w:val="both"/>
        <w:rPr>
          <w:b/>
        </w:rPr>
      </w:pPr>
    </w:p>
    <w:p w:rsidR="003B69F1" w:rsidRDefault="003B69F1" w:rsidP="003B69F1">
      <w:pPr>
        <w:jc w:val="both"/>
      </w:pPr>
      <w:r w:rsidRPr="00C520FA">
        <w:t>En ese sentido, siendo que la Entidad convocante resulta responsable de la determinación de los requerimientos técnicos mínimos</w:t>
      </w:r>
      <w:r w:rsidR="00FF3705">
        <w:t xml:space="preserve"> así como la determinación de la documentación obligatoria</w:t>
      </w:r>
      <w:r w:rsidRPr="00C520FA">
        <w:t xml:space="preserve">, en la medida que posee la información y conocimiento de las necesidades que pretende satisfacer con la realización del proceso de selección, y en tanto </w:t>
      </w:r>
      <w:r w:rsidR="00FF3705">
        <w:t>que la pretensión del participante no es aplicable al presente proceso de selección</w:t>
      </w:r>
      <w:r>
        <w:t xml:space="preserve">, </w:t>
      </w:r>
      <w:r w:rsidRPr="00C520FA">
        <w:t xml:space="preserve">este Organismo Supervisor ha decidido </w:t>
      </w:r>
      <w:r w:rsidRPr="00C520FA">
        <w:rPr>
          <w:b/>
        </w:rPr>
        <w:t>NO ACOGER</w:t>
      </w:r>
      <w:r w:rsidRPr="00C520FA">
        <w:t xml:space="preserve"> </w:t>
      </w:r>
      <w:r>
        <w:t>la</w:t>
      </w:r>
      <w:r w:rsidR="00FF3705">
        <w:t>s Observaciones N° 1 y N° 3.</w:t>
      </w:r>
    </w:p>
    <w:p w:rsidR="007E1CF8" w:rsidRDefault="007E1CF8" w:rsidP="007E1CF8">
      <w:pPr>
        <w:widowControl w:val="0"/>
        <w:tabs>
          <w:tab w:val="left" w:pos="0"/>
        </w:tabs>
        <w:jc w:val="both"/>
      </w:pPr>
    </w:p>
    <w:p w:rsidR="008E5BD1" w:rsidRPr="00362812" w:rsidRDefault="008E5BD1" w:rsidP="00005904">
      <w:pPr>
        <w:pStyle w:val="Textoindependiente2"/>
        <w:widowControl w:val="0"/>
        <w:spacing w:after="0" w:line="240" w:lineRule="auto"/>
        <w:ind w:left="5670" w:hanging="5670"/>
        <w:jc w:val="both"/>
        <w:rPr>
          <w:b/>
          <w:lang w:val="es-PE"/>
        </w:rPr>
      </w:pPr>
      <w:r w:rsidRPr="00362812">
        <w:rPr>
          <w:b/>
          <w:lang w:val="es-PE"/>
        </w:rPr>
        <w:t>Observacion</w:t>
      </w:r>
      <w:r>
        <w:rPr>
          <w:b/>
          <w:lang w:val="es-PE"/>
        </w:rPr>
        <w:t>es N° 2</w:t>
      </w:r>
      <w:r w:rsidR="00005904">
        <w:rPr>
          <w:b/>
          <w:lang w:val="es-PE"/>
        </w:rPr>
        <w:t xml:space="preserve">                                      </w:t>
      </w:r>
      <w:r>
        <w:rPr>
          <w:b/>
          <w:lang w:val="es-PE"/>
        </w:rPr>
        <w:t xml:space="preserve">Sobre </w:t>
      </w:r>
      <w:r w:rsidR="00005904">
        <w:rPr>
          <w:b/>
          <w:lang w:val="es-PE"/>
        </w:rPr>
        <w:t>el factor de evaluación "Experiencia del Postor"</w:t>
      </w:r>
    </w:p>
    <w:p w:rsidR="00463B73" w:rsidRDefault="00463B73" w:rsidP="00C77276">
      <w:pPr>
        <w:pStyle w:val="Textoindependiente2"/>
        <w:widowControl w:val="0"/>
        <w:spacing w:after="0" w:line="240" w:lineRule="auto"/>
        <w:ind w:left="4820" w:hanging="4820"/>
        <w:jc w:val="both"/>
        <w:rPr>
          <w:b/>
          <w:lang w:val="es-PE"/>
        </w:rPr>
      </w:pPr>
    </w:p>
    <w:p w:rsidR="00005904" w:rsidRDefault="00005904" w:rsidP="00005904">
      <w:pPr>
        <w:pStyle w:val="Textoindependiente2"/>
        <w:widowControl w:val="0"/>
        <w:spacing w:after="0" w:line="240" w:lineRule="auto"/>
        <w:jc w:val="both"/>
        <w:rPr>
          <w:lang w:val="es-PE"/>
        </w:rPr>
      </w:pPr>
      <w:r w:rsidRPr="00005904">
        <w:rPr>
          <w:lang w:val="es-PE"/>
        </w:rPr>
        <w:t>El participante manifiesta que</w:t>
      </w:r>
      <w:r>
        <w:rPr>
          <w:lang w:val="es-PE"/>
        </w:rPr>
        <w:t>,</w:t>
      </w:r>
      <w:r w:rsidRPr="00005904">
        <w:rPr>
          <w:lang w:val="es-PE"/>
        </w:rPr>
        <w:t xml:space="preserve"> considerando que varias secciones de las Bases señalan en muchos puntos términos de servicio de encomienda o paquetería relacionado al transporte de documentos administrativos</w:t>
      </w:r>
      <w:r>
        <w:rPr>
          <w:lang w:val="es-PE"/>
        </w:rPr>
        <w:t xml:space="preserve"> y que la Legislación Postal</w:t>
      </w:r>
      <w:r w:rsidR="006B191F">
        <w:rPr>
          <w:lang w:val="es-PE"/>
        </w:rPr>
        <w:t xml:space="preserve"> emitido por el Decreto Supremo N° 032-93-MTC, Decreto Supremo N° 013-2006-MTC y la Ley 27987</w:t>
      </w:r>
      <w:r>
        <w:rPr>
          <w:lang w:val="es-PE"/>
        </w:rPr>
        <w:t>, normativa que regula el proceso del objeto de la convocatoria, no establece discriminación de experiencia por tipo de prestación de servicio de mensajería, el cual comprende los sub servicios de:1) Recojo de la correspondencias de la Oficina del Remitente (cliente), 2) Transporte de la Correspondencia en Despacho u Valijas y 3) Entrega de la Correspondencia al destinatario"</w:t>
      </w:r>
      <w:r w:rsidR="006B191F">
        <w:rPr>
          <w:lang w:val="es-PE"/>
        </w:rPr>
        <w:t xml:space="preserve">, </w:t>
      </w:r>
      <w:r w:rsidR="00480DEE">
        <w:rPr>
          <w:lang w:val="es-PE"/>
        </w:rPr>
        <w:t xml:space="preserve">y que son </w:t>
      </w:r>
      <w:r w:rsidR="003B69F1">
        <w:rPr>
          <w:lang w:val="es-PE"/>
        </w:rPr>
        <w:t>envíos</w:t>
      </w:r>
      <w:r w:rsidR="00480DEE">
        <w:rPr>
          <w:lang w:val="es-PE"/>
        </w:rPr>
        <w:t xml:space="preserve"> postales hasta un peso máximo reconocido de 50 kilogramos.</w:t>
      </w:r>
    </w:p>
    <w:p w:rsidR="006B191F" w:rsidRDefault="006B191F" w:rsidP="00005904">
      <w:pPr>
        <w:pStyle w:val="Textoindependiente2"/>
        <w:widowControl w:val="0"/>
        <w:spacing w:after="0" w:line="240" w:lineRule="auto"/>
        <w:jc w:val="both"/>
        <w:rPr>
          <w:lang w:val="es-PE"/>
        </w:rPr>
      </w:pPr>
    </w:p>
    <w:p w:rsidR="006B191F" w:rsidRDefault="006B191F" w:rsidP="00005904">
      <w:pPr>
        <w:pStyle w:val="Textoindependiente2"/>
        <w:widowControl w:val="0"/>
        <w:spacing w:after="0" w:line="240" w:lineRule="auto"/>
        <w:jc w:val="both"/>
        <w:rPr>
          <w:lang w:val="es-PE"/>
        </w:rPr>
      </w:pPr>
      <w:r>
        <w:rPr>
          <w:lang w:val="es-PE"/>
        </w:rPr>
        <w:t xml:space="preserve">En relación con lo anterior, agrega que de acuerdo al </w:t>
      </w:r>
      <w:r w:rsidR="00480DEE">
        <w:rPr>
          <w:lang w:val="es-PE"/>
        </w:rPr>
        <w:t>artículo 3 del Decreto Supremo N° 032-93-TCC, Reglamento de Servicios y Concesiones Postales, establecería que la encomienda postal implica el envío de cualquier objeto producto o materia, con o sin valor comercial, cuyo peso unitario se encuentre entre 02 y 50 kg.</w:t>
      </w:r>
    </w:p>
    <w:p w:rsidR="00480DEE" w:rsidRDefault="00480DEE" w:rsidP="00005904">
      <w:pPr>
        <w:pStyle w:val="Textoindependiente2"/>
        <w:widowControl w:val="0"/>
        <w:spacing w:after="0" w:line="240" w:lineRule="auto"/>
        <w:jc w:val="both"/>
        <w:rPr>
          <w:lang w:val="es-PE"/>
        </w:rPr>
      </w:pPr>
    </w:p>
    <w:p w:rsidR="00480DEE" w:rsidRDefault="00480DEE" w:rsidP="00005904">
      <w:pPr>
        <w:pStyle w:val="Textoindependiente2"/>
        <w:widowControl w:val="0"/>
        <w:spacing w:after="0" w:line="240" w:lineRule="auto"/>
        <w:jc w:val="both"/>
        <w:rPr>
          <w:lang w:val="es-PE"/>
        </w:rPr>
      </w:pPr>
      <w:r>
        <w:rPr>
          <w:lang w:val="es-PE"/>
        </w:rPr>
        <w:t>En ese sentido, solicita considerar servicios de envíos de paquetería que tengan un peso de hasta 30 kilogramos como envíos postales y por lo tanto la prestación del servicio de paquetería o carga sean reconocidos y comprendidos en el factor de evaluación "Experiencia del postor".</w:t>
      </w:r>
    </w:p>
    <w:p w:rsidR="004A7A40" w:rsidRDefault="004A7A40" w:rsidP="00005904">
      <w:pPr>
        <w:pStyle w:val="Textoindependiente2"/>
        <w:widowControl w:val="0"/>
        <w:spacing w:after="0" w:line="240" w:lineRule="auto"/>
        <w:jc w:val="both"/>
        <w:rPr>
          <w:b/>
          <w:lang w:val="es-PE"/>
        </w:rPr>
      </w:pPr>
    </w:p>
    <w:p w:rsidR="003B69F1" w:rsidRPr="003B69F1" w:rsidRDefault="003B69F1" w:rsidP="00005904">
      <w:pPr>
        <w:pStyle w:val="Textoindependiente2"/>
        <w:widowControl w:val="0"/>
        <w:spacing w:after="0" w:line="240" w:lineRule="auto"/>
        <w:jc w:val="both"/>
        <w:rPr>
          <w:b/>
          <w:lang w:val="es-PE"/>
        </w:rPr>
      </w:pPr>
      <w:r w:rsidRPr="003B69F1">
        <w:rPr>
          <w:b/>
          <w:lang w:val="es-PE"/>
        </w:rPr>
        <w:t>Pronunciamiento</w:t>
      </w:r>
    </w:p>
    <w:p w:rsidR="00463B73" w:rsidRDefault="00463B73" w:rsidP="00C77276">
      <w:pPr>
        <w:pStyle w:val="Textoindependiente2"/>
        <w:widowControl w:val="0"/>
        <w:spacing w:after="0" w:line="240" w:lineRule="auto"/>
        <w:ind w:left="4820" w:hanging="4820"/>
        <w:jc w:val="both"/>
        <w:rPr>
          <w:b/>
          <w:lang w:val="es-PE"/>
        </w:rPr>
      </w:pPr>
    </w:p>
    <w:p w:rsidR="003B69F1" w:rsidRDefault="003B69F1" w:rsidP="003B69F1">
      <w:pPr>
        <w:pStyle w:val="Textoindependiente2"/>
        <w:widowControl w:val="0"/>
        <w:spacing w:after="0" w:line="240" w:lineRule="auto"/>
        <w:jc w:val="both"/>
        <w:rPr>
          <w:lang w:val="es-PE"/>
        </w:rPr>
      </w:pPr>
      <w:r w:rsidRPr="003B69F1">
        <w:rPr>
          <w:lang w:val="es-PE"/>
        </w:rPr>
        <w:t>De la revisi</w:t>
      </w:r>
      <w:r>
        <w:rPr>
          <w:lang w:val="es-PE"/>
        </w:rPr>
        <w:t>ón del Capítulo III de la Sección Específica de las Bases, se advierte que el factor de evaluación "Experiencia del postor", se sido determinado de la siguiente manera:</w:t>
      </w:r>
    </w:p>
    <w:p w:rsidR="00140D80" w:rsidRDefault="00140D80" w:rsidP="003B69F1">
      <w:pPr>
        <w:pStyle w:val="Textoindependiente2"/>
        <w:widowControl w:val="0"/>
        <w:spacing w:after="0" w:line="240" w:lineRule="auto"/>
        <w:jc w:val="both"/>
        <w:rPr>
          <w:lang w:val="es-PE"/>
        </w:rPr>
      </w:pPr>
    </w:p>
    <w:p w:rsidR="003B69F1" w:rsidRDefault="003B69F1" w:rsidP="003B69F1">
      <w:pPr>
        <w:pStyle w:val="Textoindependiente2"/>
        <w:widowControl w:val="0"/>
        <w:spacing w:after="0" w:line="240" w:lineRule="auto"/>
        <w:jc w:val="both"/>
        <w:rPr>
          <w:lang w:val="es-PE"/>
        </w:rPr>
      </w:pPr>
    </w:p>
    <w:tbl>
      <w:tblPr>
        <w:tblW w:w="836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25"/>
        <w:gridCol w:w="4680"/>
        <w:gridCol w:w="3258"/>
      </w:tblGrid>
      <w:tr w:rsidR="00FF3705" w:rsidRPr="00FF3705" w:rsidTr="00CB4005">
        <w:trPr>
          <w:trHeight w:val="336"/>
        </w:trPr>
        <w:tc>
          <w:tcPr>
            <w:tcW w:w="425" w:type="dxa"/>
            <w:tcBorders>
              <w:bottom w:val="nil"/>
              <w:right w:val="nil"/>
            </w:tcBorders>
            <w:vAlign w:val="center"/>
          </w:tcPr>
          <w:p w:rsidR="00FF3705" w:rsidRPr="00FF3705" w:rsidRDefault="00FF3705" w:rsidP="00FF3705">
            <w:pPr>
              <w:widowControl w:val="0"/>
              <w:jc w:val="center"/>
              <w:rPr>
                <w:b/>
                <w:i/>
                <w:lang w:eastAsia="es-ES"/>
              </w:rPr>
            </w:pPr>
          </w:p>
          <w:p w:rsidR="00FF3705" w:rsidRPr="00FF3705" w:rsidRDefault="00FF3705" w:rsidP="00FF3705">
            <w:pPr>
              <w:widowControl w:val="0"/>
              <w:jc w:val="center"/>
              <w:rPr>
                <w:b/>
                <w:i/>
                <w:lang w:eastAsia="es-ES"/>
              </w:rPr>
            </w:pPr>
            <w:r w:rsidRPr="00FF3705">
              <w:rPr>
                <w:b/>
                <w:i/>
                <w:lang w:eastAsia="es-ES"/>
              </w:rPr>
              <w:t>A.</w:t>
            </w:r>
          </w:p>
        </w:tc>
        <w:tc>
          <w:tcPr>
            <w:tcW w:w="4680" w:type="dxa"/>
            <w:tcBorders>
              <w:left w:val="nil"/>
              <w:bottom w:val="nil"/>
            </w:tcBorders>
            <w:vAlign w:val="center"/>
            <w:hideMark/>
          </w:tcPr>
          <w:p w:rsidR="00FF3705" w:rsidRPr="00FF3705" w:rsidRDefault="00FF3705" w:rsidP="00FF3705">
            <w:pPr>
              <w:widowControl w:val="0"/>
              <w:rPr>
                <w:b/>
                <w:i/>
                <w:lang w:eastAsia="es-ES"/>
              </w:rPr>
            </w:pPr>
          </w:p>
          <w:p w:rsidR="00FF3705" w:rsidRPr="00FF3705" w:rsidRDefault="00FF3705" w:rsidP="00FF3705">
            <w:pPr>
              <w:widowControl w:val="0"/>
              <w:rPr>
                <w:b/>
                <w:i/>
                <w:lang w:eastAsia="es-ES"/>
              </w:rPr>
            </w:pPr>
            <w:r w:rsidRPr="00FF3705">
              <w:rPr>
                <w:b/>
                <w:i/>
                <w:lang w:eastAsia="es-ES"/>
              </w:rPr>
              <w:t>EXPERIENCIA EN LA ACTIVIDAD</w:t>
            </w:r>
          </w:p>
        </w:tc>
        <w:tc>
          <w:tcPr>
            <w:tcW w:w="3258" w:type="dxa"/>
            <w:vMerge w:val="restart"/>
            <w:tcBorders>
              <w:bottom w:val="nil"/>
            </w:tcBorders>
            <w:hideMark/>
          </w:tcPr>
          <w:p w:rsidR="00FF3705" w:rsidRPr="00FF3705" w:rsidRDefault="00FF3705" w:rsidP="00FF3705">
            <w:pPr>
              <w:widowControl w:val="0"/>
              <w:rPr>
                <w:i/>
                <w:lang w:eastAsia="es-ES"/>
              </w:rPr>
            </w:pPr>
          </w:p>
          <w:p w:rsidR="00FF3705" w:rsidRPr="00FF3705" w:rsidRDefault="00FF3705" w:rsidP="00FF3705">
            <w:pPr>
              <w:widowControl w:val="0"/>
              <w:rPr>
                <w:b/>
                <w:i/>
                <w:lang w:eastAsia="es-ES"/>
              </w:rPr>
            </w:pPr>
          </w:p>
          <w:p w:rsidR="00FF3705" w:rsidRPr="00FF3705" w:rsidRDefault="00FF3705" w:rsidP="00FF3705">
            <w:pPr>
              <w:widowControl w:val="0"/>
              <w:rPr>
                <w:i/>
                <w:lang w:eastAsia="es-ES"/>
              </w:rPr>
            </w:pPr>
            <w:r w:rsidRPr="00FF3705">
              <w:rPr>
                <w:b/>
                <w:i/>
                <w:lang w:eastAsia="es-ES"/>
              </w:rPr>
              <w:t>M =</w:t>
            </w:r>
            <w:r w:rsidRPr="00FF3705">
              <w:rPr>
                <w:i/>
                <w:lang w:eastAsia="es-ES"/>
              </w:rPr>
              <w:t xml:space="preserve"> Monto facturado acumulado </w:t>
            </w:r>
          </w:p>
          <w:p w:rsidR="00FF3705" w:rsidRPr="00FF3705" w:rsidRDefault="00FF3705" w:rsidP="00FF3705">
            <w:pPr>
              <w:widowControl w:val="0"/>
              <w:rPr>
                <w:i/>
                <w:lang w:eastAsia="es-ES"/>
              </w:rPr>
            </w:pPr>
            <w:r w:rsidRPr="00FF3705">
              <w:rPr>
                <w:i/>
                <w:lang w:eastAsia="es-ES"/>
              </w:rPr>
              <w:t xml:space="preserve">       por el postor por la prestación </w:t>
            </w:r>
          </w:p>
          <w:p w:rsidR="00FF3705" w:rsidRPr="00FF3705" w:rsidRDefault="00FF3705" w:rsidP="00FF3705">
            <w:pPr>
              <w:widowControl w:val="0"/>
              <w:rPr>
                <w:i/>
                <w:lang w:eastAsia="es-ES"/>
              </w:rPr>
            </w:pPr>
            <w:r w:rsidRPr="00FF3705">
              <w:rPr>
                <w:i/>
                <w:lang w:eastAsia="es-ES"/>
              </w:rPr>
              <w:t xml:space="preserve">       de servicios correspondientes a </w:t>
            </w:r>
          </w:p>
          <w:p w:rsidR="00FF3705" w:rsidRPr="00FF3705" w:rsidRDefault="00FF3705" w:rsidP="00FF3705">
            <w:pPr>
              <w:widowControl w:val="0"/>
              <w:rPr>
                <w:i/>
                <w:lang w:eastAsia="es-ES"/>
              </w:rPr>
            </w:pPr>
            <w:r w:rsidRPr="00FF3705">
              <w:rPr>
                <w:i/>
                <w:lang w:eastAsia="es-ES"/>
              </w:rPr>
              <w:t xml:space="preserve">       la actividad objeto del proceso</w:t>
            </w:r>
          </w:p>
          <w:p w:rsidR="00FF3705" w:rsidRPr="00FF3705" w:rsidRDefault="00FF3705" w:rsidP="00FF3705">
            <w:pPr>
              <w:widowControl w:val="0"/>
              <w:rPr>
                <w:i/>
                <w:lang w:eastAsia="es-ES"/>
              </w:rPr>
            </w:pPr>
          </w:p>
          <w:p w:rsidR="00FF3705" w:rsidRPr="00FF3705" w:rsidRDefault="00FF3705" w:rsidP="00FF3705">
            <w:pPr>
              <w:widowControl w:val="0"/>
              <w:rPr>
                <w:i/>
                <w:lang w:eastAsia="es-ES"/>
              </w:rPr>
            </w:pPr>
            <w:r w:rsidRPr="00FF3705">
              <w:rPr>
                <w:i/>
                <w:lang w:eastAsia="es-ES"/>
              </w:rPr>
              <w:t>M &gt;=  04 veces el valor referencial</w:t>
            </w:r>
            <w:r w:rsidRPr="00FF3705">
              <w:rPr>
                <w:b/>
                <w:i/>
                <w:lang w:eastAsia="es-ES"/>
              </w:rPr>
              <w:t>:</w:t>
            </w:r>
          </w:p>
          <w:p w:rsidR="00FF3705" w:rsidRPr="00FF3705" w:rsidRDefault="00FF3705" w:rsidP="00FF3705">
            <w:pPr>
              <w:widowControl w:val="0"/>
              <w:jc w:val="right"/>
              <w:rPr>
                <w:b/>
                <w:i/>
                <w:lang w:eastAsia="es-ES"/>
              </w:rPr>
            </w:pPr>
            <w:r>
              <w:rPr>
                <w:i/>
                <w:lang w:eastAsia="es-ES"/>
              </w:rPr>
              <w:t xml:space="preserve">                  </w:t>
            </w:r>
            <w:r w:rsidRPr="00FF3705">
              <w:rPr>
                <w:i/>
                <w:lang w:eastAsia="es-ES"/>
              </w:rPr>
              <w:t xml:space="preserve"> </w:t>
            </w:r>
            <w:r w:rsidRPr="00FF3705">
              <w:rPr>
                <w:b/>
                <w:i/>
                <w:lang w:eastAsia="es-ES"/>
              </w:rPr>
              <w:t>50 puntos</w:t>
            </w:r>
          </w:p>
          <w:p w:rsidR="00FF3705" w:rsidRPr="00FF3705" w:rsidRDefault="00FF3705" w:rsidP="00FF3705">
            <w:pPr>
              <w:widowControl w:val="0"/>
              <w:rPr>
                <w:i/>
                <w:lang w:eastAsia="es-ES"/>
              </w:rPr>
            </w:pPr>
          </w:p>
          <w:p w:rsidR="00FF3705" w:rsidRPr="00FF3705" w:rsidRDefault="00FF3705" w:rsidP="00FF3705">
            <w:pPr>
              <w:widowControl w:val="0"/>
              <w:rPr>
                <w:i/>
                <w:lang w:eastAsia="es-ES"/>
              </w:rPr>
            </w:pPr>
            <w:r w:rsidRPr="00FF3705">
              <w:rPr>
                <w:i/>
                <w:lang w:eastAsia="es-ES"/>
              </w:rPr>
              <w:t>M &gt;= 03 veces el valor referencial y &lt; 04 veces el valor referencial</w:t>
            </w:r>
            <w:r w:rsidRPr="00FF3705">
              <w:rPr>
                <w:b/>
                <w:i/>
                <w:lang w:eastAsia="es-ES"/>
              </w:rPr>
              <w:t>:</w:t>
            </w:r>
          </w:p>
          <w:p w:rsidR="00FF3705" w:rsidRPr="00FF3705" w:rsidRDefault="00FF3705" w:rsidP="00FF3705">
            <w:pPr>
              <w:widowControl w:val="0"/>
              <w:jc w:val="right"/>
              <w:rPr>
                <w:b/>
                <w:i/>
                <w:lang w:eastAsia="es-ES"/>
              </w:rPr>
            </w:pPr>
            <w:r w:rsidRPr="00FF3705">
              <w:rPr>
                <w:i/>
                <w:lang w:eastAsia="es-ES"/>
              </w:rPr>
              <w:t xml:space="preserve">                          </w:t>
            </w:r>
            <w:r w:rsidRPr="00FF3705">
              <w:rPr>
                <w:b/>
                <w:i/>
                <w:lang w:eastAsia="es-ES"/>
              </w:rPr>
              <w:t xml:space="preserve"> 40 puntos</w:t>
            </w:r>
          </w:p>
          <w:p w:rsidR="00FF3705" w:rsidRPr="00FF3705" w:rsidRDefault="00FF3705" w:rsidP="00FF3705">
            <w:pPr>
              <w:widowControl w:val="0"/>
              <w:rPr>
                <w:i/>
                <w:lang w:eastAsia="es-ES"/>
              </w:rPr>
            </w:pPr>
          </w:p>
          <w:p w:rsidR="00FF3705" w:rsidRPr="00FF3705" w:rsidRDefault="00FF3705" w:rsidP="00FF3705">
            <w:pPr>
              <w:widowControl w:val="0"/>
              <w:rPr>
                <w:i/>
                <w:lang w:eastAsia="es-ES"/>
              </w:rPr>
            </w:pPr>
            <w:r w:rsidRPr="00FF3705">
              <w:rPr>
                <w:i/>
                <w:lang w:eastAsia="es-ES"/>
              </w:rPr>
              <w:t>M &gt;= 01 veces el valor referencial y &lt; 03 veces el valor referencial:</w:t>
            </w:r>
          </w:p>
          <w:p w:rsidR="00FF3705" w:rsidRPr="00FF3705" w:rsidRDefault="00FF3705" w:rsidP="00FF3705">
            <w:pPr>
              <w:widowControl w:val="0"/>
              <w:tabs>
                <w:tab w:val="left" w:pos="1438"/>
                <w:tab w:val="left" w:pos="1914"/>
              </w:tabs>
              <w:jc w:val="right"/>
              <w:rPr>
                <w:b/>
                <w:i/>
                <w:lang w:eastAsia="es-ES"/>
              </w:rPr>
            </w:pPr>
            <w:r w:rsidRPr="00FF3705">
              <w:rPr>
                <w:i/>
                <w:lang w:eastAsia="es-ES"/>
              </w:rPr>
              <w:t xml:space="preserve">                              </w:t>
            </w:r>
            <w:r w:rsidRPr="00FF3705">
              <w:rPr>
                <w:b/>
                <w:i/>
                <w:lang w:eastAsia="es-ES"/>
              </w:rPr>
              <w:t>30 puntos</w:t>
            </w:r>
          </w:p>
          <w:p w:rsidR="00FF3705" w:rsidRPr="00FF3705" w:rsidRDefault="00FF3705" w:rsidP="00FF3705">
            <w:pPr>
              <w:widowControl w:val="0"/>
              <w:rPr>
                <w:i/>
                <w:lang w:eastAsia="es-ES"/>
              </w:rPr>
            </w:pPr>
          </w:p>
          <w:p w:rsidR="00FF3705" w:rsidRPr="00FF3705" w:rsidRDefault="00FF3705" w:rsidP="00FF3705">
            <w:pPr>
              <w:widowControl w:val="0"/>
              <w:rPr>
                <w:i/>
                <w:lang w:eastAsia="es-ES"/>
              </w:rPr>
            </w:pPr>
          </w:p>
          <w:p w:rsidR="00FF3705" w:rsidRPr="00FF3705" w:rsidRDefault="00FF3705" w:rsidP="00FF3705">
            <w:pPr>
              <w:widowControl w:val="0"/>
              <w:rPr>
                <w:i/>
                <w:lang w:eastAsia="es-ES"/>
              </w:rPr>
            </w:pPr>
          </w:p>
          <w:p w:rsidR="00FF3705" w:rsidRPr="00FF3705" w:rsidRDefault="00FF3705" w:rsidP="00FF3705">
            <w:pPr>
              <w:widowControl w:val="0"/>
              <w:rPr>
                <w:i/>
                <w:lang w:eastAsia="es-ES"/>
              </w:rPr>
            </w:pPr>
          </w:p>
          <w:p w:rsidR="00FF3705" w:rsidRPr="00FF3705" w:rsidRDefault="00FF3705" w:rsidP="00FF3705">
            <w:pPr>
              <w:widowControl w:val="0"/>
              <w:rPr>
                <w:i/>
                <w:lang w:eastAsia="es-ES"/>
              </w:rPr>
            </w:pPr>
          </w:p>
        </w:tc>
      </w:tr>
      <w:tr w:rsidR="00FF3705" w:rsidRPr="00FF3705" w:rsidTr="00CB4005">
        <w:trPr>
          <w:trHeight w:val="514"/>
        </w:trPr>
        <w:tc>
          <w:tcPr>
            <w:tcW w:w="425" w:type="dxa"/>
            <w:tcBorders>
              <w:top w:val="nil"/>
              <w:right w:val="nil"/>
            </w:tcBorders>
            <w:vAlign w:val="center"/>
          </w:tcPr>
          <w:p w:rsidR="00FF3705" w:rsidRPr="00FF3705" w:rsidRDefault="00FF3705" w:rsidP="00FF3705">
            <w:pPr>
              <w:widowControl w:val="0"/>
              <w:jc w:val="center"/>
              <w:rPr>
                <w:i/>
                <w:lang w:eastAsia="es-ES"/>
              </w:rPr>
            </w:pPr>
          </w:p>
        </w:tc>
        <w:tc>
          <w:tcPr>
            <w:tcW w:w="4680" w:type="dxa"/>
            <w:tcBorders>
              <w:top w:val="nil"/>
              <w:left w:val="nil"/>
            </w:tcBorders>
            <w:hideMark/>
          </w:tcPr>
          <w:p w:rsidR="00FF3705" w:rsidRPr="00FF3705" w:rsidRDefault="00FF3705" w:rsidP="00FF3705">
            <w:pPr>
              <w:widowControl w:val="0"/>
              <w:jc w:val="both"/>
              <w:rPr>
                <w:i/>
                <w:iCs/>
                <w:u w:val="single"/>
                <w:lang w:eastAsia="es-ES"/>
              </w:rPr>
            </w:pPr>
          </w:p>
          <w:p w:rsidR="00FF3705" w:rsidRPr="00FF3705" w:rsidRDefault="00FF3705" w:rsidP="00FF3705">
            <w:pPr>
              <w:widowControl w:val="0"/>
              <w:jc w:val="both"/>
              <w:rPr>
                <w:i/>
                <w:iCs/>
                <w:u w:val="single"/>
                <w:lang w:eastAsia="es-ES"/>
              </w:rPr>
            </w:pPr>
            <w:r w:rsidRPr="00FF3705">
              <w:rPr>
                <w:i/>
                <w:iCs/>
                <w:u w:val="single"/>
                <w:lang w:eastAsia="es-ES"/>
              </w:rPr>
              <w:t>Criterio</w:t>
            </w:r>
            <w:r w:rsidRPr="00FF3705">
              <w:rPr>
                <w:i/>
                <w:iCs/>
                <w:lang w:eastAsia="es-ES"/>
              </w:rPr>
              <w:t>:</w:t>
            </w:r>
          </w:p>
          <w:p w:rsidR="00FF3705" w:rsidRPr="00FF3705" w:rsidRDefault="00FF3705" w:rsidP="00FF3705">
            <w:pPr>
              <w:widowControl w:val="0"/>
              <w:jc w:val="both"/>
              <w:rPr>
                <w:i/>
                <w:iCs/>
                <w:lang w:eastAsia="es-ES"/>
              </w:rPr>
            </w:pPr>
            <w:r w:rsidRPr="00FF3705">
              <w:rPr>
                <w:i/>
                <w:iCs/>
                <w:lang w:eastAsia="es-ES"/>
              </w:rPr>
              <w:t xml:space="preserve">Se evaluará considerando el monto facturado acumulado por el postor correspondiente a la actividad objeto del proceso, durante un periodo de 08 a la fecha de la presentación de propuestas, hasta por un monto máximo </w:t>
            </w:r>
            <w:r w:rsidRPr="00FF3705">
              <w:rPr>
                <w:i/>
                <w:iCs/>
                <w:lang w:val="es-ES" w:eastAsia="es-ES"/>
              </w:rPr>
              <w:t>acumulado equivalente a cuatro (04) veces el Valor referencial de la Contratación.</w:t>
            </w:r>
            <w:r w:rsidRPr="00FF3705">
              <w:rPr>
                <w:i/>
                <w:iCs/>
                <w:lang w:eastAsia="es-ES"/>
              </w:rPr>
              <w:t xml:space="preserve"> </w:t>
            </w:r>
          </w:p>
          <w:p w:rsidR="00FF3705" w:rsidRPr="00FF3705" w:rsidRDefault="00FF3705" w:rsidP="00FF3705">
            <w:pPr>
              <w:widowControl w:val="0"/>
              <w:jc w:val="both"/>
              <w:rPr>
                <w:i/>
                <w:iCs/>
                <w:lang w:eastAsia="es-ES"/>
              </w:rPr>
            </w:pPr>
            <w:r w:rsidRPr="00FF3705">
              <w:rPr>
                <w:i/>
                <w:iCs/>
                <w:lang w:eastAsia="es-ES"/>
              </w:rPr>
              <w:t xml:space="preserve"> </w:t>
            </w:r>
          </w:p>
          <w:p w:rsidR="00FF3705" w:rsidRPr="00FF3705" w:rsidRDefault="00FF3705" w:rsidP="00FF3705">
            <w:pPr>
              <w:widowControl w:val="0"/>
              <w:jc w:val="both"/>
              <w:rPr>
                <w:i/>
                <w:iCs/>
                <w:lang w:eastAsia="es-ES"/>
              </w:rPr>
            </w:pPr>
            <w:r w:rsidRPr="00FF3705">
              <w:rPr>
                <w:i/>
                <w:iCs/>
                <w:u w:val="single"/>
                <w:lang w:eastAsia="es-ES"/>
              </w:rPr>
              <w:t>Acreditación</w:t>
            </w:r>
            <w:r w:rsidRPr="00FF3705">
              <w:rPr>
                <w:i/>
                <w:iCs/>
                <w:lang w:eastAsia="es-ES"/>
              </w:rPr>
              <w:t>:</w:t>
            </w:r>
          </w:p>
          <w:p w:rsidR="00FF3705" w:rsidRPr="00FF3705" w:rsidRDefault="00FF3705" w:rsidP="00FF3705">
            <w:pPr>
              <w:widowControl w:val="0"/>
              <w:jc w:val="both"/>
              <w:rPr>
                <w:i/>
                <w:iCs/>
                <w:u w:val="single"/>
                <w:lang w:eastAsia="es-ES"/>
              </w:rPr>
            </w:pPr>
          </w:p>
          <w:p w:rsidR="00FF3705" w:rsidRPr="00FF3705" w:rsidRDefault="00FF3705" w:rsidP="00FF3705">
            <w:pPr>
              <w:widowControl w:val="0"/>
              <w:jc w:val="both"/>
              <w:rPr>
                <w:i/>
              </w:rPr>
            </w:pPr>
            <w:r w:rsidRPr="00FF3705">
              <w:rPr>
                <w:i/>
                <w:iCs/>
                <w:lang w:eastAsia="es-ES"/>
              </w:rPr>
              <w:t xml:space="preserve">La experiencia se acreditará mediante copia simple de: contratos u órdenes de servicio, y su respectiva conformidad por la prestación efectuada; o  comprobantes de pago cuya cancelación se acredite documental y fehacientemente, con </w:t>
            </w:r>
            <w:proofErr w:type="spellStart"/>
            <w:r w:rsidRPr="00FF3705">
              <w:rPr>
                <w:i/>
                <w:iCs/>
                <w:lang w:eastAsia="es-ES"/>
              </w:rPr>
              <w:t>Voucher</w:t>
            </w:r>
            <w:proofErr w:type="spellEnd"/>
            <w:r w:rsidRPr="00FF3705">
              <w:rPr>
                <w:i/>
                <w:iCs/>
                <w:lang w:eastAsia="es-ES"/>
              </w:rPr>
              <w:t xml:space="preserve"> de depósito, reporte de Estado de Cuenta, Cancelación en el documento, entre otros, correspondientes a un máximo de diez (10) servicios.</w:t>
            </w:r>
            <w:r w:rsidRPr="00FF3705" w:rsidDel="005A042B">
              <w:rPr>
                <w:i/>
                <w:iCs/>
                <w:lang w:eastAsia="es-ES"/>
              </w:rPr>
              <w:t xml:space="preserve"> </w:t>
            </w:r>
          </w:p>
          <w:p w:rsidR="00FF3705" w:rsidRPr="00FF3705" w:rsidRDefault="00FF3705" w:rsidP="00FF3705">
            <w:pPr>
              <w:widowControl w:val="0"/>
              <w:jc w:val="both"/>
              <w:rPr>
                <w:i/>
              </w:rPr>
            </w:pPr>
          </w:p>
          <w:p w:rsidR="00FF3705" w:rsidRPr="00FF3705" w:rsidRDefault="00FF3705" w:rsidP="00FF3705">
            <w:pPr>
              <w:widowControl w:val="0"/>
              <w:jc w:val="both"/>
              <w:rPr>
                <w:i/>
                <w:lang w:eastAsia="es-ES"/>
              </w:rPr>
            </w:pPr>
            <w:r w:rsidRPr="00FF3705">
              <w:rPr>
                <w:i/>
                <w:iCs/>
                <w:lang w:eastAsia="es-ES"/>
              </w:rPr>
              <w:t>(...)</w:t>
            </w:r>
          </w:p>
        </w:tc>
        <w:tc>
          <w:tcPr>
            <w:tcW w:w="3258" w:type="dxa"/>
            <w:vMerge/>
            <w:tcBorders>
              <w:top w:val="nil"/>
            </w:tcBorders>
            <w:vAlign w:val="center"/>
            <w:hideMark/>
          </w:tcPr>
          <w:p w:rsidR="00FF3705" w:rsidRPr="00FF3705" w:rsidRDefault="00FF3705" w:rsidP="00FF3705">
            <w:pPr>
              <w:widowControl w:val="0"/>
              <w:jc w:val="center"/>
              <w:rPr>
                <w:i/>
                <w:lang w:eastAsia="es-ES"/>
              </w:rPr>
            </w:pPr>
          </w:p>
        </w:tc>
      </w:tr>
    </w:tbl>
    <w:p w:rsidR="003B69F1" w:rsidRPr="00FF3705" w:rsidRDefault="003B69F1" w:rsidP="003B69F1">
      <w:pPr>
        <w:pStyle w:val="Textoindependiente2"/>
        <w:widowControl w:val="0"/>
        <w:spacing w:after="0" w:line="240" w:lineRule="auto"/>
        <w:jc w:val="both"/>
      </w:pPr>
    </w:p>
    <w:p w:rsidR="008049B9" w:rsidRDefault="00DD5CA8" w:rsidP="00DD5CA8">
      <w:pPr>
        <w:pStyle w:val="Textoindependiente2"/>
        <w:widowControl w:val="0"/>
        <w:spacing w:after="0" w:line="240" w:lineRule="auto"/>
        <w:jc w:val="both"/>
        <w:rPr>
          <w:i/>
          <w:lang w:val="es-PE"/>
        </w:rPr>
      </w:pPr>
      <w:r w:rsidRPr="00DD5CA8">
        <w:rPr>
          <w:lang w:val="es-PE"/>
        </w:rPr>
        <w:t xml:space="preserve">En el Informe Técnico remitido con ocasión de la elevación de observaciones, el Comité Especial señaló lo siguiente: </w:t>
      </w:r>
      <w:r w:rsidRPr="00DD5CA8">
        <w:rPr>
          <w:i/>
          <w:lang w:val="es-PE"/>
        </w:rPr>
        <w:t>"</w:t>
      </w:r>
      <w:r w:rsidRPr="00DD5CA8">
        <w:rPr>
          <w:i/>
          <w:u w:val="single"/>
          <w:lang w:val="es-PE"/>
        </w:rPr>
        <w:t>El Comité NO ACOGIÓ la Observación anotada, toda vez que el proceso de paquetería pueda tratarse de una acción que deriva de procesos distintos al servicio de mensajería que es eminentemente el traslado de documentos</w:t>
      </w:r>
      <w:r w:rsidRPr="00DD5CA8">
        <w:rPr>
          <w:i/>
          <w:lang w:val="es-PE"/>
        </w:rPr>
        <w:t xml:space="preserve">, </w:t>
      </w:r>
      <w:r w:rsidRPr="00211C9A">
        <w:rPr>
          <w:i/>
          <w:u w:val="single"/>
          <w:lang w:val="es-PE"/>
        </w:rPr>
        <w:t>en ese entendido lo que se busca es la especialización en el servicio de mensajería y la concurrencia de postores que se especialice en dicho proceso</w:t>
      </w:r>
      <w:r w:rsidRPr="00DD5CA8">
        <w:rPr>
          <w:i/>
          <w:lang w:val="es-PE"/>
        </w:rPr>
        <w:t>; si bien la denominación del servicio incluye</w:t>
      </w:r>
      <w:r>
        <w:rPr>
          <w:i/>
          <w:lang w:val="es-PE"/>
        </w:rPr>
        <w:t xml:space="preserve"> el término </w:t>
      </w:r>
      <w:r w:rsidRPr="00DD5CA8">
        <w:rPr>
          <w:b/>
          <w:i/>
          <w:lang w:val="es-PE"/>
        </w:rPr>
        <w:t>"encomienda"</w:t>
      </w:r>
      <w:r>
        <w:rPr>
          <w:i/>
          <w:lang w:val="es-PE"/>
        </w:rPr>
        <w:t xml:space="preserve"> se puede apreciar en los términos de referencia, que el servicio</w:t>
      </w:r>
      <w:r w:rsidRPr="00DD5CA8">
        <w:rPr>
          <w:i/>
          <w:lang w:val="es-PE"/>
        </w:rPr>
        <w:t xml:space="preserve"> a contratar se basa en el traslado de documentos, hasta determinado </w:t>
      </w:r>
      <w:r w:rsidR="008049B9">
        <w:rPr>
          <w:i/>
          <w:lang w:val="es-PE"/>
        </w:rPr>
        <w:t>peso</w:t>
      </w:r>
      <w:r w:rsidRPr="00DD5CA8">
        <w:rPr>
          <w:i/>
          <w:lang w:val="es-PE"/>
        </w:rPr>
        <w:t>. En razón a ello, el Comité Especial ha determinado la concurrencia de postores especializado en el traslado de documentos considerando que el factor "Experiencia del postor en la Actividad" se considera a la experiencia Obtenida.(...)"</w:t>
      </w:r>
      <w:r>
        <w:rPr>
          <w:i/>
          <w:lang w:val="es-PE"/>
        </w:rPr>
        <w:t xml:space="preserve"> (El resaltado es agregado)</w:t>
      </w:r>
      <w:r w:rsidR="008049B9">
        <w:rPr>
          <w:i/>
          <w:lang w:val="es-PE"/>
        </w:rPr>
        <w:t>.</w:t>
      </w:r>
    </w:p>
    <w:p w:rsidR="008049B9" w:rsidRDefault="008049B9" w:rsidP="00DD5CA8">
      <w:pPr>
        <w:pStyle w:val="Textoindependiente2"/>
        <w:widowControl w:val="0"/>
        <w:spacing w:after="0" w:line="240" w:lineRule="auto"/>
        <w:jc w:val="both"/>
        <w:rPr>
          <w:i/>
          <w:lang w:val="es-PE"/>
        </w:rPr>
      </w:pPr>
    </w:p>
    <w:p w:rsidR="008049B9" w:rsidRPr="00791EBF" w:rsidRDefault="008049B9" w:rsidP="008049B9">
      <w:pPr>
        <w:widowControl w:val="0"/>
        <w:jc w:val="both"/>
        <w:rPr>
          <w:b/>
          <w:u w:val="single"/>
        </w:rPr>
      </w:pPr>
      <w:r w:rsidRPr="00EE78B6">
        <w:rPr>
          <w:lang w:val="es-ES_tradnl"/>
        </w:rPr>
        <w:t>Al respecto, corresponde señalar que, de conformidad con</w:t>
      </w:r>
      <w:r w:rsidRPr="00EE78B6">
        <w:t xml:space="preserve"> el artículo 31° de la Ley y 43° del Reglamento</w:t>
      </w:r>
      <w:r w:rsidRPr="00791EBF">
        <w:t xml:space="preserve">, </w:t>
      </w:r>
      <w:r w:rsidRPr="00791EBF">
        <w:rPr>
          <w:u w:val="single"/>
        </w:rPr>
        <w:t xml:space="preserve">resulta de </w:t>
      </w:r>
      <w:r w:rsidRPr="00791EBF">
        <w:rPr>
          <w:b/>
          <w:u w:val="single"/>
        </w:rPr>
        <w:t>competencia</w:t>
      </w:r>
      <w:r w:rsidRPr="00791EBF">
        <w:rPr>
          <w:u w:val="single"/>
        </w:rPr>
        <w:t xml:space="preserve"> del Comité Especial la determinación de los </w:t>
      </w:r>
      <w:r w:rsidRPr="00791EBF">
        <w:rPr>
          <w:u w:val="single"/>
        </w:rPr>
        <w:lastRenderedPageBreak/>
        <w:t>factores de evaluación</w:t>
      </w:r>
      <w:r w:rsidRPr="003C67BE">
        <w:t xml:space="preserve">, </w:t>
      </w:r>
      <w:r w:rsidRPr="00791EBF">
        <w:rPr>
          <w:bCs/>
        </w:rPr>
        <w:t>la fijación de los puntajes que se le asignará a cada uno de ellos, así como los criterios p</w:t>
      </w:r>
      <w:r w:rsidRPr="00791EBF">
        <w:rPr>
          <w:bCs/>
          <w:u w:val="single"/>
        </w:rPr>
        <w:t>ara su asignación</w:t>
      </w:r>
      <w:r w:rsidRPr="00791EBF">
        <w:rPr>
          <w:bCs/>
        </w:rPr>
        <w:t>,</w:t>
      </w:r>
      <w:r w:rsidRPr="00791EBF">
        <w:t xml:space="preserve"> </w:t>
      </w:r>
      <w:r w:rsidRPr="002B198C">
        <w:rPr>
          <w:b/>
          <w:u w:val="single"/>
        </w:rPr>
        <w:t>los cuales deberán ser objetivos y congruentes</w:t>
      </w:r>
      <w:r w:rsidRPr="00791EBF">
        <w:t xml:space="preserve"> con el objeto de la convocatoria, sujetándose a criterios de razonabilidad y </w:t>
      </w:r>
      <w:r w:rsidRPr="002B198C">
        <w:rPr>
          <w:b/>
          <w:u w:val="single"/>
        </w:rPr>
        <w:t>proporcionalidad</w:t>
      </w:r>
      <w:r w:rsidRPr="00791EBF">
        <w:t xml:space="preserve">, debiendo además permitir objetivamente </w:t>
      </w:r>
      <w:r w:rsidRPr="002B198C">
        <w:t>la selección de la mejor propuesta en términos de calidad y prestaciones requeridas,</w:t>
      </w:r>
      <w:r w:rsidRPr="00791EBF">
        <w:t xml:space="preserve"> dentro de los plazos más convenientes y al mejor valor total, por lo que dichos </w:t>
      </w:r>
      <w:r w:rsidRPr="00791EBF">
        <w:rPr>
          <w:b/>
          <w:u w:val="single"/>
        </w:rPr>
        <w:t>factores no podrán calificar el cumplimiento de los requerimientos técnicos mínimos exigidos.</w:t>
      </w:r>
    </w:p>
    <w:p w:rsidR="008049B9" w:rsidRPr="00791EBF" w:rsidRDefault="008049B9" w:rsidP="008049B9">
      <w:pPr>
        <w:widowControl w:val="0"/>
        <w:jc w:val="both"/>
        <w:rPr>
          <w:b/>
          <w:u w:val="single"/>
        </w:rPr>
      </w:pPr>
    </w:p>
    <w:p w:rsidR="008049B9" w:rsidRPr="00791EBF" w:rsidRDefault="008049B9" w:rsidP="008049B9">
      <w:pPr>
        <w:jc w:val="both"/>
        <w:rPr>
          <w:b/>
          <w:color w:val="000000"/>
          <w:u w:val="single"/>
          <w:lang w:val="es-ES" w:eastAsia="es-ES"/>
        </w:rPr>
      </w:pPr>
      <w:r w:rsidRPr="00791EBF">
        <w:rPr>
          <w:color w:val="000000"/>
          <w:lang w:val="es-ES" w:eastAsia="es-ES"/>
        </w:rPr>
        <w:t xml:space="preserve">De esta manera, al ser el principal objetivo de los factores de evaluación comparar y discriminar propuestas, </w:t>
      </w:r>
      <w:r w:rsidRPr="00791EBF">
        <w:rPr>
          <w:b/>
          <w:color w:val="000000"/>
          <w:u w:val="single"/>
          <w:lang w:val="es-ES" w:eastAsia="es-ES"/>
        </w:rPr>
        <w:t>no puede exigirse al Comité Especial elaborar factores de evaluación cuyo puntaje máximo pueda ser obtenido por la totalidad de los postores ya que ello desnaturalizaría su función principal.</w:t>
      </w:r>
    </w:p>
    <w:p w:rsidR="008049B9" w:rsidRPr="008049B9" w:rsidRDefault="008049B9" w:rsidP="00DD5CA8">
      <w:pPr>
        <w:pStyle w:val="Textoindependiente2"/>
        <w:widowControl w:val="0"/>
        <w:spacing w:after="0" w:line="240" w:lineRule="auto"/>
        <w:jc w:val="both"/>
        <w:rPr>
          <w:i/>
          <w:lang w:val="es-ES"/>
        </w:rPr>
      </w:pPr>
    </w:p>
    <w:p w:rsidR="008049B9" w:rsidRDefault="008049B9" w:rsidP="008049B9">
      <w:pPr>
        <w:widowControl w:val="0"/>
        <w:tabs>
          <w:tab w:val="num" w:pos="567"/>
        </w:tabs>
        <w:jc w:val="both"/>
      </w:pPr>
      <w:r>
        <w:t>Por su parte</w:t>
      </w:r>
      <w:r w:rsidRPr="00C7671E">
        <w:t>, de</w:t>
      </w:r>
      <w:r>
        <w:t xml:space="preserve"> acuerdo con lo establecido en el numeral 1 del artículo 45 del Reglamento, en el caso de la contratación de servicios en general debe considerase como factor referido al postor la experiencia, en el que se calificará la ejecución de servicios en la actividad y/o en la especialidad. Asimismo, en el referido numeral se establece que en las Bases deberá señalarse los servicios iguales y/o similares, cuya prestación servirá para acreditar la experiencia del postor.</w:t>
      </w:r>
    </w:p>
    <w:p w:rsidR="008049B9" w:rsidRDefault="008049B9" w:rsidP="008049B9">
      <w:pPr>
        <w:widowControl w:val="0"/>
        <w:tabs>
          <w:tab w:val="num" w:pos="567"/>
        </w:tabs>
        <w:jc w:val="both"/>
      </w:pPr>
    </w:p>
    <w:p w:rsidR="008049B9" w:rsidRPr="00C7671E" w:rsidRDefault="00E3502E" w:rsidP="008049B9">
      <w:pPr>
        <w:widowControl w:val="0"/>
        <w:tabs>
          <w:tab w:val="num" w:pos="567"/>
        </w:tabs>
        <w:jc w:val="both"/>
      </w:pPr>
      <w:r>
        <w:t>En relación con lo anterior</w:t>
      </w:r>
      <w:r w:rsidR="008049B9">
        <w:t xml:space="preserve">, </w:t>
      </w:r>
      <w:r>
        <w:t>cabe indicar que de conformidad</w:t>
      </w:r>
      <w:r w:rsidR="008049B9" w:rsidRPr="00C7671E">
        <w:t xml:space="preserve"> con lo establecido en el numeral </w:t>
      </w:r>
      <w:r w:rsidR="008049B9">
        <w:t>51</w:t>
      </w:r>
      <w:r w:rsidR="008049B9" w:rsidRPr="00C7671E">
        <w:t xml:space="preserve"> del Anexo de Definiciones del Reglamento, una </w:t>
      </w:r>
      <w:r>
        <w:t>servicio</w:t>
      </w:r>
      <w:r w:rsidR="008049B9" w:rsidRPr="00C7671E">
        <w:t xml:space="preserve"> similar es aquella de naturaleza semejante a la que se desea contratar</w:t>
      </w:r>
      <w:r w:rsidR="008049B9">
        <w:t>, independientemente de su magnitud y fechas de ejecución</w:t>
      </w:r>
      <w:r w:rsidR="008049B9" w:rsidRPr="00C7671E">
        <w:t xml:space="preserve">; en esa medida, cuando se evalúe la experiencia en la </w:t>
      </w:r>
      <w:r w:rsidR="008049B9">
        <w:t>similares</w:t>
      </w:r>
      <w:r w:rsidR="008049B9" w:rsidRPr="00C7671E">
        <w:t xml:space="preserve">, la acreditación de dicha experiencia debe efectuarse con </w:t>
      </w:r>
      <w:r w:rsidR="00211C9A">
        <w:t>servicios</w:t>
      </w:r>
      <w:r w:rsidR="008049B9" w:rsidRPr="00C7671E">
        <w:t xml:space="preserve"> de naturaleza semejante y no necesariamente igual a</w:t>
      </w:r>
      <w:r w:rsidR="00211C9A">
        <w:t>l servicio a ejecutar</w:t>
      </w:r>
    </w:p>
    <w:p w:rsidR="008049B9" w:rsidRPr="00C7671E" w:rsidRDefault="008049B9" w:rsidP="008049B9">
      <w:pPr>
        <w:widowControl w:val="0"/>
        <w:tabs>
          <w:tab w:val="num" w:pos="567"/>
        </w:tabs>
        <w:jc w:val="both"/>
      </w:pPr>
    </w:p>
    <w:p w:rsidR="008049B9" w:rsidRDefault="008049B9" w:rsidP="008049B9">
      <w:pPr>
        <w:widowControl w:val="0"/>
        <w:tabs>
          <w:tab w:val="num" w:pos="567"/>
        </w:tabs>
        <w:jc w:val="both"/>
        <w:rPr>
          <w:lang w:val="es-PE"/>
        </w:rPr>
      </w:pPr>
      <w:r w:rsidRPr="00C7671E">
        <w:t xml:space="preserve">Así, para considerarse un </w:t>
      </w:r>
      <w:r>
        <w:t>servicio</w:t>
      </w:r>
      <w:r w:rsidRPr="00C7671E">
        <w:t xml:space="preserve"> como similar, bastará que la misma contenga las características esenciales que definen la naturaleza </w:t>
      </w:r>
      <w:r>
        <w:t xml:space="preserve">del servicio </w:t>
      </w:r>
      <w:r w:rsidRPr="00C7671E">
        <w:t xml:space="preserve">que se pretende realizar; de lo que se concluye que, para acreditar la experiencia, los potenciales postores podrían presentar </w:t>
      </w:r>
      <w:r>
        <w:t>servicios</w:t>
      </w:r>
      <w:r w:rsidRPr="00C7671E">
        <w:t xml:space="preserve"> iguales o con características parecidas a los que son objeto de la convocatoria.</w:t>
      </w:r>
    </w:p>
    <w:p w:rsidR="00211C9A" w:rsidRPr="00211C9A" w:rsidRDefault="00211C9A" w:rsidP="008049B9">
      <w:pPr>
        <w:widowControl w:val="0"/>
        <w:tabs>
          <w:tab w:val="num" w:pos="567"/>
        </w:tabs>
        <w:jc w:val="both"/>
        <w:rPr>
          <w:lang w:val="es-PE"/>
        </w:rPr>
      </w:pPr>
    </w:p>
    <w:p w:rsidR="00E3502E" w:rsidRDefault="00E3502E" w:rsidP="00E3502E">
      <w:pPr>
        <w:widowControl w:val="0"/>
        <w:jc w:val="both"/>
      </w:pPr>
      <w:r>
        <w:rPr>
          <w:lang w:val="es-ES_tradnl"/>
        </w:rPr>
        <w:t xml:space="preserve">En concordancia con ello, considerando el objeto de la presente convocatoria, corresponde indicar que </w:t>
      </w:r>
      <w:r>
        <w:t xml:space="preserve">el artículo 3° del Decreto Supremo N° 032-93-TCC Reglamento de Servicios y Concesiones Postales, establece que la </w:t>
      </w:r>
      <w:r w:rsidRPr="00ED4349">
        <w:rPr>
          <w:b/>
          <w:u w:val="single"/>
        </w:rPr>
        <w:t>encomienda postal implica el envío de cualquier objeto, producto o materia, con o sin valor comercial, cuyo peso unitario se encuentre entre 02 y 50 Kg.</w:t>
      </w:r>
    </w:p>
    <w:p w:rsidR="00E3502E" w:rsidRDefault="00E3502E" w:rsidP="00E3502E">
      <w:pPr>
        <w:widowControl w:val="0"/>
        <w:jc w:val="both"/>
      </w:pPr>
    </w:p>
    <w:p w:rsidR="00E3502E" w:rsidRDefault="00E3502E" w:rsidP="00E3502E">
      <w:pPr>
        <w:widowControl w:val="0"/>
        <w:jc w:val="both"/>
      </w:pPr>
      <w:r>
        <w:t>Ahora bien,</w:t>
      </w:r>
      <w:r w:rsidR="00211C9A">
        <w:t xml:space="preserve"> en el presente caso</w:t>
      </w:r>
      <w:r>
        <w:t xml:space="preserve"> se advierte que el Comité Especial no ha precisado la definición de servicios similares que servirán para acreditar el factor de evaluación "Experiencia en la actividad", aspecto que contravendría lo dispuesto en el artículo 45 del Reglamento.</w:t>
      </w:r>
    </w:p>
    <w:p w:rsidR="00E3502E" w:rsidRPr="00E3502E" w:rsidRDefault="00E3502E" w:rsidP="008049B9">
      <w:pPr>
        <w:widowControl w:val="0"/>
        <w:tabs>
          <w:tab w:val="num" w:pos="567"/>
        </w:tabs>
        <w:jc w:val="both"/>
      </w:pPr>
    </w:p>
    <w:p w:rsidR="008049B9" w:rsidRDefault="00E3502E" w:rsidP="008049B9">
      <w:pPr>
        <w:pStyle w:val="Textoindependiente2"/>
        <w:widowControl w:val="0"/>
        <w:tabs>
          <w:tab w:val="left" w:pos="0"/>
        </w:tabs>
        <w:spacing w:after="0" w:line="240" w:lineRule="auto"/>
        <w:jc w:val="both"/>
      </w:pPr>
      <w:r>
        <w:t>No obstante lo anterior</w:t>
      </w:r>
      <w:r w:rsidR="008049B9" w:rsidRPr="00C7671E">
        <w:t xml:space="preserve">, toda vez que es competencia de la Entidad determinar las </w:t>
      </w:r>
      <w:r w:rsidR="008049B9" w:rsidRPr="00C7671E">
        <w:lastRenderedPageBreak/>
        <w:t xml:space="preserve">características inherentes que definen la naturaleza de </w:t>
      </w:r>
      <w:r>
        <w:t>servicio</w:t>
      </w:r>
      <w:r w:rsidR="008049B9" w:rsidRPr="00C7671E">
        <w:t xml:space="preserve"> similar, y que la pretensión del recurrente es </w:t>
      </w:r>
      <w:r w:rsidR="00211C9A">
        <w:t>que se precise la</w:t>
      </w:r>
      <w:r w:rsidR="008049B9" w:rsidRPr="00C7671E">
        <w:t xml:space="preserve"> definición de </w:t>
      </w:r>
      <w:r w:rsidR="008049B9">
        <w:t>servicios</w:t>
      </w:r>
      <w:r w:rsidR="008049B9" w:rsidRPr="00C7671E">
        <w:t xml:space="preserve"> similares según su interés particular, este Organismo Supervisor ha decidido </w:t>
      </w:r>
      <w:r w:rsidR="008049B9" w:rsidRPr="00C7671E">
        <w:rPr>
          <w:b/>
        </w:rPr>
        <w:t>NO ACOGER</w:t>
      </w:r>
      <w:r w:rsidR="008049B9" w:rsidRPr="00C7671E">
        <w:t xml:space="preserve"> la presente observación.</w:t>
      </w:r>
    </w:p>
    <w:p w:rsidR="00E3502E" w:rsidRDefault="00E3502E" w:rsidP="008049B9">
      <w:pPr>
        <w:pStyle w:val="Textoindependiente2"/>
        <w:widowControl w:val="0"/>
        <w:tabs>
          <w:tab w:val="left" w:pos="0"/>
        </w:tabs>
        <w:spacing w:after="0" w:line="240" w:lineRule="auto"/>
        <w:jc w:val="both"/>
      </w:pPr>
    </w:p>
    <w:p w:rsidR="00211C9A" w:rsidRPr="00BB6944" w:rsidRDefault="00E3502E" w:rsidP="00211C9A">
      <w:pPr>
        <w:pStyle w:val="WW-Sangra3detindependiente"/>
        <w:suppressAutoHyphens w:val="0"/>
        <w:ind w:left="0" w:firstLine="0"/>
      </w:pPr>
      <w:r>
        <w:t xml:space="preserve">Sin perjuicio de lo expuesto, </w:t>
      </w:r>
      <w:r w:rsidR="004A7A40">
        <w:t>en la medida que no se ha establecido la definición d</w:t>
      </w:r>
      <w:r w:rsidR="002F224C">
        <w:t>e</w:t>
      </w:r>
      <w:r w:rsidR="004A7A40">
        <w:t xml:space="preserve"> servicios similares, </w:t>
      </w:r>
      <w:r>
        <w:t xml:space="preserve">con ocasión de la integración de las Bases, </w:t>
      </w:r>
      <w:r w:rsidR="00211C9A" w:rsidRPr="00BB6944">
        <w:rPr>
          <w:lang w:val="es-MX"/>
        </w:rPr>
        <w:t>deberá precisar</w:t>
      </w:r>
      <w:r w:rsidR="00F36CAA">
        <w:rPr>
          <w:lang w:val="es-MX"/>
        </w:rPr>
        <w:t>se</w:t>
      </w:r>
      <w:r w:rsidR="00211C9A" w:rsidRPr="00BB6944">
        <w:rPr>
          <w:lang w:val="es-MX"/>
        </w:rPr>
        <w:t xml:space="preserve"> la definición de los </w:t>
      </w:r>
      <w:r w:rsidR="00211C9A">
        <w:rPr>
          <w:lang w:val="es-MX"/>
        </w:rPr>
        <w:t xml:space="preserve">servicios </w:t>
      </w:r>
      <w:r w:rsidR="00211C9A" w:rsidRPr="00BB6944">
        <w:rPr>
          <w:lang w:val="es-MX"/>
        </w:rPr>
        <w:t>similares para acreditar la experiencia del postor,</w:t>
      </w:r>
      <w:r w:rsidR="00211C9A" w:rsidRPr="00BB6944">
        <w:t xml:space="preserve"> considerando lo indicado precedentemente por este Organismo Supervisor, l</w:t>
      </w:r>
      <w:r w:rsidR="002F224C">
        <w:t>a</w:t>
      </w:r>
      <w:r w:rsidR="00211C9A" w:rsidRPr="00BB6944">
        <w:t xml:space="preserve"> cual deberá constar en un informe que deberá ser publicado en el SEACE con motivo de la integración de las Bases</w:t>
      </w:r>
      <w:r w:rsidR="00ED4349">
        <w:t>;</w:t>
      </w:r>
      <w:r w:rsidR="004A7A40">
        <w:t xml:space="preserve"> asimismo, en el caso que no se considere en la referida definición los servicios de paquetería</w:t>
      </w:r>
      <w:r w:rsidR="00ED4349">
        <w:t xml:space="preserve"> que tengan peso entre 02 a </w:t>
      </w:r>
      <w:r w:rsidR="002F224C">
        <w:t>3</w:t>
      </w:r>
      <w:r w:rsidR="00ED4349">
        <w:t>0 kg</w:t>
      </w:r>
      <w:r w:rsidR="004A7A40">
        <w:t>, en el referido informe deberá sustentarse técnicamente las razones por las cuales dicho servicio no podría ser considerado como servicio similar al objeto de la convocatoria.</w:t>
      </w:r>
    </w:p>
    <w:p w:rsidR="004A7A40" w:rsidRPr="00BB6944" w:rsidRDefault="004A7A40" w:rsidP="00211C9A">
      <w:pPr>
        <w:pStyle w:val="WW-Sangra3detindependiente"/>
        <w:suppressAutoHyphens w:val="0"/>
        <w:ind w:left="0" w:firstLine="0"/>
      </w:pPr>
    </w:p>
    <w:p w:rsidR="00211C9A" w:rsidRPr="00BB6944" w:rsidRDefault="00211C9A" w:rsidP="00211C9A">
      <w:pPr>
        <w:tabs>
          <w:tab w:val="left" w:pos="8789"/>
        </w:tabs>
        <w:jc w:val="both"/>
        <w:rPr>
          <w:lang w:val="es-ES_tradnl"/>
        </w:rPr>
      </w:pPr>
      <w:r w:rsidRPr="00BB6944">
        <w:rPr>
          <w:lang w:val="es-ES_tradnl"/>
        </w:rPr>
        <w:t>Cabe acotar que, dicha información tiene carácter de declaración jurada y se encuentra sujeto a rendición de cuentas, en caso de corresponder, ante el Titular de la Entidad, la Contraloría General de la República, Ministerio Público, Poder Judicial y/o ante otros organismos competentes.</w:t>
      </w:r>
    </w:p>
    <w:p w:rsidR="00E3502E" w:rsidRPr="00211C9A" w:rsidRDefault="00E3502E" w:rsidP="008049B9">
      <w:pPr>
        <w:pStyle w:val="Textoindependiente2"/>
        <w:widowControl w:val="0"/>
        <w:tabs>
          <w:tab w:val="left" w:pos="0"/>
        </w:tabs>
        <w:spacing w:after="0" w:line="240" w:lineRule="auto"/>
        <w:jc w:val="both"/>
        <w:rPr>
          <w:lang w:val="es-ES_tradnl"/>
        </w:rPr>
      </w:pPr>
    </w:p>
    <w:p w:rsidR="00211C9A" w:rsidRPr="002909DC" w:rsidRDefault="00211C9A" w:rsidP="00211C9A">
      <w:pPr>
        <w:pStyle w:val="Textoindependiente2"/>
        <w:widowControl w:val="0"/>
        <w:numPr>
          <w:ilvl w:val="0"/>
          <w:numId w:val="1"/>
        </w:numPr>
        <w:tabs>
          <w:tab w:val="clear" w:pos="360"/>
          <w:tab w:val="num" w:pos="567"/>
        </w:tabs>
        <w:spacing w:after="0" w:line="240" w:lineRule="auto"/>
        <w:ind w:left="567" w:hanging="567"/>
        <w:jc w:val="both"/>
      </w:pPr>
      <w:r w:rsidRPr="002909DC">
        <w:rPr>
          <w:b/>
          <w:lang w:val="es-PE"/>
        </w:rPr>
        <w:t>CONTENIDO DE LAS BASES CONTRARIO A LA NORMATIVA SOBRE CONTRATACIONES DEL ESTADO</w:t>
      </w:r>
    </w:p>
    <w:p w:rsidR="00211C9A" w:rsidRPr="002909DC" w:rsidRDefault="00211C9A" w:rsidP="00211C9A">
      <w:pPr>
        <w:widowControl w:val="0"/>
        <w:tabs>
          <w:tab w:val="left" w:pos="540"/>
        </w:tabs>
        <w:jc w:val="both"/>
        <w:rPr>
          <w:b/>
        </w:rPr>
      </w:pPr>
      <w:r w:rsidRPr="002909DC">
        <w:t xml:space="preserve"> </w:t>
      </w:r>
    </w:p>
    <w:p w:rsidR="00211C9A" w:rsidRPr="002909DC" w:rsidRDefault="00211C9A" w:rsidP="00211C9A">
      <w:pPr>
        <w:widowControl w:val="0"/>
        <w:tabs>
          <w:tab w:val="left" w:pos="540"/>
        </w:tabs>
        <w:jc w:val="both"/>
      </w:pPr>
      <w:r w:rsidRPr="002909DC">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8049B9" w:rsidRPr="00C7671E" w:rsidRDefault="008049B9" w:rsidP="008049B9">
      <w:pPr>
        <w:pStyle w:val="Textoindependiente2"/>
        <w:widowControl w:val="0"/>
        <w:tabs>
          <w:tab w:val="left" w:pos="0"/>
        </w:tabs>
        <w:spacing w:after="0" w:line="240" w:lineRule="auto"/>
        <w:jc w:val="both"/>
      </w:pPr>
    </w:p>
    <w:p w:rsidR="00B9363F" w:rsidRPr="00B736F3" w:rsidRDefault="00B9363F" w:rsidP="00B9363F">
      <w:pPr>
        <w:widowControl w:val="0"/>
        <w:numPr>
          <w:ilvl w:val="1"/>
          <w:numId w:val="10"/>
        </w:numPr>
        <w:ind w:right="-1" w:hanging="682"/>
        <w:jc w:val="both"/>
        <w:rPr>
          <w:b/>
          <w:lang w:val="es-PE"/>
        </w:rPr>
      </w:pPr>
      <w:r w:rsidRPr="00B736F3">
        <w:rPr>
          <w:b/>
          <w:color w:val="000000"/>
        </w:rPr>
        <w:t>Límites</w:t>
      </w:r>
      <w:r w:rsidRPr="00B736F3">
        <w:rPr>
          <w:b/>
          <w:lang w:val="es-PE"/>
        </w:rPr>
        <w:t xml:space="preserve"> del valor referencial</w:t>
      </w:r>
    </w:p>
    <w:p w:rsidR="00B9363F" w:rsidRPr="00B736F3" w:rsidRDefault="00B9363F" w:rsidP="00B9363F">
      <w:pPr>
        <w:widowControl w:val="0"/>
        <w:ind w:left="682" w:right="-1"/>
        <w:jc w:val="both"/>
        <w:rPr>
          <w:b/>
          <w:lang w:val="es-PE"/>
        </w:rPr>
      </w:pPr>
    </w:p>
    <w:p w:rsidR="00B9363F" w:rsidRPr="00B736F3" w:rsidRDefault="00B9363F" w:rsidP="00B9363F">
      <w:pPr>
        <w:widowControl w:val="0"/>
        <w:tabs>
          <w:tab w:val="left" w:pos="0"/>
        </w:tabs>
        <w:jc w:val="both"/>
        <w:rPr>
          <w:iCs/>
          <w:lang w:eastAsia="es-ES"/>
        </w:rPr>
      </w:pPr>
      <w:r w:rsidRPr="00B736F3">
        <w:rPr>
          <w:iCs/>
          <w:lang w:eastAsia="es-ES"/>
        </w:rPr>
        <w:t>De la revisión del numeral 1.3 del Capítulo II de la Sección Específica de las Bases, se advierte que la Entidad indica el límite superior del valor referencial sin IGV.</w:t>
      </w:r>
    </w:p>
    <w:p w:rsidR="00B9363F" w:rsidRPr="00B736F3" w:rsidRDefault="00B9363F" w:rsidP="00B9363F">
      <w:pPr>
        <w:widowControl w:val="0"/>
        <w:tabs>
          <w:tab w:val="left" w:pos="0"/>
        </w:tabs>
        <w:jc w:val="both"/>
        <w:rPr>
          <w:iCs/>
          <w:lang w:eastAsia="es-ES"/>
        </w:rPr>
      </w:pPr>
    </w:p>
    <w:p w:rsidR="00211C9A" w:rsidRDefault="00B9363F" w:rsidP="00B9363F">
      <w:pPr>
        <w:widowControl w:val="0"/>
        <w:tabs>
          <w:tab w:val="left" w:pos="0"/>
        </w:tabs>
        <w:jc w:val="both"/>
        <w:rPr>
          <w:iCs/>
          <w:lang w:eastAsia="es-ES"/>
        </w:rPr>
      </w:pPr>
      <w:r w:rsidRPr="00B736F3">
        <w:rPr>
          <w:iCs/>
          <w:lang w:eastAsia="es-ES"/>
        </w:rPr>
        <w:t>Al respecto, de la revisión de la Ley N° 27037, Ley de Promoción de la Inversión en la Amazonía, se advertiría que la</w:t>
      </w:r>
      <w:r>
        <w:rPr>
          <w:iCs/>
          <w:lang w:eastAsia="es-ES"/>
        </w:rPr>
        <w:t xml:space="preserve"> prestación del servicio </w:t>
      </w:r>
      <w:r w:rsidRPr="00B736F3">
        <w:rPr>
          <w:iCs/>
          <w:lang w:eastAsia="es-ES"/>
        </w:rPr>
        <w:t>no se ejecutará dentro del ámbito de aplicación de dicha norma; por lo tanto, la Entidad deberá realizar las verificaciones correspondientes y, de ser el caso, suprimir la referencia a los límites del valor referencial sin IGV.</w:t>
      </w:r>
    </w:p>
    <w:p w:rsidR="00B9363F" w:rsidRDefault="00B9363F" w:rsidP="00B9363F">
      <w:pPr>
        <w:widowControl w:val="0"/>
        <w:tabs>
          <w:tab w:val="left" w:pos="0"/>
        </w:tabs>
        <w:jc w:val="both"/>
        <w:rPr>
          <w:iCs/>
          <w:lang w:eastAsia="es-ES"/>
        </w:rPr>
      </w:pPr>
    </w:p>
    <w:p w:rsidR="00B9363F" w:rsidRPr="00B51D54" w:rsidRDefault="00B9363F" w:rsidP="00B9363F">
      <w:pPr>
        <w:widowControl w:val="0"/>
        <w:numPr>
          <w:ilvl w:val="1"/>
          <w:numId w:val="10"/>
        </w:numPr>
        <w:ind w:right="-1" w:hanging="682"/>
        <w:jc w:val="both"/>
        <w:rPr>
          <w:b/>
        </w:rPr>
      </w:pPr>
      <w:r w:rsidRPr="00B51D54">
        <w:rPr>
          <w:b/>
        </w:rPr>
        <w:t>Modificaciones al Reglamento derivadas de la entrada en vigencia del Decreto Supremo Nº 080-2014-EF</w:t>
      </w:r>
      <w:r w:rsidRPr="00B51D54">
        <w:rPr>
          <w:rStyle w:val="Refdenotaalpie"/>
          <w:rFonts w:eastAsia="MS Mincho"/>
          <w:b/>
        </w:rPr>
        <w:footnoteReference w:id="2"/>
      </w:r>
      <w:r w:rsidRPr="00B51D54">
        <w:rPr>
          <w:b/>
        </w:rPr>
        <w:t xml:space="preserve"> </w:t>
      </w:r>
    </w:p>
    <w:p w:rsidR="00B9363F" w:rsidRPr="00B51D54" w:rsidRDefault="00B9363F" w:rsidP="00B9363F">
      <w:pPr>
        <w:pStyle w:val="Textoindependiente2"/>
        <w:tabs>
          <w:tab w:val="left" w:pos="284"/>
          <w:tab w:val="left" w:pos="426"/>
          <w:tab w:val="left" w:pos="540"/>
        </w:tabs>
        <w:spacing w:after="0" w:line="240" w:lineRule="auto"/>
        <w:ind w:left="360"/>
        <w:rPr>
          <w:b/>
          <w:lang w:val="es-PE"/>
        </w:rPr>
      </w:pPr>
    </w:p>
    <w:p w:rsidR="00B9363F" w:rsidRPr="00B51D54" w:rsidRDefault="00B9363F" w:rsidP="00B9363F">
      <w:pPr>
        <w:widowControl w:val="0"/>
        <w:tabs>
          <w:tab w:val="left" w:pos="540"/>
        </w:tabs>
        <w:jc w:val="both"/>
      </w:pPr>
      <w:r w:rsidRPr="00B51D54">
        <w:t xml:space="preserve">De conformidad con el Decreto Supremo N° 080-2014-EF, que modifica el Reglamento </w:t>
      </w:r>
      <w:r w:rsidRPr="00B51D54">
        <w:lastRenderedPageBreak/>
        <w:t>de la Ley de Contrataciones del estado, deberá adecuarse las siguientes secciones de las Bases:</w:t>
      </w:r>
    </w:p>
    <w:p w:rsidR="00B9363F" w:rsidRPr="00B51D54" w:rsidRDefault="00B9363F" w:rsidP="00B9363F">
      <w:pPr>
        <w:pStyle w:val="Textoindependiente2"/>
        <w:tabs>
          <w:tab w:val="left" w:pos="284"/>
          <w:tab w:val="left" w:pos="426"/>
          <w:tab w:val="left" w:pos="540"/>
        </w:tabs>
        <w:spacing w:after="0" w:line="240" w:lineRule="auto"/>
        <w:rPr>
          <w:b/>
          <w:lang w:val="es-PE"/>
        </w:rPr>
      </w:pPr>
    </w:p>
    <w:p w:rsidR="00B9363F" w:rsidRPr="00B51D54" w:rsidRDefault="00B9363F" w:rsidP="00B9363F">
      <w:pPr>
        <w:widowControl w:val="0"/>
        <w:numPr>
          <w:ilvl w:val="0"/>
          <w:numId w:val="19"/>
        </w:numPr>
        <w:tabs>
          <w:tab w:val="left" w:pos="540"/>
        </w:tabs>
        <w:ind w:left="720"/>
        <w:jc w:val="both"/>
        <w:rPr>
          <w:u w:val="single"/>
          <w:lang w:val="es-ES"/>
        </w:rPr>
      </w:pPr>
      <w:r w:rsidRPr="00B51D54">
        <w:rPr>
          <w:u w:val="single"/>
          <w:lang w:val="es-ES"/>
        </w:rPr>
        <w:t>Traducción de la documentación presentada en idioma distinto al castellano:</w:t>
      </w:r>
    </w:p>
    <w:p w:rsidR="00B9363F" w:rsidRPr="00B51D54" w:rsidRDefault="00B9363F" w:rsidP="00B9363F">
      <w:pPr>
        <w:widowControl w:val="0"/>
        <w:tabs>
          <w:tab w:val="left" w:pos="540"/>
        </w:tabs>
        <w:ind w:left="540"/>
        <w:jc w:val="both"/>
      </w:pPr>
      <w:r w:rsidRPr="00B51D54">
        <w:rPr>
          <w:b/>
        </w:rPr>
        <w:t>Deberá suprimirse</w:t>
      </w:r>
      <w:r w:rsidRPr="00B51D54">
        <w:t xml:space="preserve"> lo consignado en el literal e) de los requisitos para la suscripción del contrato, del Capítulo II de la Sección Específica, referido a la traducción oficial efectuada por traductor público juramentado. </w:t>
      </w:r>
    </w:p>
    <w:p w:rsidR="00B9363F" w:rsidRPr="00041A3A" w:rsidRDefault="00B9363F" w:rsidP="00B9363F">
      <w:pPr>
        <w:pStyle w:val="Textoindependiente2"/>
        <w:widowControl w:val="0"/>
        <w:tabs>
          <w:tab w:val="left" w:pos="0"/>
          <w:tab w:val="left" w:pos="284"/>
        </w:tabs>
        <w:spacing w:after="0" w:line="240" w:lineRule="auto"/>
        <w:ind w:left="1560"/>
        <w:jc w:val="both"/>
        <w:rPr>
          <w:b/>
          <w:u w:val="single"/>
          <w:lang w:val="es-ES_tradnl"/>
        </w:rPr>
      </w:pPr>
    </w:p>
    <w:p w:rsidR="00B9363F" w:rsidRPr="00BA7577" w:rsidRDefault="00B9363F" w:rsidP="00B9363F">
      <w:pPr>
        <w:widowControl w:val="0"/>
        <w:numPr>
          <w:ilvl w:val="1"/>
          <w:numId w:val="10"/>
        </w:numPr>
        <w:ind w:right="-1" w:hanging="682"/>
        <w:jc w:val="both"/>
        <w:rPr>
          <w:bCs/>
          <w:lang w:val="es-ES"/>
        </w:rPr>
      </w:pPr>
      <w:r w:rsidRPr="00BA7577">
        <w:rPr>
          <w:b/>
          <w:color w:val="000000"/>
          <w:lang w:eastAsia="es-ES"/>
        </w:rPr>
        <w:t>Requisitos para la suscripción del contrato</w:t>
      </w:r>
    </w:p>
    <w:p w:rsidR="00B9363F" w:rsidRPr="00BA7577" w:rsidRDefault="00B9363F" w:rsidP="00B9363F">
      <w:pPr>
        <w:tabs>
          <w:tab w:val="left" w:pos="0"/>
        </w:tabs>
        <w:autoSpaceDE w:val="0"/>
        <w:autoSpaceDN w:val="0"/>
        <w:adjustRightInd w:val="0"/>
        <w:rPr>
          <w:color w:val="000000"/>
          <w:lang w:eastAsia="es-PE"/>
        </w:rPr>
      </w:pPr>
    </w:p>
    <w:p w:rsidR="00B9363F" w:rsidRDefault="00B9363F" w:rsidP="00B9363F">
      <w:pPr>
        <w:tabs>
          <w:tab w:val="left" w:pos="0"/>
        </w:tabs>
        <w:autoSpaceDE w:val="0"/>
        <w:autoSpaceDN w:val="0"/>
        <w:adjustRightInd w:val="0"/>
        <w:jc w:val="both"/>
        <w:rPr>
          <w:rFonts w:eastAsia="MS Mincho"/>
          <w:lang w:val="es-ES" w:eastAsia="es-PE"/>
        </w:rPr>
      </w:pPr>
      <w:r w:rsidRPr="00BA7577">
        <w:rPr>
          <w:rFonts w:eastAsia="MS Mincho"/>
          <w:lang w:val="es-ES" w:eastAsia="es-PE"/>
        </w:rPr>
        <w:t>En la medida que se ha precisado en el numeral 2</w:t>
      </w:r>
      <w:r>
        <w:rPr>
          <w:rFonts w:eastAsia="MS Mincho"/>
          <w:lang w:val="es-ES" w:eastAsia="es-PE"/>
        </w:rPr>
        <w:t>.6</w:t>
      </w:r>
      <w:r w:rsidRPr="00BA7577">
        <w:rPr>
          <w:rFonts w:eastAsia="MS Mincho"/>
          <w:lang w:val="es-ES" w:eastAsia="es-PE"/>
        </w:rPr>
        <w:t xml:space="preserve"> del Capítulo II de la Sección Específica de las Bases que </w:t>
      </w:r>
      <w:r w:rsidRPr="00BA7577">
        <w:rPr>
          <w:rFonts w:eastAsia="MS Mincho"/>
          <w:i/>
          <w:lang w:val="es-ES" w:eastAsia="es-PE"/>
        </w:rPr>
        <w:t>“Adicionalmente, puede considerarse otro tipo de documentación a ser presentada, tales como (…)”,</w:t>
      </w:r>
      <w:r w:rsidRPr="00BA7577">
        <w:rPr>
          <w:rFonts w:eastAsia="MS Mincho"/>
          <w:lang w:val="es-ES" w:eastAsia="es-PE"/>
        </w:rPr>
        <w:t xml:space="preserve"> lo cual resultaría ser impreciso; con ocasión de la integración de las Bases, </w:t>
      </w:r>
      <w:r w:rsidRPr="0002721A">
        <w:rPr>
          <w:rFonts w:eastAsia="MS Mincho"/>
          <w:b/>
          <w:u w:val="single"/>
          <w:lang w:val="es-ES" w:eastAsia="es-PE"/>
        </w:rPr>
        <w:t>se recomienda</w:t>
      </w:r>
      <w:r w:rsidRPr="00BA7577">
        <w:rPr>
          <w:rFonts w:eastAsia="MS Mincho"/>
          <w:lang w:val="es-ES" w:eastAsia="es-PE"/>
        </w:rPr>
        <w:t xml:space="preserve"> suprimir dicha frase.</w:t>
      </w:r>
    </w:p>
    <w:p w:rsidR="00B9363F" w:rsidRDefault="00B9363F" w:rsidP="00B9363F">
      <w:pPr>
        <w:tabs>
          <w:tab w:val="left" w:pos="0"/>
        </w:tabs>
        <w:autoSpaceDE w:val="0"/>
        <w:autoSpaceDN w:val="0"/>
        <w:adjustRightInd w:val="0"/>
        <w:jc w:val="both"/>
        <w:rPr>
          <w:rFonts w:eastAsia="MS Mincho"/>
          <w:lang w:val="es-ES" w:eastAsia="es-PE"/>
        </w:rPr>
      </w:pPr>
    </w:p>
    <w:p w:rsidR="00C77276" w:rsidRPr="00362812" w:rsidRDefault="00C77276" w:rsidP="009A2BA7">
      <w:pPr>
        <w:pStyle w:val="Textoindependiente2"/>
        <w:widowControl w:val="0"/>
        <w:numPr>
          <w:ilvl w:val="0"/>
          <w:numId w:val="1"/>
        </w:numPr>
        <w:tabs>
          <w:tab w:val="clear" w:pos="360"/>
          <w:tab w:val="num" w:pos="567"/>
        </w:tabs>
        <w:spacing w:after="0" w:line="240" w:lineRule="auto"/>
        <w:ind w:left="567" w:hanging="567"/>
        <w:jc w:val="both"/>
        <w:rPr>
          <w:b/>
        </w:rPr>
      </w:pPr>
      <w:r w:rsidRPr="00362812">
        <w:rPr>
          <w:b/>
          <w:lang w:val="es-PE"/>
        </w:rPr>
        <w:t>CONCLUSIONES</w:t>
      </w:r>
    </w:p>
    <w:p w:rsidR="00C77276" w:rsidRPr="00362812" w:rsidRDefault="00C77276" w:rsidP="00C77276">
      <w:pPr>
        <w:widowControl w:val="0"/>
        <w:jc w:val="both"/>
        <w:rPr>
          <w:snapToGrid w:val="0"/>
          <w:color w:val="FF0000"/>
        </w:rPr>
      </w:pPr>
    </w:p>
    <w:p w:rsidR="00C77276" w:rsidRPr="00362812" w:rsidRDefault="00C77276" w:rsidP="00C77276">
      <w:pPr>
        <w:widowControl w:val="0"/>
        <w:numPr>
          <w:ilvl w:val="1"/>
          <w:numId w:val="2"/>
        </w:numPr>
        <w:ind w:left="567" w:hanging="567"/>
        <w:jc w:val="both"/>
      </w:pPr>
      <w:r w:rsidRPr="00362812">
        <w:rPr>
          <w:snapToGrid w:val="0"/>
        </w:rPr>
        <w:t xml:space="preserve">El </w:t>
      </w:r>
      <w:r w:rsidRPr="00362812">
        <w:rPr>
          <w:color w:val="000000"/>
          <w:lang w:val="es-ES" w:eastAsia="es-ES"/>
        </w:rPr>
        <w:t>Comité Especial deberá cumplir con lo dispuesto por este Organismo Supervisor al absolver las observaciones indicadas en el numeral 2 del presente Pronunciamiento.</w:t>
      </w:r>
    </w:p>
    <w:p w:rsidR="00C77276" w:rsidRPr="00362812" w:rsidRDefault="00C77276" w:rsidP="00C77276">
      <w:pPr>
        <w:widowControl w:val="0"/>
        <w:jc w:val="both"/>
      </w:pPr>
    </w:p>
    <w:p w:rsidR="00C77276" w:rsidRPr="00362812" w:rsidRDefault="00C77276" w:rsidP="00C77276">
      <w:pPr>
        <w:widowControl w:val="0"/>
        <w:numPr>
          <w:ilvl w:val="1"/>
          <w:numId w:val="2"/>
        </w:numPr>
        <w:ind w:left="567" w:hanging="567"/>
        <w:jc w:val="both"/>
      </w:pPr>
      <w:r w:rsidRPr="00362812">
        <w:rPr>
          <w:iCs/>
          <w:color w:val="000000"/>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C77276" w:rsidRPr="00362812" w:rsidRDefault="00C77276" w:rsidP="00C77276">
      <w:pPr>
        <w:widowControl w:val="0"/>
        <w:jc w:val="both"/>
        <w:rPr>
          <w:iCs/>
          <w:color w:val="000000"/>
        </w:rPr>
      </w:pPr>
    </w:p>
    <w:p w:rsidR="00C77276" w:rsidRPr="00362812" w:rsidRDefault="00C77276" w:rsidP="00C77276">
      <w:pPr>
        <w:widowControl w:val="0"/>
        <w:numPr>
          <w:ilvl w:val="1"/>
          <w:numId w:val="2"/>
        </w:numPr>
        <w:ind w:left="567" w:hanging="567"/>
        <w:jc w:val="both"/>
        <w:rPr>
          <w:iCs/>
          <w:color w:val="000000"/>
        </w:rPr>
      </w:pPr>
      <w:r w:rsidRPr="00362812">
        <w:t xml:space="preserve">Al momento de integrar las Bases el Comité Especial deberá modificar las fechas de registro de participantes, integración de Bases, presentación de propuestas y otorgamiento de la buena pro, para lo cual deberá considerar que, </w:t>
      </w:r>
      <w:r w:rsidRPr="00362812">
        <w:rPr>
          <w:iCs/>
        </w:rPr>
        <w:t>de conformidad con lo dispuesto por la Novena Disposición Complementaria Transitoria del Reglamento, en tanto se implemente en el SEACE la funcionalidad para que el registro de participantes sea electrónico</w:t>
      </w:r>
      <w:r w:rsidRPr="00362812">
        <w:t>,</w:t>
      </w:r>
      <w:r w:rsidRPr="00362812">
        <w:rPr>
          <w:iCs/>
        </w:rPr>
        <w:t xml:space="preserve"> las personas naturales y jurídicas que deseen participar en el presente proceso de selección podrán registrarse hasta un</w:t>
      </w:r>
      <w:r w:rsidRPr="00362812">
        <w:rPr>
          <w:iCs/>
          <w:color w:val="000000"/>
        </w:rPr>
        <w:t xml:space="preserve">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                     </w:t>
      </w:r>
    </w:p>
    <w:p w:rsidR="00C77276" w:rsidRPr="00362812" w:rsidRDefault="00C77276" w:rsidP="00C77276">
      <w:pPr>
        <w:pStyle w:val="Prrafodelista"/>
        <w:ind w:left="0"/>
        <w:jc w:val="both"/>
        <w:rPr>
          <w:sz w:val="24"/>
          <w:szCs w:val="24"/>
        </w:rPr>
      </w:pPr>
    </w:p>
    <w:p w:rsidR="00C77276" w:rsidRPr="00362812" w:rsidRDefault="00C77276" w:rsidP="00C77276">
      <w:pPr>
        <w:widowControl w:val="0"/>
        <w:numPr>
          <w:ilvl w:val="1"/>
          <w:numId w:val="2"/>
        </w:numPr>
        <w:ind w:left="567" w:hanging="567"/>
        <w:jc w:val="both"/>
      </w:pPr>
      <w:r w:rsidRPr="00362812">
        <w:rPr>
          <w:iCs/>
          <w:color w:val="000000"/>
        </w:rPr>
        <w:t xml:space="preserve">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w:t>
      </w:r>
      <w:r w:rsidRPr="00362812">
        <w:rPr>
          <w:iCs/>
          <w:color w:val="000000"/>
        </w:rPr>
        <w:lastRenderedPageBreak/>
        <w:t>con lo dispuesto por el artículo 59 del Reglamento.</w:t>
      </w:r>
    </w:p>
    <w:p w:rsidR="00C77276" w:rsidRPr="00362812" w:rsidRDefault="00C77276" w:rsidP="00C77276">
      <w:pPr>
        <w:widowControl w:val="0"/>
        <w:ind w:left="567"/>
        <w:jc w:val="both"/>
      </w:pPr>
    </w:p>
    <w:p w:rsidR="00C77276" w:rsidRPr="00362812" w:rsidRDefault="00C77276" w:rsidP="00C77276">
      <w:pPr>
        <w:widowControl w:val="0"/>
        <w:numPr>
          <w:ilvl w:val="1"/>
          <w:numId w:val="2"/>
        </w:numPr>
        <w:ind w:left="567" w:hanging="567"/>
        <w:jc w:val="both"/>
        <w:rPr>
          <w:iCs/>
          <w:color w:val="000000"/>
        </w:rPr>
      </w:pPr>
      <w:r w:rsidRPr="00362812">
        <w:rPr>
          <w:iCs/>
          <w:color w:val="000000"/>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C77276" w:rsidRPr="00362812" w:rsidRDefault="00C77276" w:rsidP="00C77276">
      <w:pPr>
        <w:pStyle w:val="Prrafodelista"/>
        <w:tabs>
          <w:tab w:val="left" w:pos="2785"/>
        </w:tabs>
        <w:ind w:left="0"/>
        <w:jc w:val="both"/>
        <w:rPr>
          <w:iCs/>
          <w:sz w:val="24"/>
          <w:szCs w:val="24"/>
        </w:rPr>
      </w:pPr>
      <w:r w:rsidRPr="00362812">
        <w:rPr>
          <w:iCs/>
          <w:sz w:val="24"/>
          <w:szCs w:val="24"/>
        </w:rPr>
        <w:tab/>
      </w:r>
    </w:p>
    <w:p w:rsidR="00C77276" w:rsidRDefault="00C77276" w:rsidP="00C77276">
      <w:pPr>
        <w:widowControl w:val="0"/>
        <w:numPr>
          <w:ilvl w:val="1"/>
          <w:numId w:val="2"/>
        </w:numPr>
        <w:ind w:left="567" w:hanging="567"/>
        <w:jc w:val="both"/>
        <w:rPr>
          <w:iCs/>
          <w:color w:val="000000"/>
        </w:rPr>
      </w:pPr>
      <w:r w:rsidRPr="00362812">
        <w:rPr>
          <w:iCs/>
          <w:color w:val="000000"/>
        </w:rPr>
        <w:t xml:space="preserve">En caso la Entidad continúe con el proceso sin sujetarse a lo dispuesto en el presente Pronunciamiento, tal actuación constituirá un elemento a tomar en cuenta para la no emisión de </w:t>
      </w:r>
      <w:r w:rsidRPr="00362812">
        <w:rPr>
          <w:iCs/>
        </w:rPr>
        <w:t>las constancias necesarias para la suscripción del respectivo contrato;</w:t>
      </w:r>
      <w:r w:rsidRPr="00362812">
        <w:rPr>
          <w:iCs/>
          <w:color w:val="000000"/>
        </w:rPr>
        <w:t xml:space="preserve"> siendo que la dilación del proceso y los costos en los que podrían incurrir los postores y el ganador de la buena pro son de exclusiva responsabilidad de la Entidad.</w:t>
      </w:r>
    </w:p>
    <w:p w:rsidR="00FA71E9" w:rsidRDefault="00FA71E9" w:rsidP="00FA71E9">
      <w:pPr>
        <w:widowControl w:val="0"/>
        <w:jc w:val="both"/>
        <w:rPr>
          <w:iCs/>
          <w:color w:val="000000"/>
        </w:rPr>
      </w:pPr>
    </w:p>
    <w:p w:rsidR="00C77276" w:rsidRPr="00362812" w:rsidRDefault="00C77276" w:rsidP="00C77276">
      <w:pPr>
        <w:pStyle w:val="Prrafodelista"/>
        <w:widowControl w:val="0"/>
        <w:tabs>
          <w:tab w:val="left" w:pos="540"/>
        </w:tabs>
        <w:ind w:left="0"/>
        <w:jc w:val="both"/>
        <w:rPr>
          <w:b/>
          <w:sz w:val="24"/>
          <w:szCs w:val="24"/>
          <w:lang w:val="es-MX"/>
        </w:rPr>
      </w:pPr>
    </w:p>
    <w:p w:rsidR="00C77276" w:rsidRPr="00362812" w:rsidRDefault="00C77276" w:rsidP="00C77276">
      <w:pPr>
        <w:widowControl w:val="0"/>
        <w:jc w:val="right"/>
      </w:pPr>
      <w:r w:rsidRPr="00362812">
        <w:t xml:space="preserve">               Jesús María, </w:t>
      </w:r>
      <w:r w:rsidR="00ED4349">
        <w:t>04 de enero del 2016</w:t>
      </w:r>
    </w:p>
    <w:p w:rsidR="00C77276" w:rsidRPr="00362812" w:rsidRDefault="00C77276" w:rsidP="00C77276">
      <w:pPr>
        <w:keepNext/>
        <w:keepLines/>
        <w:widowControl w:val="0"/>
        <w:tabs>
          <w:tab w:val="left" w:pos="2660"/>
        </w:tabs>
        <w:jc w:val="center"/>
        <w:rPr>
          <w:b/>
          <w:color w:val="000000"/>
          <w:lang w:val="es-PE" w:eastAsia="es-PE"/>
        </w:rPr>
      </w:pPr>
    </w:p>
    <w:p w:rsidR="0025607E" w:rsidRPr="00362812" w:rsidRDefault="0025607E" w:rsidP="00C77276">
      <w:pPr>
        <w:keepNext/>
        <w:keepLines/>
        <w:widowControl w:val="0"/>
        <w:tabs>
          <w:tab w:val="left" w:pos="2660"/>
        </w:tabs>
        <w:jc w:val="center"/>
        <w:rPr>
          <w:b/>
          <w:color w:val="000000"/>
          <w:lang w:val="es-PE" w:eastAsia="es-PE"/>
        </w:rPr>
      </w:pPr>
    </w:p>
    <w:p w:rsidR="00C77276" w:rsidRPr="00362812" w:rsidRDefault="00C77276" w:rsidP="007637B9">
      <w:pPr>
        <w:widowControl w:val="0"/>
        <w:tabs>
          <w:tab w:val="left" w:pos="4536"/>
          <w:tab w:val="left" w:pos="4678"/>
          <w:tab w:val="center" w:pos="5954"/>
        </w:tabs>
        <w:ind w:left="1134" w:firstLine="709"/>
        <w:rPr>
          <w:b/>
          <w:bCs/>
          <w:lang w:val="es-ES_tradnl"/>
        </w:rPr>
      </w:pPr>
      <w:r w:rsidRPr="00362812">
        <w:rPr>
          <w:b/>
          <w:bCs/>
          <w:lang w:val="es-ES_tradnl"/>
        </w:rPr>
        <w:t xml:space="preserve">Elaborado:                         </w:t>
      </w:r>
      <w:r w:rsidR="0025607E" w:rsidRPr="00362812">
        <w:rPr>
          <w:b/>
          <w:bCs/>
          <w:lang w:val="es-ES_tradnl"/>
        </w:rPr>
        <w:t>Luigi Espinoza Mellado</w:t>
      </w:r>
    </w:p>
    <w:p w:rsidR="0025607E" w:rsidRPr="00362812" w:rsidRDefault="00C77276" w:rsidP="007637B9">
      <w:pPr>
        <w:widowControl w:val="0"/>
        <w:tabs>
          <w:tab w:val="left" w:pos="4536"/>
          <w:tab w:val="center" w:pos="5954"/>
        </w:tabs>
        <w:ind w:left="1134" w:firstLine="709"/>
        <w:rPr>
          <w:b/>
          <w:bCs/>
          <w:lang w:val="es-ES_tradnl"/>
        </w:rPr>
      </w:pPr>
      <w:r w:rsidRPr="00362812">
        <w:rPr>
          <w:b/>
          <w:bCs/>
          <w:lang w:val="es-ES_tradnl"/>
        </w:rPr>
        <w:t xml:space="preserve">Supervisado:                      </w:t>
      </w:r>
      <w:r w:rsidR="0025607E" w:rsidRPr="00362812">
        <w:rPr>
          <w:b/>
          <w:iCs/>
        </w:rPr>
        <w:t>Pamela Hawkins Tacchino</w:t>
      </w:r>
    </w:p>
    <w:p w:rsidR="00C77276" w:rsidRPr="00362812" w:rsidRDefault="00C77276" w:rsidP="007637B9">
      <w:pPr>
        <w:widowControl w:val="0"/>
        <w:tabs>
          <w:tab w:val="left" w:pos="4678"/>
          <w:tab w:val="center" w:pos="5954"/>
        </w:tabs>
        <w:ind w:left="1134" w:firstLine="709"/>
        <w:rPr>
          <w:b/>
          <w:bCs/>
          <w:lang w:val="es-ES_tradnl"/>
        </w:rPr>
      </w:pPr>
      <w:r w:rsidRPr="00362812">
        <w:rPr>
          <w:b/>
          <w:bCs/>
          <w:lang w:val="es-ES_tradnl"/>
        </w:rPr>
        <w:t>Valid</w:t>
      </w:r>
      <w:r w:rsidR="007637B9">
        <w:rPr>
          <w:b/>
          <w:bCs/>
          <w:lang w:val="es-ES_tradnl"/>
        </w:rPr>
        <w:t>ado:                            L</w:t>
      </w:r>
      <w:r w:rsidRPr="00362812">
        <w:rPr>
          <w:b/>
          <w:bCs/>
          <w:lang w:val="es-ES_tradnl"/>
        </w:rPr>
        <w:t xml:space="preserve">aura Gutierrez Gonzales </w:t>
      </w:r>
    </w:p>
    <w:p w:rsidR="00C77276" w:rsidRPr="00362812" w:rsidRDefault="00C77276" w:rsidP="00C77276">
      <w:pPr>
        <w:keepNext/>
        <w:keepLines/>
        <w:widowControl w:val="0"/>
        <w:tabs>
          <w:tab w:val="left" w:pos="2660"/>
        </w:tabs>
        <w:jc w:val="center"/>
        <w:rPr>
          <w:b/>
          <w:color w:val="000000"/>
          <w:lang w:val="es-PE" w:eastAsia="es-PE"/>
        </w:rPr>
      </w:pPr>
    </w:p>
    <w:p w:rsidR="00C77276" w:rsidRPr="00362812" w:rsidRDefault="00C77276" w:rsidP="00C77276">
      <w:pPr>
        <w:keepNext/>
        <w:keepLines/>
        <w:widowControl w:val="0"/>
        <w:tabs>
          <w:tab w:val="left" w:pos="2660"/>
        </w:tabs>
        <w:jc w:val="center"/>
        <w:rPr>
          <w:b/>
          <w:color w:val="000000"/>
          <w:lang w:val="es-PE" w:eastAsia="es-PE"/>
        </w:rPr>
      </w:pPr>
    </w:p>
    <w:p w:rsidR="0025607E" w:rsidRDefault="0025607E" w:rsidP="00C77276">
      <w:pPr>
        <w:keepNext/>
        <w:keepLines/>
        <w:widowControl w:val="0"/>
        <w:tabs>
          <w:tab w:val="left" w:pos="2660"/>
        </w:tabs>
        <w:jc w:val="center"/>
        <w:rPr>
          <w:b/>
          <w:color w:val="000000"/>
          <w:lang w:val="es-PE" w:eastAsia="es-PE"/>
        </w:rPr>
      </w:pPr>
    </w:p>
    <w:p w:rsidR="00ED4349" w:rsidRPr="00362812" w:rsidRDefault="00ED4349" w:rsidP="00C77276">
      <w:pPr>
        <w:keepNext/>
        <w:keepLines/>
        <w:widowControl w:val="0"/>
        <w:tabs>
          <w:tab w:val="left" w:pos="2660"/>
        </w:tabs>
        <w:jc w:val="center"/>
        <w:rPr>
          <w:b/>
          <w:color w:val="000000"/>
          <w:lang w:val="es-PE" w:eastAsia="es-PE"/>
        </w:rPr>
      </w:pPr>
    </w:p>
    <w:p w:rsidR="0025607E" w:rsidRPr="00362812" w:rsidRDefault="0025607E" w:rsidP="0025607E">
      <w:pPr>
        <w:keepNext/>
        <w:keepLines/>
        <w:widowControl w:val="0"/>
        <w:tabs>
          <w:tab w:val="left" w:pos="2660"/>
        </w:tabs>
        <w:ind w:right="-1"/>
        <w:jc w:val="center"/>
        <w:rPr>
          <w:b/>
        </w:rPr>
      </w:pPr>
      <w:r w:rsidRPr="00362812">
        <w:rPr>
          <w:b/>
        </w:rPr>
        <w:t>PATRICIA ALARCÓN ALVIZURI</w:t>
      </w:r>
    </w:p>
    <w:p w:rsidR="0025607E" w:rsidRPr="00362812" w:rsidRDefault="0025607E" w:rsidP="0025607E">
      <w:pPr>
        <w:keepNext/>
        <w:keepLines/>
        <w:widowControl w:val="0"/>
        <w:tabs>
          <w:tab w:val="left" w:pos="2660"/>
        </w:tabs>
        <w:ind w:right="-1"/>
        <w:jc w:val="center"/>
        <w:rPr>
          <w:b/>
        </w:rPr>
      </w:pPr>
      <w:r w:rsidRPr="00362812">
        <w:rPr>
          <w:b/>
        </w:rPr>
        <w:t>Directora de  Supervisión</w:t>
      </w:r>
    </w:p>
    <w:p w:rsidR="00C77276" w:rsidRPr="00362812" w:rsidRDefault="00C77276" w:rsidP="00C77276">
      <w:pPr>
        <w:widowControl w:val="0"/>
        <w:jc w:val="both"/>
      </w:pPr>
    </w:p>
    <w:p w:rsidR="0025607E" w:rsidRPr="00362812" w:rsidRDefault="0025607E" w:rsidP="00C77276">
      <w:pPr>
        <w:widowControl w:val="0"/>
        <w:jc w:val="both"/>
      </w:pPr>
    </w:p>
    <w:p w:rsidR="0025607E" w:rsidRPr="00362812" w:rsidRDefault="0025607E" w:rsidP="00C77276">
      <w:pPr>
        <w:widowControl w:val="0"/>
        <w:jc w:val="both"/>
      </w:pPr>
    </w:p>
    <w:p w:rsidR="00D765D4" w:rsidRPr="00362812" w:rsidRDefault="0025607E" w:rsidP="002B771B">
      <w:pPr>
        <w:widowControl w:val="0"/>
        <w:jc w:val="both"/>
      </w:pPr>
      <w:r w:rsidRPr="00362812">
        <w:t>LEM/.</w:t>
      </w:r>
    </w:p>
    <w:sectPr w:rsidR="00D765D4" w:rsidRPr="00362812" w:rsidSect="003B760A">
      <w:headerReference w:type="default" r:id="rId10"/>
      <w:pgSz w:w="12240" w:h="15840"/>
      <w:pgMar w:top="1702" w:right="1750" w:bottom="1560" w:left="184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0650" w:rsidRDefault="008F0650" w:rsidP="00197ADF">
      <w:r>
        <w:separator/>
      </w:r>
    </w:p>
  </w:endnote>
  <w:endnote w:type="continuationSeparator" w:id="1">
    <w:p w:rsidR="008F0650" w:rsidRDefault="008F0650" w:rsidP="00197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altName w:val="Corbel"/>
    <w:charset w:val="00"/>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0650" w:rsidRDefault="008F0650" w:rsidP="00197ADF">
      <w:r>
        <w:separator/>
      </w:r>
    </w:p>
  </w:footnote>
  <w:footnote w:type="continuationSeparator" w:id="1">
    <w:p w:rsidR="008F0650" w:rsidRDefault="008F0650" w:rsidP="00197ADF">
      <w:r>
        <w:continuationSeparator/>
      </w:r>
    </w:p>
  </w:footnote>
  <w:footnote w:id="2">
    <w:p w:rsidR="008F0650" w:rsidRPr="00F07310" w:rsidRDefault="008F0650" w:rsidP="00B9363F">
      <w:pPr>
        <w:pStyle w:val="Textonotapie"/>
      </w:pPr>
      <w:r w:rsidRPr="00F07310">
        <w:rPr>
          <w:rStyle w:val="Refdenotaalpie"/>
          <w:rFonts w:eastAsia="MS Mincho"/>
        </w:rPr>
        <w:footnoteRef/>
      </w:r>
      <w:r w:rsidRPr="00F07310">
        <w:t xml:space="preserve"> Publicado en el Diario Oficial “El Peruano” el 22.04.14.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650" w:rsidRDefault="004F67C1">
    <w:pPr>
      <w:pStyle w:val="Encabezado"/>
      <w:jc w:val="center"/>
    </w:pPr>
    <w:fldSimple w:instr=" PAGE   \* MERGEFORMAT ">
      <w:r w:rsidR="00F36CAA">
        <w:rPr>
          <w:noProof/>
        </w:rPr>
        <w:t>11</w:t>
      </w:r>
    </w:fldSimple>
  </w:p>
  <w:p w:rsidR="008F0650" w:rsidRDefault="008F065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7111B"/>
    <w:multiLevelType w:val="hybridMultilevel"/>
    <w:tmpl w:val="E094353E"/>
    <w:lvl w:ilvl="0" w:tplc="D340FADE">
      <w:start w:val="1"/>
      <w:numFmt w:val="lowerLetter"/>
      <w:lvlText w:val="%1)"/>
      <w:lvlJc w:val="left"/>
      <w:pPr>
        <w:ind w:left="1070" w:hanging="360"/>
      </w:pPr>
      <w:rPr>
        <w:rFonts w:cs="Times New Roman"/>
        <w:b w:val="0"/>
      </w:rPr>
    </w:lvl>
    <w:lvl w:ilvl="1" w:tplc="0C0A0019">
      <w:start w:val="1"/>
      <w:numFmt w:val="lowerLetter"/>
      <w:lvlText w:val="%2."/>
      <w:lvlJc w:val="left"/>
      <w:pPr>
        <w:ind w:left="1790" w:hanging="360"/>
      </w:pPr>
      <w:rPr>
        <w:rFonts w:cs="Times New Roman"/>
      </w:rPr>
    </w:lvl>
    <w:lvl w:ilvl="2" w:tplc="0C0A001B" w:tentative="1">
      <w:start w:val="1"/>
      <w:numFmt w:val="lowerRoman"/>
      <w:lvlText w:val="%3."/>
      <w:lvlJc w:val="right"/>
      <w:pPr>
        <w:ind w:left="2510" w:hanging="180"/>
      </w:pPr>
      <w:rPr>
        <w:rFonts w:cs="Times New Roman"/>
      </w:rPr>
    </w:lvl>
    <w:lvl w:ilvl="3" w:tplc="0C0A000F" w:tentative="1">
      <w:start w:val="1"/>
      <w:numFmt w:val="decimal"/>
      <w:lvlText w:val="%4."/>
      <w:lvlJc w:val="left"/>
      <w:pPr>
        <w:ind w:left="3230" w:hanging="360"/>
      </w:pPr>
      <w:rPr>
        <w:rFonts w:cs="Times New Roman"/>
      </w:rPr>
    </w:lvl>
    <w:lvl w:ilvl="4" w:tplc="0C0A0019" w:tentative="1">
      <w:start w:val="1"/>
      <w:numFmt w:val="lowerLetter"/>
      <w:lvlText w:val="%5."/>
      <w:lvlJc w:val="left"/>
      <w:pPr>
        <w:ind w:left="3950" w:hanging="360"/>
      </w:pPr>
      <w:rPr>
        <w:rFonts w:cs="Times New Roman"/>
      </w:rPr>
    </w:lvl>
    <w:lvl w:ilvl="5" w:tplc="0C0A001B" w:tentative="1">
      <w:start w:val="1"/>
      <w:numFmt w:val="lowerRoman"/>
      <w:lvlText w:val="%6."/>
      <w:lvlJc w:val="right"/>
      <w:pPr>
        <w:ind w:left="4670" w:hanging="180"/>
      </w:pPr>
      <w:rPr>
        <w:rFonts w:cs="Times New Roman"/>
      </w:rPr>
    </w:lvl>
    <w:lvl w:ilvl="6" w:tplc="0C0A000F" w:tentative="1">
      <w:start w:val="1"/>
      <w:numFmt w:val="decimal"/>
      <w:lvlText w:val="%7."/>
      <w:lvlJc w:val="left"/>
      <w:pPr>
        <w:ind w:left="5390" w:hanging="360"/>
      </w:pPr>
      <w:rPr>
        <w:rFonts w:cs="Times New Roman"/>
      </w:rPr>
    </w:lvl>
    <w:lvl w:ilvl="7" w:tplc="0C0A0019" w:tentative="1">
      <w:start w:val="1"/>
      <w:numFmt w:val="lowerLetter"/>
      <w:lvlText w:val="%8."/>
      <w:lvlJc w:val="left"/>
      <w:pPr>
        <w:ind w:left="6110" w:hanging="360"/>
      </w:pPr>
      <w:rPr>
        <w:rFonts w:cs="Times New Roman"/>
      </w:rPr>
    </w:lvl>
    <w:lvl w:ilvl="8" w:tplc="0C0A001B" w:tentative="1">
      <w:start w:val="1"/>
      <w:numFmt w:val="lowerRoman"/>
      <w:lvlText w:val="%9."/>
      <w:lvlJc w:val="right"/>
      <w:pPr>
        <w:ind w:left="6830" w:hanging="180"/>
      </w:pPr>
      <w:rPr>
        <w:rFonts w:cs="Times New Roman"/>
      </w:rPr>
    </w:lvl>
  </w:abstractNum>
  <w:abstractNum w:abstractNumId="1">
    <w:nsid w:val="081F3E46"/>
    <w:multiLevelType w:val="hybridMultilevel"/>
    <w:tmpl w:val="984066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AC61022"/>
    <w:multiLevelType w:val="hybridMultilevel"/>
    <w:tmpl w:val="38EE822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3">
    <w:nsid w:val="1098437F"/>
    <w:multiLevelType w:val="hybridMultilevel"/>
    <w:tmpl w:val="845E785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119E0C03"/>
    <w:multiLevelType w:val="hybridMultilevel"/>
    <w:tmpl w:val="1A1E65BE"/>
    <w:lvl w:ilvl="0" w:tplc="F1BC6390">
      <w:start w:val="1"/>
      <w:numFmt w:val="decimal"/>
      <w:lvlText w:val="3.9.%1."/>
      <w:lvlJc w:val="left"/>
      <w:pPr>
        <w:ind w:left="1437"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nsid w:val="169E6592"/>
    <w:multiLevelType w:val="hybridMultilevel"/>
    <w:tmpl w:val="DDE4226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191152C4"/>
    <w:multiLevelType w:val="multilevel"/>
    <w:tmpl w:val="C624F06E"/>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A86489B"/>
    <w:multiLevelType w:val="hybridMultilevel"/>
    <w:tmpl w:val="3412F07C"/>
    <w:lvl w:ilvl="0" w:tplc="AB046804">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ABD0293"/>
    <w:multiLevelType w:val="hybridMultilevel"/>
    <w:tmpl w:val="06DCA6E6"/>
    <w:lvl w:ilvl="0" w:tplc="280A000B">
      <w:start w:val="1"/>
      <w:numFmt w:val="bullet"/>
      <w:lvlText w:val=""/>
      <w:lvlJc w:val="left"/>
      <w:pPr>
        <w:ind w:left="717" w:hanging="360"/>
      </w:pPr>
      <w:rPr>
        <w:rFonts w:ascii="Wingdings" w:hAnsi="Wingdings" w:hint="default"/>
      </w:rPr>
    </w:lvl>
    <w:lvl w:ilvl="1" w:tplc="280A0003" w:tentative="1">
      <w:start w:val="1"/>
      <w:numFmt w:val="bullet"/>
      <w:lvlText w:val="o"/>
      <w:lvlJc w:val="left"/>
      <w:pPr>
        <w:ind w:left="1437" w:hanging="360"/>
      </w:pPr>
      <w:rPr>
        <w:rFonts w:ascii="Courier New" w:hAnsi="Courier New" w:cs="Courier New" w:hint="default"/>
      </w:rPr>
    </w:lvl>
    <w:lvl w:ilvl="2" w:tplc="280A0005" w:tentative="1">
      <w:start w:val="1"/>
      <w:numFmt w:val="bullet"/>
      <w:lvlText w:val=""/>
      <w:lvlJc w:val="left"/>
      <w:pPr>
        <w:ind w:left="2157" w:hanging="360"/>
      </w:pPr>
      <w:rPr>
        <w:rFonts w:ascii="Wingdings" w:hAnsi="Wingdings" w:hint="default"/>
      </w:rPr>
    </w:lvl>
    <w:lvl w:ilvl="3" w:tplc="280A0001" w:tentative="1">
      <w:start w:val="1"/>
      <w:numFmt w:val="bullet"/>
      <w:lvlText w:val=""/>
      <w:lvlJc w:val="left"/>
      <w:pPr>
        <w:ind w:left="2877" w:hanging="360"/>
      </w:pPr>
      <w:rPr>
        <w:rFonts w:ascii="Symbol" w:hAnsi="Symbol" w:hint="default"/>
      </w:rPr>
    </w:lvl>
    <w:lvl w:ilvl="4" w:tplc="280A0003" w:tentative="1">
      <w:start w:val="1"/>
      <w:numFmt w:val="bullet"/>
      <w:lvlText w:val="o"/>
      <w:lvlJc w:val="left"/>
      <w:pPr>
        <w:ind w:left="3597" w:hanging="360"/>
      </w:pPr>
      <w:rPr>
        <w:rFonts w:ascii="Courier New" w:hAnsi="Courier New" w:cs="Courier New" w:hint="default"/>
      </w:rPr>
    </w:lvl>
    <w:lvl w:ilvl="5" w:tplc="280A0005" w:tentative="1">
      <w:start w:val="1"/>
      <w:numFmt w:val="bullet"/>
      <w:lvlText w:val=""/>
      <w:lvlJc w:val="left"/>
      <w:pPr>
        <w:ind w:left="4317" w:hanging="360"/>
      </w:pPr>
      <w:rPr>
        <w:rFonts w:ascii="Wingdings" w:hAnsi="Wingdings" w:hint="default"/>
      </w:rPr>
    </w:lvl>
    <w:lvl w:ilvl="6" w:tplc="280A0001" w:tentative="1">
      <w:start w:val="1"/>
      <w:numFmt w:val="bullet"/>
      <w:lvlText w:val=""/>
      <w:lvlJc w:val="left"/>
      <w:pPr>
        <w:ind w:left="5037" w:hanging="360"/>
      </w:pPr>
      <w:rPr>
        <w:rFonts w:ascii="Symbol" w:hAnsi="Symbol" w:hint="default"/>
      </w:rPr>
    </w:lvl>
    <w:lvl w:ilvl="7" w:tplc="280A0003" w:tentative="1">
      <w:start w:val="1"/>
      <w:numFmt w:val="bullet"/>
      <w:lvlText w:val="o"/>
      <w:lvlJc w:val="left"/>
      <w:pPr>
        <w:ind w:left="5757" w:hanging="360"/>
      </w:pPr>
      <w:rPr>
        <w:rFonts w:ascii="Courier New" w:hAnsi="Courier New" w:cs="Courier New" w:hint="default"/>
      </w:rPr>
    </w:lvl>
    <w:lvl w:ilvl="8" w:tplc="280A0005" w:tentative="1">
      <w:start w:val="1"/>
      <w:numFmt w:val="bullet"/>
      <w:lvlText w:val=""/>
      <w:lvlJc w:val="left"/>
      <w:pPr>
        <w:ind w:left="6477" w:hanging="360"/>
      </w:pPr>
      <w:rPr>
        <w:rFonts w:ascii="Wingdings" w:hAnsi="Wingdings" w:hint="default"/>
      </w:rPr>
    </w:lvl>
  </w:abstractNum>
  <w:abstractNum w:abstractNumId="9">
    <w:nsid w:val="21FF76F1"/>
    <w:multiLevelType w:val="multilevel"/>
    <w:tmpl w:val="165AD800"/>
    <w:lvl w:ilvl="0">
      <w:start w:val="3"/>
      <w:numFmt w:val="decimal"/>
      <w:lvlText w:val="%1"/>
      <w:lvlJc w:val="left"/>
      <w:pPr>
        <w:ind w:left="360" w:hanging="360"/>
      </w:pPr>
    </w:lvl>
    <w:lvl w:ilvl="1">
      <w:start w:val="1"/>
      <w:numFmt w:val="decimal"/>
      <w:lvlText w:val="%1.%2"/>
      <w:lvlJc w:val="left"/>
      <w:pPr>
        <w:ind w:left="644"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2A0189E"/>
    <w:multiLevelType w:val="singleLevel"/>
    <w:tmpl w:val="0C0A0001"/>
    <w:lvl w:ilvl="0">
      <w:start w:val="1"/>
      <w:numFmt w:val="bullet"/>
      <w:lvlText w:val=""/>
      <w:lvlJc w:val="left"/>
      <w:pPr>
        <w:ind w:left="720" w:hanging="360"/>
      </w:pPr>
      <w:rPr>
        <w:rFonts w:ascii="Symbol" w:hAnsi="Symbol" w:hint="default"/>
      </w:rPr>
    </w:lvl>
  </w:abstractNum>
  <w:abstractNum w:abstractNumId="11">
    <w:nsid w:val="248410A0"/>
    <w:multiLevelType w:val="hybridMultilevel"/>
    <w:tmpl w:val="2C92355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27690F51"/>
    <w:multiLevelType w:val="hybridMultilevel"/>
    <w:tmpl w:val="135ABA0A"/>
    <w:lvl w:ilvl="0" w:tplc="78283BF8">
      <w:start w:val="3"/>
      <w:numFmt w:val="bullet"/>
      <w:lvlText w:val="-"/>
      <w:lvlJc w:val="left"/>
      <w:pPr>
        <w:ind w:left="720" w:hanging="360"/>
      </w:pPr>
      <w:rPr>
        <w:rFonts w:ascii="Times New Roman" w:eastAsia="Calibri" w:hAnsi="Times New Roman" w:cs="Times New Roman" w:hint="default"/>
        <w:b/>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7B579ED"/>
    <w:multiLevelType w:val="hybridMultilevel"/>
    <w:tmpl w:val="8ABA6B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2C54451C"/>
    <w:multiLevelType w:val="hybridMultilevel"/>
    <w:tmpl w:val="2D207340"/>
    <w:lvl w:ilvl="0" w:tplc="E2C40B54">
      <w:start w:val="1"/>
      <w:numFmt w:val="upperLetter"/>
      <w:lvlText w:val="%1)"/>
      <w:lvlJc w:val="left"/>
      <w:pPr>
        <w:ind w:left="1778" w:hanging="360"/>
      </w:pPr>
      <w:rPr>
        <w:rFonts w:hint="default"/>
        <w:b/>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5">
    <w:nsid w:val="2DDA505E"/>
    <w:multiLevelType w:val="hybridMultilevel"/>
    <w:tmpl w:val="B7B0666E"/>
    <w:lvl w:ilvl="0" w:tplc="2D509DFE">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3B2A045D"/>
    <w:multiLevelType w:val="hybridMultilevel"/>
    <w:tmpl w:val="0212A66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50D57D0"/>
    <w:multiLevelType w:val="hybridMultilevel"/>
    <w:tmpl w:val="FE4074AC"/>
    <w:lvl w:ilvl="0" w:tplc="8C4829DA">
      <w:start w:val="1"/>
      <w:numFmt w:val="decimal"/>
      <w:lvlText w:val="%1"/>
      <w:lvlJc w:val="left"/>
      <w:pPr>
        <w:ind w:left="2940" w:hanging="360"/>
      </w:pPr>
      <w:rPr>
        <w:rFonts w:hint="default"/>
      </w:rPr>
    </w:lvl>
    <w:lvl w:ilvl="1" w:tplc="0C0A0019" w:tentative="1">
      <w:start w:val="1"/>
      <w:numFmt w:val="lowerLetter"/>
      <w:lvlText w:val="%2."/>
      <w:lvlJc w:val="left"/>
      <w:pPr>
        <w:ind w:left="3660" w:hanging="360"/>
      </w:pPr>
    </w:lvl>
    <w:lvl w:ilvl="2" w:tplc="0C0A001B" w:tentative="1">
      <w:start w:val="1"/>
      <w:numFmt w:val="lowerRoman"/>
      <w:lvlText w:val="%3."/>
      <w:lvlJc w:val="right"/>
      <w:pPr>
        <w:ind w:left="4380" w:hanging="180"/>
      </w:pPr>
    </w:lvl>
    <w:lvl w:ilvl="3" w:tplc="0C0A000F" w:tentative="1">
      <w:start w:val="1"/>
      <w:numFmt w:val="decimal"/>
      <w:lvlText w:val="%4."/>
      <w:lvlJc w:val="left"/>
      <w:pPr>
        <w:ind w:left="5100" w:hanging="360"/>
      </w:pPr>
    </w:lvl>
    <w:lvl w:ilvl="4" w:tplc="0C0A0019" w:tentative="1">
      <w:start w:val="1"/>
      <w:numFmt w:val="lowerLetter"/>
      <w:lvlText w:val="%5."/>
      <w:lvlJc w:val="left"/>
      <w:pPr>
        <w:ind w:left="5820" w:hanging="360"/>
      </w:pPr>
    </w:lvl>
    <w:lvl w:ilvl="5" w:tplc="0C0A001B" w:tentative="1">
      <w:start w:val="1"/>
      <w:numFmt w:val="lowerRoman"/>
      <w:lvlText w:val="%6."/>
      <w:lvlJc w:val="right"/>
      <w:pPr>
        <w:ind w:left="6540" w:hanging="180"/>
      </w:pPr>
    </w:lvl>
    <w:lvl w:ilvl="6" w:tplc="0C0A000F" w:tentative="1">
      <w:start w:val="1"/>
      <w:numFmt w:val="decimal"/>
      <w:lvlText w:val="%7."/>
      <w:lvlJc w:val="left"/>
      <w:pPr>
        <w:ind w:left="7260" w:hanging="360"/>
      </w:pPr>
    </w:lvl>
    <w:lvl w:ilvl="7" w:tplc="0C0A0019" w:tentative="1">
      <w:start w:val="1"/>
      <w:numFmt w:val="lowerLetter"/>
      <w:lvlText w:val="%8."/>
      <w:lvlJc w:val="left"/>
      <w:pPr>
        <w:ind w:left="7980" w:hanging="360"/>
      </w:pPr>
    </w:lvl>
    <w:lvl w:ilvl="8" w:tplc="0C0A001B" w:tentative="1">
      <w:start w:val="1"/>
      <w:numFmt w:val="lowerRoman"/>
      <w:lvlText w:val="%9."/>
      <w:lvlJc w:val="right"/>
      <w:pPr>
        <w:ind w:left="8700" w:hanging="180"/>
      </w:pPr>
    </w:lvl>
  </w:abstractNum>
  <w:abstractNum w:abstractNumId="18">
    <w:nsid w:val="4815208B"/>
    <w:multiLevelType w:val="hybridMultilevel"/>
    <w:tmpl w:val="395269BC"/>
    <w:lvl w:ilvl="0" w:tplc="89AE5ED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4D36554C"/>
    <w:multiLevelType w:val="multilevel"/>
    <w:tmpl w:val="62C82444"/>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682"/>
        </w:tabs>
        <w:ind w:left="682" w:hanging="540"/>
      </w:pPr>
      <w:rPr>
        <w:rFonts w:hint="default"/>
        <w:b/>
        <w:sz w:val="24"/>
        <w:szCs w:val="24"/>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0">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1">
    <w:nsid w:val="514C1230"/>
    <w:multiLevelType w:val="hybridMultilevel"/>
    <w:tmpl w:val="F7DEB71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nsid w:val="56E131D5"/>
    <w:multiLevelType w:val="hybridMultilevel"/>
    <w:tmpl w:val="EA8487F2"/>
    <w:lvl w:ilvl="0" w:tplc="AB046804">
      <w:start w:val="1"/>
      <w:numFmt w:val="bullet"/>
      <w:lvlText w:val="-"/>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nsid w:val="589173D5"/>
    <w:multiLevelType w:val="hybridMultilevel"/>
    <w:tmpl w:val="2580EC9A"/>
    <w:lvl w:ilvl="0" w:tplc="03C873BE">
      <w:start w:val="20"/>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4">
    <w:nsid w:val="5BDD7635"/>
    <w:multiLevelType w:val="hybridMultilevel"/>
    <w:tmpl w:val="6680BCDA"/>
    <w:lvl w:ilvl="0" w:tplc="AB046804">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C7F4890"/>
    <w:multiLevelType w:val="multilevel"/>
    <w:tmpl w:val="4106DBD4"/>
    <w:lvl w:ilvl="0">
      <w:start w:val="5"/>
      <w:numFmt w:val="none"/>
      <w:lvlText w:val="4."/>
      <w:lvlJc w:val="left"/>
      <w:pPr>
        <w:ind w:left="360" w:hanging="360"/>
      </w:pPr>
    </w:lvl>
    <w:lvl w:ilvl="1">
      <w:start w:val="1"/>
      <w:numFmt w:val="decimal"/>
      <w:lvlText w:val="3.%2"/>
      <w:lvlJc w:val="left"/>
      <w:pPr>
        <w:ind w:left="502" w:hanging="360"/>
      </w:pPr>
      <w:rPr>
        <w:rFonts w:ascii="Times New Roman" w:hAnsi="Times New Roman" w:cs="Times New Roman" w:hint="default"/>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641D7E2A"/>
    <w:multiLevelType w:val="hybridMultilevel"/>
    <w:tmpl w:val="35BAA766"/>
    <w:lvl w:ilvl="0" w:tplc="671AE3A0">
      <w:start w:val="1"/>
      <w:numFmt w:val="bullet"/>
      <w:lvlText w:val="-"/>
      <w:lvlJc w:val="left"/>
      <w:pPr>
        <w:ind w:left="720" w:hanging="360"/>
      </w:pPr>
      <w:rPr>
        <w:rFonts w:hint="default"/>
        <w:lang w:val="es-MX"/>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7FA94705"/>
    <w:multiLevelType w:val="hybridMultilevel"/>
    <w:tmpl w:val="634CB36C"/>
    <w:lvl w:ilvl="0" w:tplc="845AE8A0">
      <w:start w:val="1"/>
      <w:numFmt w:val="bullet"/>
      <w:lvlText w:val="-"/>
      <w:lvlJc w:val="left"/>
      <w:pPr>
        <w:ind w:left="1287" w:hanging="360"/>
      </w:pPr>
      <w:rPr>
        <w:rFonts w:ascii="Times New Roman" w:eastAsia="MS Mincho"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num w:numId="1">
    <w:abstractNumId w:val="20"/>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7"/>
  </w:num>
  <w:num w:numId="4">
    <w:abstractNumId w:val="18"/>
  </w:num>
  <w:num w:numId="5">
    <w:abstractNumId w:val="24"/>
  </w:num>
  <w:num w:numId="6">
    <w:abstractNumId w:val="10"/>
  </w:num>
  <w:num w:numId="7">
    <w:abstractNumId w:val="14"/>
  </w:num>
  <w:num w:numId="8">
    <w:abstractNumId w:val="15"/>
  </w:num>
  <w:num w:numId="9">
    <w:abstractNumId w:val="8"/>
  </w:num>
  <w:num w:numId="10">
    <w:abstractNumId w:val="19"/>
  </w:num>
  <w:num w:numId="11">
    <w:abstractNumId w:val="11"/>
  </w:num>
  <w:num w:numId="12">
    <w:abstractNumId w:val="22"/>
  </w:num>
  <w:num w:numId="13">
    <w:abstractNumId w:val="6"/>
  </w:num>
  <w:num w:numId="14">
    <w:abstractNumId w:val="26"/>
  </w:num>
  <w:num w:numId="15">
    <w:abstractNumId w:val="13"/>
  </w:num>
  <w:num w:numId="16">
    <w:abstractNumId w:val="1"/>
  </w:num>
  <w:num w:numId="17">
    <w:abstractNumId w:val="28"/>
  </w:num>
  <w:num w:numId="18">
    <w:abstractNumId w:val="2"/>
  </w:num>
  <w:num w:numId="19">
    <w:abstractNumId w:val="23"/>
  </w:num>
  <w:num w:numId="20">
    <w:abstractNumId w:val="12"/>
  </w:num>
  <w:num w:numId="21">
    <w:abstractNumId w:val="17"/>
  </w:num>
  <w:num w:numId="22">
    <w:abstractNumId w:val="3"/>
  </w:num>
  <w:num w:numId="23">
    <w:abstractNumId w:val="21"/>
  </w:num>
  <w:num w:numId="24">
    <w:abstractNumId w:val="7"/>
  </w:num>
  <w:num w:numId="25">
    <w:abstractNumId w:val="16"/>
  </w:num>
  <w:num w:numId="26">
    <w:abstractNumId w:val="4"/>
  </w:num>
  <w:num w:numId="27">
    <w:abstractNumId w:val="5"/>
  </w:num>
  <w:num w:numId="28">
    <w:abstractNumId w:val="0"/>
  </w:num>
  <w:num w:numId="2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0"/>
    <w:footnote w:id="1"/>
  </w:footnotePr>
  <w:endnotePr>
    <w:endnote w:id="0"/>
    <w:endnote w:id="1"/>
  </w:endnotePr>
  <w:compat/>
  <w:rsids>
    <w:rsidRoot w:val="00C77276"/>
    <w:rsid w:val="000002F7"/>
    <w:rsid w:val="00005904"/>
    <w:rsid w:val="0001219F"/>
    <w:rsid w:val="00014602"/>
    <w:rsid w:val="0002066A"/>
    <w:rsid w:val="000335E1"/>
    <w:rsid w:val="00044075"/>
    <w:rsid w:val="0006206E"/>
    <w:rsid w:val="00063BBC"/>
    <w:rsid w:val="00065192"/>
    <w:rsid w:val="00083004"/>
    <w:rsid w:val="000A3B39"/>
    <w:rsid w:val="000B0FB4"/>
    <w:rsid w:val="000B7ACB"/>
    <w:rsid w:val="000C3121"/>
    <w:rsid w:val="000D5EB0"/>
    <w:rsid w:val="000E030B"/>
    <w:rsid w:val="00101056"/>
    <w:rsid w:val="00103EBC"/>
    <w:rsid w:val="00126592"/>
    <w:rsid w:val="00140D80"/>
    <w:rsid w:val="00144470"/>
    <w:rsid w:val="00151EE5"/>
    <w:rsid w:val="00152F86"/>
    <w:rsid w:val="0016227C"/>
    <w:rsid w:val="00162974"/>
    <w:rsid w:val="0016792C"/>
    <w:rsid w:val="001723A0"/>
    <w:rsid w:val="001861BD"/>
    <w:rsid w:val="00186D7F"/>
    <w:rsid w:val="00195744"/>
    <w:rsid w:val="001977B8"/>
    <w:rsid w:val="00197ADF"/>
    <w:rsid w:val="001B08BF"/>
    <w:rsid w:val="001D70E1"/>
    <w:rsid w:val="001E2D68"/>
    <w:rsid w:val="001F0EFB"/>
    <w:rsid w:val="001F5116"/>
    <w:rsid w:val="002037DC"/>
    <w:rsid w:val="00204693"/>
    <w:rsid w:val="00211C9A"/>
    <w:rsid w:val="00212DAB"/>
    <w:rsid w:val="00213A67"/>
    <w:rsid w:val="0021711C"/>
    <w:rsid w:val="002306C3"/>
    <w:rsid w:val="002521AF"/>
    <w:rsid w:val="0025607E"/>
    <w:rsid w:val="00264BB3"/>
    <w:rsid w:val="00290B7B"/>
    <w:rsid w:val="0029153C"/>
    <w:rsid w:val="00293E36"/>
    <w:rsid w:val="00294880"/>
    <w:rsid w:val="002A21B7"/>
    <w:rsid w:val="002A3202"/>
    <w:rsid w:val="002A37C2"/>
    <w:rsid w:val="002A4322"/>
    <w:rsid w:val="002B198C"/>
    <w:rsid w:val="002B4351"/>
    <w:rsid w:val="002B771B"/>
    <w:rsid w:val="002E1002"/>
    <w:rsid w:val="002E3932"/>
    <w:rsid w:val="002F07EA"/>
    <w:rsid w:val="002F0A13"/>
    <w:rsid w:val="002F1400"/>
    <w:rsid w:val="002F224C"/>
    <w:rsid w:val="00302904"/>
    <w:rsid w:val="00306B86"/>
    <w:rsid w:val="0032219D"/>
    <w:rsid w:val="003310CD"/>
    <w:rsid w:val="00333532"/>
    <w:rsid w:val="00342D1C"/>
    <w:rsid w:val="00342D51"/>
    <w:rsid w:val="003530F1"/>
    <w:rsid w:val="00362812"/>
    <w:rsid w:val="00367901"/>
    <w:rsid w:val="00375026"/>
    <w:rsid w:val="00384D18"/>
    <w:rsid w:val="00391EBF"/>
    <w:rsid w:val="003A723A"/>
    <w:rsid w:val="003B69F1"/>
    <w:rsid w:val="003B760A"/>
    <w:rsid w:val="003C2C9D"/>
    <w:rsid w:val="003C7FF4"/>
    <w:rsid w:val="003D7A74"/>
    <w:rsid w:val="003E23E1"/>
    <w:rsid w:val="003F1270"/>
    <w:rsid w:val="00401222"/>
    <w:rsid w:val="00425A11"/>
    <w:rsid w:val="00463B73"/>
    <w:rsid w:val="00465B51"/>
    <w:rsid w:val="00471912"/>
    <w:rsid w:val="004726B4"/>
    <w:rsid w:val="00477392"/>
    <w:rsid w:val="00480DEE"/>
    <w:rsid w:val="00482673"/>
    <w:rsid w:val="0048596F"/>
    <w:rsid w:val="00491A5B"/>
    <w:rsid w:val="004960BA"/>
    <w:rsid w:val="004A3616"/>
    <w:rsid w:val="004A7A40"/>
    <w:rsid w:val="004B1F27"/>
    <w:rsid w:val="004B27ED"/>
    <w:rsid w:val="004C15A7"/>
    <w:rsid w:val="004C6F16"/>
    <w:rsid w:val="004E5A31"/>
    <w:rsid w:val="004F060B"/>
    <w:rsid w:val="004F3118"/>
    <w:rsid w:val="004F67C1"/>
    <w:rsid w:val="0051227C"/>
    <w:rsid w:val="00526143"/>
    <w:rsid w:val="0052687B"/>
    <w:rsid w:val="00526A38"/>
    <w:rsid w:val="00530D0D"/>
    <w:rsid w:val="005345DF"/>
    <w:rsid w:val="00534D92"/>
    <w:rsid w:val="00543ED7"/>
    <w:rsid w:val="00556AD6"/>
    <w:rsid w:val="00570E1B"/>
    <w:rsid w:val="00580682"/>
    <w:rsid w:val="00582103"/>
    <w:rsid w:val="005A308E"/>
    <w:rsid w:val="005A75F8"/>
    <w:rsid w:val="005A7CF4"/>
    <w:rsid w:val="005B2533"/>
    <w:rsid w:val="005C347F"/>
    <w:rsid w:val="005D05A3"/>
    <w:rsid w:val="005D1111"/>
    <w:rsid w:val="005D7BCA"/>
    <w:rsid w:val="005F0165"/>
    <w:rsid w:val="005F3AFF"/>
    <w:rsid w:val="005F7835"/>
    <w:rsid w:val="006019C7"/>
    <w:rsid w:val="00603375"/>
    <w:rsid w:val="006165BC"/>
    <w:rsid w:val="0062016A"/>
    <w:rsid w:val="00634D43"/>
    <w:rsid w:val="00636C05"/>
    <w:rsid w:val="0064173B"/>
    <w:rsid w:val="00643FE1"/>
    <w:rsid w:val="006501DC"/>
    <w:rsid w:val="006511DD"/>
    <w:rsid w:val="00666273"/>
    <w:rsid w:val="00666BC0"/>
    <w:rsid w:val="006671F7"/>
    <w:rsid w:val="00673289"/>
    <w:rsid w:val="00681168"/>
    <w:rsid w:val="00690044"/>
    <w:rsid w:val="00697FF7"/>
    <w:rsid w:val="006A7A9B"/>
    <w:rsid w:val="006B191F"/>
    <w:rsid w:val="006B3C36"/>
    <w:rsid w:val="006C0D6B"/>
    <w:rsid w:val="006C2523"/>
    <w:rsid w:val="006C2BDE"/>
    <w:rsid w:val="006D7A59"/>
    <w:rsid w:val="006E49A5"/>
    <w:rsid w:val="006E678F"/>
    <w:rsid w:val="00705E34"/>
    <w:rsid w:val="00706A07"/>
    <w:rsid w:val="007103DC"/>
    <w:rsid w:val="0072343D"/>
    <w:rsid w:val="00725CDA"/>
    <w:rsid w:val="00726B92"/>
    <w:rsid w:val="00730F92"/>
    <w:rsid w:val="007532C8"/>
    <w:rsid w:val="007548CF"/>
    <w:rsid w:val="007637B9"/>
    <w:rsid w:val="0079178E"/>
    <w:rsid w:val="007919A9"/>
    <w:rsid w:val="00797DC2"/>
    <w:rsid w:val="007C57E4"/>
    <w:rsid w:val="007D69D3"/>
    <w:rsid w:val="007E1CF8"/>
    <w:rsid w:val="007E7066"/>
    <w:rsid w:val="007F7DD5"/>
    <w:rsid w:val="008049B9"/>
    <w:rsid w:val="00805AED"/>
    <w:rsid w:val="00815D36"/>
    <w:rsid w:val="0081667C"/>
    <w:rsid w:val="008176DA"/>
    <w:rsid w:val="008248C0"/>
    <w:rsid w:val="00836F96"/>
    <w:rsid w:val="008401E4"/>
    <w:rsid w:val="008417AE"/>
    <w:rsid w:val="00854929"/>
    <w:rsid w:val="00856E6E"/>
    <w:rsid w:val="00893C69"/>
    <w:rsid w:val="008A258B"/>
    <w:rsid w:val="008B315B"/>
    <w:rsid w:val="008D726E"/>
    <w:rsid w:val="008E5BD1"/>
    <w:rsid w:val="008F02E6"/>
    <w:rsid w:val="008F0650"/>
    <w:rsid w:val="009058F7"/>
    <w:rsid w:val="00906AC9"/>
    <w:rsid w:val="00906F27"/>
    <w:rsid w:val="0091075B"/>
    <w:rsid w:val="00913D06"/>
    <w:rsid w:val="0091556E"/>
    <w:rsid w:val="00915851"/>
    <w:rsid w:val="00933665"/>
    <w:rsid w:val="00950C15"/>
    <w:rsid w:val="0095357B"/>
    <w:rsid w:val="0096056E"/>
    <w:rsid w:val="00962854"/>
    <w:rsid w:val="00971CC9"/>
    <w:rsid w:val="009765DA"/>
    <w:rsid w:val="0098109F"/>
    <w:rsid w:val="00981EB3"/>
    <w:rsid w:val="0098380B"/>
    <w:rsid w:val="00997382"/>
    <w:rsid w:val="009A2BA7"/>
    <w:rsid w:val="009A59BE"/>
    <w:rsid w:val="009A70BC"/>
    <w:rsid w:val="009C6C60"/>
    <w:rsid w:val="009C7608"/>
    <w:rsid w:val="009D68E2"/>
    <w:rsid w:val="009E14FF"/>
    <w:rsid w:val="009E3CCF"/>
    <w:rsid w:val="009F14C9"/>
    <w:rsid w:val="009F369F"/>
    <w:rsid w:val="009F3B48"/>
    <w:rsid w:val="00A01A86"/>
    <w:rsid w:val="00A065CE"/>
    <w:rsid w:val="00A10D17"/>
    <w:rsid w:val="00A118A5"/>
    <w:rsid w:val="00A15FCD"/>
    <w:rsid w:val="00A23E4B"/>
    <w:rsid w:val="00A25924"/>
    <w:rsid w:val="00A3054C"/>
    <w:rsid w:val="00A44F3E"/>
    <w:rsid w:val="00A512CA"/>
    <w:rsid w:val="00A54B4E"/>
    <w:rsid w:val="00A62DB1"/>
    <w:rsid w:val="00A62F59"/>
    <w:rsid w:val="00A75ABF"/>
    <w:rsid w:val="00A82532"/>
    <w:rsid w:val="00A86811"/>
    <w:rsid w:val="00AB33DE"/>
    <w:rsid w:val="00AB526D"/>
    <w:rsid w:val="00AC2B26"/>
    <w:rsid w:val="00AD6178"/>
    <w:rsid w:val="00AE5C48"/>
    <w:rsid w:val="00AE75B1"/>
    <w:rsid w:val="00B10168"/>
    <w:rsid w:val="00B1128A"/>
    <w:rsid w:val="00B24C11"/>
    <w:rsid w:val="00B27D8C"/>
    <w:rsid w:val="00B35946"/>
    <w:rsid w:val="00B4076D"/>
    <w:rsid w:val="00B407E1"/>
    <w:rsid w:val="00B538AF"/>
    <w:rsid w:val="00B53A3F"/>
    <w:rsid w:val="00B72822"/>
    <w:rsid w:val="00B92D2C"/>
    <w:rsid w:val="00B9363F"/>
    <w:rsid w:val="00B9465F"/>
    <w:rsid w:val="00B95331"/>
    <w:rsid w:val="00BA017E"/>
    <w:rsid w:val="00BA1414"/>
    <w:rsid w:val="00BA22B9"/>
    <w:rsid w:val="00BE1009"/>
    <w:rsid w:val="00BE49F9"/>
    <w:rsid w:val="00BE57E0"/>
    <w:rsid w:val="00BE58E5"/>
    <w:rsid w:val="00BF08D3"/>
    <w:rsid w:val="00BF1FFB"/>
    <w:rsid w:val="00BF42BD"/>
    <w:rsid w:val="00BF7811"/>
    <w:rsid w:val="00C056E9"/>
    <w:rsid w:val="00C070BF"/>
    <w:rsid w:val="00C118A6"/>
    <w:rsid w:val="00C17568"/>
    <w:rsid w:val="00C214A6"/>
    <w:rsid w:val="00C22780"/>
    <w:rsid w:val="00C30261"/>
    <w:rsid w:val="00C46589"/>
    <w:rsid w:val="00C543A0"/>
    <w:rsid w:val="00C54EC1"/>
    <w:rsid w:val="00C66FA0"/>
    <w:rsid w:val="00C77276"/>
    <w:rsid w:val="00C80DC1"/>
    <w:rsid w:val="00C90C3D"/>
    <w:rsid w:val="00CB07F7"/>
    <w:rsid w:val="00CB2D9F"/>
    <w:rsid w:val="00CB4005"/>
    <w:rsid w:val="00CC55C9"/>
    <w:rsid w:val="00CC72DD"/>
    <w:rsid w:val="00CD1252"/>
    <w:rsid w:val="00CD1CF8"/>
    <w:rsid w:val="00CE1E70"/>
    <w:rsid w:val="00D04954"/>
    <w:rsid w:val="00D06F80"/>
    <w:rsid w:val="00D11D20"/>
    <w:rsid w:val="00D23A21"/>
    <w:rsid w:val="00D31627"/>
    <w:rsid w:val="00D3549C"/>
    <w:rsid w:val="00D46A48"/>
    <w:rsid w:val="00D533F4"/>
    <w:rsid w:val="00D53855"/>
    <w:rsid w:val="00D67301"/>
    <w:rsid w:val="00D765D4"/>
    <w:rsid w:val="00D76E60"/>
    <w:rsid w:val="00D917FA"/>
    <w:rsid w:val="00DB6421"/>
    <w:rsid w:val="00DC47ED"/>
    <w:rsid w:val="00DC552B"/>
    <w:rsid w:val="00DC6A4D"/>
    <w:rsid w:val="00DD285D"/>
    <w:rsid w:val="00DD2B06"/>
    <w:rsid w:val="00DD5CA8"/>
    <w:rsid w:val="00DE0C83"/>
    <w:rsid w:val="00DE48B1"/>
    <w:rsid w:val="00DE779C"/>
    <w:rsid w:val="00DF14DB"/>
    <w:rsid w:val="00DF745D"/>
    <w:rsid w:val="00E14C51"/>
    <w:rsid w:val="00E211D0"/>
    <w:rsid w:val="00E26BB0"/>
    <w:rsid w:val="00E339B8"/>
    <w:rsid w:val="00E3502E"/>
    <w:rsid w:val="00E40077"/>
    <w:rsid w:val="00E44437"/>
    <w:rsid w:val="00E469DE"/>
    <w:rsid w:val="00E53FDF"/>
    <w:rsid w:val="00E60525"/>
    <w:rsid w:val="00E63B15"/>
    <w:rsid w:val="00E87E6F"/>
    <w:rsid w:val="00E91A3B"/>
    <w:rsid w:val="00EA0FD4"/>
    <w:rsid w:val="00EA4928"/>
    <w:rsid w:val="00EA50D4"/>
    <w:rsid w:val="00EB1F33"/>
    <w:rsid w:val="00ED4349"/>
    <w:rsid w:val="00EE4425"/>
    <w:rsid w:val="00EE699A"/>
    <w:rsid w:val="00EE7ACC"/>
    <w:rsid w:val="00EF0261"/>
    <w:rsid w:val="00EF3027"/>
    <w:rsid w:val="00EF5DC0"/>
    <w:rsid w:val="00F10C98"/>
    <w:rsid w:val="00F240E8"/>
    <w:rsid w:val="00F36CAA"/>
    <w:rsid w:val="00F472DA"/>
    <w:rsid w:val="00F50698"/>
    <w:rsid w:val="00F506B8"/>
    <w:rsid w:val="00F64AB4"/>
    <w:rsid w:val="00F80238"/>
    <w:rsid w:val="00F809FE"/>
    <w:rsid w:val="00F84E1F"/>
    <w:rsid w:val="00F87222"/>
    <w:rsid w:val="00F91DB0"/>
    <w:rsid w:val="00FA1CF6"/>
    <w:rsid w:val="00FA4656"/>
    <w:rsid w:val="00FA7065"/>
    <w:rsid w:val="00FA71E9"/>
    <w:rsid w:val="00FB440F"/>
    <w:rsid w:val="00FB6FEF"/>
    <w:rsid w:val="00FB762A"/>
    <w:rsid w:val="00FC03F3"/>
    <w:rsid w:val="00FC4871"/>
    <w:rsid w:val="00FC7671"/>
    <w:rsid w:val="00FE3B1B"/>
    <w:rsid w:val="00FF0B16"/>
    <w:rsid w:val="00FF13A5"/>
    <w:rsid w:val="00FF3705"/>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276"/>
    <w:pPr>
      <w:spacing w:after="0" w:line="240" w:lineRule="auto"/>
    </w:pPr>
    <w:rPr>
      <w:rFonts w:ascii="Times New Roman" w:eastAsia="Times New Roman" w:hAnsi="Times New Roman" w:cs="Times New Roman"/>
      <w:sz w:val="24"/>
      <w:szCs w:val="24"/>
      <w:lang w:val="es-MX" w:eastAsia="es-MX"/>
    </w:rPr>
  </w:style>
  <w:style w:type="paragraph" w:styleId="Ttulo5">
    <w:name w:val="heading 5"/>
    <w:basedOn w:val="Normal"/>
    <w:next w:val="Normal"/>
    <w:link w:val="Ttulo5Car"/>
    <w:uiPriority w:val="9"/>
    <w:unhideWhenUsed/>
    <w:qFormat/>
    <w:rsid w:val="007532C8"/>
    <w:pPr>
      <w:spacing w:before="200" w:line="276" w:lineRule="auto"/>
      <w:outlineLvl w:val="4"/>
    </w:pPr>
    <w:rPr>
      <w:rFonts w:ascii="Franklin Gothic Book" w:eastAsia="Batang" w:hAnsi="Franklin Gothic Book"/>
      <w:b/>
      <w:i/>
      <w:color w:val="7B6A4D"/>
      <w:spacing w:val="20"/>
      <w:sz w:val="22"/>
      <w:szCs w:val="26"/>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C77276"/>
    <w:pPr>
      <w:jc w:val="both"/>
    </w:pPr>
    <w:rPr>
      <w:rFonts w:ascii="Arial" w:hAnsi="Arial"/>
      <w:snapToGrid w:val="0"/>
      <w:lang w:val="es-ES"/>
    </w:rPr>
  </w:style>
  <w:style w:type="paragraph" w:styleId="Textoindependiente2">
    <w:name w:val="Body Text 2"/>
    <w:basedOn w:val="Normal"/>
    <w:link w:val="Textoindependiente2Car"/>
    <w:uiPriority w:val="99"/>
    <w:unhideWhenUsed/>
    <w:rsid w:val="00C77276"/>
    <w:pPr>
      <w:spacing w:after="120" w:line="480" w:lineRule="auto"/>
    </w:pPr>
  </w:style>
  <w:style w:type="character" w:customStyle="1" w:styleId="Textoindependiente2Car">
    <w:name w:val="Texto independiente 2 Car"/>
    <w:basedOn w:val="Fuentedeprrafopredeter"/>
    <w:link w:val="Textoindependiente2"/>
    <w:uiPriority w:val="99"/>
    <w:rsid w:val="00C77276"/>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C77276"/>
    <w:pPr>
      <w:widowControl w:val="0"/>
      <w:suppressAutoHyphens/>
      <w:ind w:left="426" w:firstLine="1"/>
      <w:jc w:val="both"/>
    </w:pPr>
    <w:rPr>
      <w:szCs w:val="20"/>
      <w:lang w:val="es-ES_tradnl"/>
    </w:rPr>
  </w:style>
  <w:style w:type="paragraph" w:styleId="Prrafodelista">
    <w:name w:val="List Paragraph"/>
    <w:aliases w:val="Titulo de Fígura,TITULO A,Titulo parrafo,Punto,TITULO,Imagen 01.,Párrafo de lista2,Párrafo de lista4,Párrafo de lista21,Iz - Párrafo de lista,Sivsa Parrafo,Cuadro 2-1"/>
    <w:basedOn w:val="Normal"/>
    <w:link w:val="PrrafodelistaCar"/>
    <w:uiPriority w:val="34"/>
    <w:qFormat/>
    <w:rsid w:val="00C77276"/>
    <w:pPr>
      <w:ind w:left="708"/>
    </w:pPr>
    <w:rPr>
      <w:rFonts w:eastAsia="MS Mincho"/>
      <w:sz w:val="20"/>
      <w:szCs w:val="20"/>
      <w:lang w:val="es-ES"/>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
    <w:link w:val="Prrafodelista"/>
    <w:uiPriority w:val="34"/>
    <w:locked/>
    <w:rsid w:val="00C77276"/>
    <w:rPr>
      <w:rFonts w:ascii="Times New Roman" w:eastAsia="MS Mincho" w:hAnsi="Times New Roman" w:cs="Times New Roman"/>
      <w:sz w:val="20"/>
      <w:szCs w:val="20"/>
      <w:lang w:val="es-ES" w:eastAsia="es-MX"/>
    </w:rPr>
  </w:style>
  <w:style w:type="paragraph" w:styleId="Encabezado">
    <w:name w:val="header"/>
    <w:basedOn w:val="Normal"/>
    <w:link w:val="EncabezadoCar"/>
    <w:uiPriority w:val="99"/>
    <w:unhideWhenUsed/>
    <w:rsid w:val="00C77276"/>
    <w:pPr>
      <w:tabs>
        <w:tab w:val="center" w:pos="4419"/>
        <w:tab w:val="right" w:pos="8838"/>
      </w:tabs>
    </w:pPr>
  </w:style>
  <w:style w:type="character" w:customStyle="1" w:styleId="EncabezadoCar">
    <w:name w:val="Encabezado Car"/>
    <w:basedOn w:val="Fuentedeprrafopredeter"/>
    <w:link w:val="Encabezado"/>
    <w:uiPriority w:val="99"/>
    <w:rsid w:val="00C77276"/>
    <w:rPr>
      <w:rFonts w:ascii="Times New Roman" w:eastAsia="Times New Roman" w:hAnsi="Times New Roman" w:cs="Times New Roman"/>
      <w:sz w:val="24"/>
      <w:szCs w:val="24"/>
      <w:lang w:val="es-MX" w:eastAsia="es-MX"/>
    </w:rPr>
  </w:style>
  <w:style w:type="character" w:customStyle="1" w:styleId="PrrafodelistaCarCarCar">
    <w:name w:val="Párrafo de lista Car Car Car"/>
    <w:link w:val="PrrafodelistaCarCar"/>
    <w:uiPriority w:val="34"/>
    <w:locked/>
    <w:rsid w:val="00C77276"/>
    <w:rPr>
      <w:color w:val="000000"/>
    </w:rPr>
  </w:style>
  <w:style w:type="paragraph" w:customStyle="1" w:styleId="PrrafodelistaCarCar">
    <w:name w:val="Párrafo de lista Car Car"/>
    <w:basedOn w:val="Normal"/>
    <w:link w:val="PrrafodelistaCarCarCar"/>
    <w:uiPriority w:val="34"/>
    <w:qFormat/>
    <w:rsid w:val="00C77276"/>
    <w:pPr>
      <w:spacing w:after="160" w:line="276" w:lineRule="auto"/>
      <w:ind w:left="720"/>
      <w:contextualSpacing/>
    </w:pPr>
    <w:rPr>
      <w:rFonts w:asciiTheme="minorHAnsi" w:eastAsiaTheme="minorHAnsi" w:hAnsiTheme="minorHAnsi" w:cstheme="minorBidi"/>
      <w:color w:val="000000"/>
      <w:sz w:val="22"/>
      <w:szCs w:val="22"/>
      <w:lang w:val="es-PE" w:eastAsia="en-US"/>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rsid w:val="00197ADF"/>
    <w:rPr>
      <w:sz w:val="20"/>
      <w:szCs w:val="20"/>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197ADF"/>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CVR Ref. de nota al pie"/>
    <w:rsid w:val="00197ADF"/>
    <w:rPr>
      <w:vertAlign w:val="superscript"/>
    </w:rPr>
  </w:style>
  <w:style w:type="table" w:styleId="Tablaconcuadrcula">
    <w:name w:val="Table Grid"/>
    <w:basedOn w:val="Tablanormal"/>
    <w:uiPriority w:val="59"/>
    <w:rsid w:val="007532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5Car">
    <w:name w:val="Título 5 Car"/>
    <w:basedOn w:val="Fuentedeprrafopredeter"/>
    <w:link w:val="Ttulo5"/>
    <w:uiPriority w:val="9"/>
    <w:rsid w:val="007532C8"/>
    <w:rPr>
      <w:rFonts w:ascii="Franklin Gothic Book" w:eastAsia="Batang" w:hAnsi="Franklin Gothic Book" w:cs="Times New Roman"/>
      <w:b/>
      <w:i/>
      <w:color w:val="7B6A4D"/>
      <w:spacing w:val="20"/>
      <w:szCs w:val="26"/>
      <w:lang w:eastAsia="es-PE"/>
    </w:rPr>
  </w:style>
  <w:style w:type="paragraph" w:customStyle="1" w:styleId="Default">
    <w:name w:val="Default"/>
    <w:rsid w:val="00CB2D9F"/>
    <w:pPr>
      <w:autoSpaceDE w:val="0"/>
      <w:autoSpaceDN w:val="0"/>
      <w:adjustRightInd w:val="0"/>
      <w:spacing w:after="0" w:line="240" w:lineRule="auto"/>
    </w:pPr>
    <w:rPr>
      <w:rFonts w:ascii="Arial" w:eastAsia="Calibri" w:hAnsi="Arial" w:cs="Arial"/>
      <w:color w:val="000000"/>
      <w:sz w:val="24"/>
      <w:szCs w:val="24"/>
      <w:lang w:eastAsia="es-PE"/>
    </w:rPr>
  </w:style>
  <w:style w:type="paragraph" w:styleId="Piedepgina">
    <w:name w:val="footer"/>
    <w:basedOn w:val="Normal"/>
    <w:link w:val="PiedepginaCar"/>
    <w:uiPriority w:val="99"/>
    <w:semiHidden/>
    <w:unhideWhenUsed/>
    <w:rsid w:val="00526A38"/>
    <w:pPr>
      <w:tabs>
        <w:tab w:val="center" w:pos="4419"/>
        <w:tab w:val="right" w:pos="8838"/>
      </w:tabs>
    </w:pPr>
  </w:style>
  <w:style w:type="character" w:customStyle="1" w:styleId="PiedepginaCar">
    <w:name w:val="Pie de página Car"/>
    <w:basedOn w:val="Fuentedeprrafopredeter"/>
    <w:link w:val="Piedepgina"/>
    <w:uiPriority w:val="99"/>
    <w:semiHidden/>
    <w:rsid w:val="00526A38"/>
    <w:rPr>
      <w:rFonts w:ascii="Times New Roman" w:eastAsia="Times New Roman" w:hAnsi="Times New Roman" w:cs="Times New Roman"/>
      <w:sz w:val="24"/>
      <w:szCs w:val="24"/>
      <w:lang w:val="es-MX" w:eastAsia="es-MX"/>
    </w:rPr>
  </w:style>
  <w:style w:type="character" w:styleId="Hipervnculo">
    <w:name w:val="Hyperlink"/>
    <w:basedOn w:val="Fuentedeprrafopredeter"/>
    <w:uiPriority w:val="99"/>
    <w:unhideWhenUsed/>
    <w:rsid w:val="005F7835"/>
    <w:rPr>
      <w:color w:val="0000FF"/>
      <w:u w:val="single"/>
    </w:rPr>
  </w:style>
  <w:style w:type="paragraph" w:customStyle="1" w:styleId="Normaltimes">
    <w:name w:val="Normal+times"/>
    <w:basedOn w:val="Normal"/>
    <w:link w:val="NormaltimesCar"/>
    <w:rsid w:val="00FF13A5"/>
    <w:rPr>
      <w:szCs w:val="20"/>
    </w:rPr>
  </w:style>
  <w:style w:type="character" w:customStyle="1" w:styleId="NormaltimesCar">
    <w:name w:val="Normal+times Car"/>
    <w:basedOn w:val="Fuentedeprrafopredeter"/>
    <w:link w:val="Normaltimes"/>
    <w:rsid w:val="00FF13A5"/>
    <w:rPr>
      <w:rFonts w:ascii="Times New Roman" w:eastAsia="Times New Roman" w:hAnsi="Times New Roman" w:cs="Times New Roman"/>
      <w:sz w:val="24"/>
      <w:szCs w:val="20"/>
      <w:lang w:val="es-MX" w:eastAsia="es-MX"/>
    </w:rPr>
  </w:style>
  <w:style w:type="paragraph" w:customStyle="1" w:styleId="WW-Textosinformato">
    <w:name w:val="WW-Texto sin formato"/>
    <w:basedOn w:val="Normal"/>
    <w:rsid w:val="00A01A86"/>
    <w:pPr>
      <w:suppressAutoHyphens/>
    </w:pPr>
    <w:rPr>
      <w:rFonts w:ascii="Courier New" w:eastAsia="MS Mincho" w:hAnsi="Courier New"/>
      <w:sz w:val="20"/>
      <w:szCs w:val="20"/>
      <w:lang w:val="es-PE" w:eastAsia="es-ES"/>
    </w:rPr>
  </w:style>
  <w:style w:type="paragraph" w:styleId="Textodeglobo">
    <w:name w:val="Balloon Text"/>
    <w:basedOn w:val="Normal"/>
    <w:link w:val="TextodegloboCar"/>
    <w:uiPriority w:val="99"/>
    <w:semiHidden/>
    <w:unhideWhenUsed/>
    <w:rsid w:val="00DE779C"/>
    <w:rPr>
      <w:rFonts w:ascii="Tahoma" w:hAnsi="Tahoma" w:cs="Tahoma"/>
      <w:sz w:val="16"/>
      <w:szCs w:val="16"/>
    </w:rPr>
  </w:style>
  <w:style w:type="character" w:customStyle="1" w:styleId="TextodegloboCar">
    <w:name w:val="Texto de globo Car"/>
    <w:basedOn w:val="Fuentedeprrafopredeter"/>
    <w:link w:val="Textodeglobo"/>
    <w:uiPriority w:val="99"/>
    <w:semiHidden/>
    <w:rsid w:val="00DE779C"/>
    <w:rPr>
      <w:rFonts w:ascii="Tahoma" w:eastAsia="Times New Roman" w:hAnsi="Tahoma" w:cs="Tahoma"/>
      <w:sz w:val="16"/>
      <w:szCs w:val="16"/>
      <w:lang w:val="es-MX" w:eastAsia="es-MX"/>
    </w:rPr>
  </w:style>
  <w:style w:type="paragraph" w:styleId="Textoindependiente">
    <w:name w:val="Body Text"/>
    <w:basedOn w:val="Normal"/>
    <w:link w:val="TextoindependienteCar"/>
    <w:uiPriority w:val="99"/>
    <w:unhideWhenUsed/>
    <w:rsid w:val="00DF745D"/>
    <w:pPr>
      <w:spacing w:after="120"/>
    </w:pPr>
  </w:style>
  <w:style w:type="character" w:customStyle="1" w:styleId="TextoindependienteCar">
    <w:name w:val="Texto independiente Car"/>
    <w:basedOn w:val="Fuentedeprrafopredeter"/>
    <w:link w:val="Textoindependiente"/>
    <w:uiPriority w:val="99"/>
    <w:rsid w:val="00DF745D"/>
    <w:rPr>
      <w:rFonts w:ascii="Times New Roman" w:eastAsia="Times New Roman" w:hAnsi="Times New Roman" w:cs="Times New Roman"/>
      <w:sz w:val="24"/>
      <w:szCs w:val="24"/>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276"/>
    <w:pPr>
      <w:spacing w:after="0" w:line="240" w:lineRule="auto"/>
    </w:pPr>
    <w:rPr>
      <w:rFonts w:ascii="Times New Roman" w:eastAsia="Times New Roman" w:hAnsi="Times New Roman" w:cs="Times New Roman"/>
      <w:sz w:val="24"/>
      <w:szCs w:val="24"/>
      <w:lang w:val="es-MX" w:eastAsia="es-MX"/>
    </w:rPr>
  </w:style>
  <w:style w:type="paragraph" w:styleId="Ttulo5">
    <w:name w:val="heading 5"/>
    <w:basedOn w:val="Normal"/>
    <w:next w:val="Normal"/>
    <w:link w:val="Ttulo5Car"/>
    <w:uiPriority w:val="9"/>
    <w:unhideWhenUsed/>
    <w:qFormat/>
    <w:rsid w:val="007532C8"/>
    <w:pPr>
      <w:spacing w:before="200" w:line="276" w:lineRule="auto"/>
      <w:outlineLvl w:val="4"/>
    </w:pPr>
    <w:rPr>
      <w:rFonts w:ascii="Franklin Gothic Book" w:eastAsia="Batang" w:hAnsi="Franklin Gothic Book"/>
      <w:b/>
      <w:i/>
      <w:color w:val="7B6A4D"/>
      <w:spacing w:val="20"/>
      <w:sz w:val="22"/>
      <w:szCs w:val="26"/>
      <w:lang w:val="es-PE" w:eastAsia="es-P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C77276"/>
    <w:pPr>
      <w:jc w:val="both"/>
    </w:pPr>
    <w:rPr>
      <w:rFonts w:ascii="Arial" w:hAnsi="Arial"/>
      <w:snapToGrid w:val="0"/>
      <w:lang w:val="es-ES"/>
    </w:rPr>
  </w:style>
  <w:style w:type="paragraph" w:styleId="Textoindependiente2">
    <w:name w:val="Body Text 2"/>
    <w:basedOn w:val="Normal"/>
    <w:link w:val="Textoindependiente2Car"/>
    <w:uiPriority w:val="99"/>
    <w:unhideWhenUsed/>
    <w:rsid w:val="00C77276"/>
    <w:pPr>
      <w:spacing w:after="120" w:line="480" w:lineRule="auto"/>
    </w:pPr>
  </w:style>
  <w:style w:type="character" w:customStyle="1" w:styleId="Textoindependiente2Car">
    <w:name w:val="Texto independiente 2 Car"/>
    <w:basedOn w:val="Fuentedeprrafopredeter"/>
    <w:link w:val="Textoindependiente2"/>
    <w:uiPriority w:val="99"/>
    <w:rsid w:val="00C77276"/>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C77276"/>
    <w:pPr>
      <w:widowControl w:val="0"/>
      <w:suppressAutoHyphens/>
      <w:ind w:left="426" w:firstLine="1"/>
      <w:jc w:val="both"/>
    </w:pPr>
    <w:rPr>
      <w:szCs w:val="20"/>
      <w:lang w:val="es-ES_tradnl"/>
    </w:rPr>
  </w:style>
  <w:style w:type="paragraph" w:styleId="Prrafodelista">
    <w:name w:val="List Paragraph"/>
    <w:aliases w:val="Titulo de Fígura,TITULO A,Titulo parrafo,Punto,TITULO,Imagen 01.,Párrafo de lista2,Párrafo de lista4,Párrafo de lista21,Iz - Párrafo de lista,Sivsa Parrafo,Cuadro 2-1"/>
    <w:basedOn w:val="Normal"/>
    <w:link w:val="PrrafodelistaCar"/>
    <w:uiPriority w:val="34"/>
    <w:qFormat/>
    <w:rsid w:val="00C77276"/>
    <w:pPr>
      <w:ind w:left="708"/>
    </w:pPr>
    <w:rPr>
      <w:rFonts w:eastAsia="MS Mincho"/>
      <w:sz w:val="20"/>
      <w:szCs w:val="20"/>
      <w:lang w:val="es-ES"/>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
    <w:link w:val="Prrafodelista"/>
    <w:uiPriority w:val="34"/>
    <w:locked/>
    <w:rsid w:val="00C77276"/>
    <w:rPr>
      <w:rFonts w:ascii="Times New Roman" w:eastAsia="MS Mincho" w:hAnsi="Times New Roman" w:cs="Times New Roman"/>
      <w:sz w:val="20"/>
      <w:szCs w:val="20"/>
      <w:lang w:val="es-ES" w:eastAsia="es-MX"/>
    </w:rPr>
  </w:style>
  <w:style w:type="paragraph" w:styleId="Encabezado">
    <w:name w:val="header"/>
    <w:basedOn w:val="Normal"/>
    <w:link w:val="EncabezadoCar"/>
    <w:uiPriority w:val="99"/>
    <w:unhideWhenUsed/>
    <w:rsid w:val="00C77276"/>
    <w:pPr>
      <w:tabs>
        <w:tab w:val="center" w:pos="4419"/>
        <w:tab w:val="right" w:pos="8838"/>
      </w:tabs>
    </w:pPr>
  </w:style>
  <w:style w:type="character" w:customStyle="1" w:styleId="EncabezadoCar">
    <w:name w:val="Encabezado Car"/>
    <w:basedOn w:val="Fuentedeprrafopredeter"/>
    <w:link w:val="Encabezado"/>
    <w:uiPriority w:val="99"/>
    <w:rsid w:val="00C77276"/>
    <w:rPr>
      <w:rFonts w:ascii="Times New Roman" w:eastAsia="Times New Roman" w:hAnsi="Times New Roman" w:cs="Times New Roman"/>
      <w:sz w:val="24"/>
      <w:szCs w:val="24"/>
      <w:lang w:val="es-MX" w:eastAsia="es-MX"/>
    </w:rPr>
  </w:style>
  <w:style w:type="character" w:customStyle="1" w:styleId="PrrafodelistaCarCarCar">
    <w:name w:val="Párrafo de lista Car Car Car"/>
    <w:link w:val="PrrafodelistaCarCar"/>
    <w:uiPriority w:val="34"/>
    <w:locked/>
    <w:rsid w:val="00C77276"/>
    <w:rPr>
      <w:color w:val="000000"/>
    </w:rPr>
  </w:style>
  <w:style w:type="paragraph" w:customStyle="1" w:styleId="PrrafodelistaCarCar">
    <w:name w:val="Párrafo de lista Car Car"/>
    <w:basedOn w:val="Normal"/>
    <w:link w:val="PrrafodelistaCarCarCar"/>
    <w:uiPriority w:val="34"/>
    <w:qFormat/>
    <w:rsid w:val="00C77276"/>
    <w:pPr>
      <w:spacing w:after="160" w:line="276" w:lineRule="auto"/>
      <w:ind w:left="720"/>
      <w:contextualSpacing/>
    </w:pPr>
    <w:rPr>
      <w:rFonts w:asciiTheme="minorHAnsi" w:eastAsiaTheme="minorHAnsi" w:hAnsiTheme="minorHAnsi" w:cstheme="minorBidi"/>
      <w:color w:val="000000"/>
      <w:sz w:val="22"/>
      <w:szCs w:val="22"/>
      <w:lang w:val="es-PE" w:eastAsia="en-US"/>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uiPriority w:val="99"/>
    <w:rsid w:val="00197ADF"/>
    <w:rPr>
      <w:sz w:val="20"/>
      <w:szCs w:val="20"/>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uiPriority w:val="99"/>
    <w:rsid w:val="00197ADF"/>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
    <w:uiPriority w:val="99"/>
    <w:rsid w:val="00197ADF"/>
    <w:rPr>
      <w:vertAlign w:val="superscript"/>
    </w:rPr>
  </w:style>
  <w:style w:type="table" w:styleId="Tablaconcuadrcula">
    <w:name w:val="Table Grid"/>
    <w:basedOn w:val="Tablanormal"/>
    <w:uiPriority w:val="59"/>
    <w:rsid w:val="007532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5Car">
    <w:name w:val="Título 5 Car"/>
    <w:basedOn w:val="Fuentedeprrafopredeter"/>
    <w:link w:val="Ttulo5"/>
    <w:uiPriority w:val="9"/>
    <w:rsid w:val="007532C8"/>
    <w:rPr>
      <w:rFonts w:ascii="Franklin Gothic Book" w:eastAsia="Batang" w:hAnsi="Franklin Gothic Book" w:cs="Times New Roman"/>
      <w:b/>
      <w:i/>
      <w:color w:val="7B6A4D"/>
      <w:spacing w:val="20"/>
      <w:szCs w:val="26"/>
      <w:lang w:eastAsia="es-PE"/>
    </w:rPr>
  </w:style>
  <w:style w:type="paragraph" w:customStyle="1" w:styleId="Default">
    <w:name w:val="Default"/>
    <w:rsid w:val="00CB2D9F"/>
    <w:pPr>
      <w:autoSpaceDE w:val="0"/>
      <w:autoSpaceDN w:val="0"/>
      <w:adjustRightInd w:val="0"/>
      <w:spacing w:after="0" w:line="240" w:lineRule="auto"/>
    </w:pPr>
    <w:rPr>
      <w:rFonts w:ascii="Arial" w:eastAsia="Calibri" w:hAnsi="Arial" w:cs="Arial"/>
      <w:color w:val="000000"/>
      <w:sz w:val="24"/>
      <w:szCs w:val="24"/>
      <w:lang w:eastAsia="es-PE"/>
    </w:rPr>
  </w:style>
  <w:style w:type="paragraph" w:styleId="Piedepgina">
    <w:name w:val="footer"/>
    <w:basedOn w:val="Normal"/>
    <w:link w:val="PiedepginaCar"/>
    <w:uiPriority w:val="99"/>
    <w:semiHidden/>
    <w:unhideWhenUsed/>
    <w:rsid w:val="00526A38"/>
    <w:pPr>
      <w:tabs>
        <w:tab w:val="center" w:pos="4419"/>
        <w:tab w:val="right" w:pos="8838"/>
      </w:tabs>
    </w:pPr>
  </w:style>
  <w:style w:type="character" w:customStyle="1" w:styleId="PiedepginaCar">
    <w:name w:val="Pie de página Car"/>
    <w:basedOn w:val="Fuentedeprrafopredeter"/>
    <w:link w:val="Piedepgina"/>
    <w:uiPriority w:val="99"/>
    <w:semiHidden/>
    <w:rsid w:val="00526A38"/>
    <w:rPr>
      <w:rFonts w:ascii="Times New Roman" w:eastAsia="Times New Roman" w:hAnsi="Times New Roman" w:cs="Times New Roman"/>
      <w:sz w:val="24"/>
      <w:szCs w:val="24"/>
      <w:lang w:val="es-MX" w:eastAsia="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40"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574E2-661E-4FB7-BCCC-A3023EFA4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11</Pages>
  <Words>3874</Words>
  <Characters>21312</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lespinoza</dc:creator>
  <cp:lastModifiedBy>lespinoza</cp:lastModifiedBy>
  <cp:revision>7</cp:revision>
  <cp:lastPrinted>2015-11-09T18:51:00Z</cp:lastPrinted>
  <dcterms:created xsi:type="dcterms:W3CDTF">2015-12-31T01:50:00Z</dcterms:created>
  <dcterms:modified xsi:type="dcterms:W3CDTF">2016-01-04T23:59:00Z</dcterms:modified>
</cp:coreProperties>
</file>