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112" w:rsidRPr="00D453C2" w:rsidRDefault="00B37B2F" w:rsidP="00E453FC">
      <w:pPr>
        <w:widowControl w:val="0"/>
        <w:jc w:val="center"/>
        <w:rPr>
          <w:b/>
          <w:u w:val="single"/>
        </w:rPr>
      </w:pPr>
      <w:r w:rsidRPr="00D453C2">
        <w:rPr>
          <w:b/>
          <w:u w:val="single"/>
        </w:rPr>
        <w:t>PRONUNCIAMIENTO Nº</w:t>
      </w:r>
      <w:r w:rsidR="001C2DD6" w:rsidRPr="00D453C2">
        <w:rPr>
          <w:b/>
          <w:u w:val="single"/>
        </w:rPr>
        <w:t xml:space="preserve"> </w:t>
      </w:r>
      <w:r w:rsidR="000C1A3C">
        <w:rPr>
          <w:b/>
          <w:u w:val="single"/>
        </w:rPr>
        <w:t>266</w:t>
      </w:r>
      <w:r w:rsidR="002F6F53" w:rsidRPr="00D453C2">
        <w:rPr>
          <w:b/>
          <w:u w:val="single"/>
        </w:rPr>
        <w:t>-2016</w:t>
      </w:r>
      <w:r w:rsidR="006C7112" w:rsidRPr="00D453C2">
        <w:rPr>
          <w:b/>
          <w:u w:val="single"/>
        </w:rPr>
        <w:t>/DSU</w:t>
      </w:r>
    </w:p>
    <w:p w:rsidR="006C7112" w:rsidRPr="00D453C2" w:rsidRDefault="006C7112" w:rsidP="00E453FC">
      <w:pPr>
        <w:widowControl w:val="0"/>
        <w:tabs>
          <w:tab w:val="left" w:pos="1980"/>
        </w:tabs>
        <w:jc w:val="both"/>
      </w:pPr>
    </w:p>
    <w:p w:rsidR="006C7112" w:rsidRPr="00D453C2" w:rsidRDefault="006C7112" w:rsidP="00E453FC">
      <w:pPr>
        <w:widowControl w:val="0"/>
        <w:tabs>
          <w:tab w:val="left" w:pos="1980"/>
        </w:tabs>
        <w:ind w:left="2552" w:hanging="2552"/>
        <w:jc w:val="both"/>
      </w:pPr>
      <w:r w:rsidRPr="00D453C2">
        <w:t>Entidad:</w:t>
      </w:r>
      <w:r w:rsidRPr="00D453C2">
        <w:tab/>
      </w:r>
      <w:r w:rsidRPr="00D453C2">
        <w:tab/>
      </w:r>
      <w:r w:rsidR="004A6E23" w:rsidRPr="00D453C2">
        <w:t xml:space="preserve">Seguro Social de Salud – Red Asistencial </w:t>
      </w:r>
      <w:r w:rsidR="002F6F53" w:rsidRPr="00D453C2">
        <w:t>Ica</w:t>
      </w:r>
    </w:p>
    <w:p w:rsidR="006C7112" w:rsidRPr="00D453C2" w:rsidRDefault="006C7112" w:rsidP="005701E2">
      <w:pPr>
        <w:widowControl w:val="0"/>
        <w:tabs>
          <w:tab w:val="left" w:pos="1980"/>
        </w:tabs>
        <w:jc w:val="both"/>
      </w:pPr>
    </w:p>
    <w:p w:rsidR="006C7112" w:rsidRPr="00D453C2" w:rsidRDefault="006C7112" w:rsidP="00E453FC">
      <w:pPr>
        <w:ind w:left="2552" w:hanging="2552"/>
        <w:jc w:val="both"/>
      </w:pPr>
      <w:r w:rsidRPr="00D453C2">
        <w:t>Referencia:</w:t>
      </w:r>
      <w:r w:rsidRPr="00D453C2">
        <w:tab/>
      </w:r>
      <w:r w:rsidR="0055252A" w:rsidRPr="00D453C2">
        <w:t xml:space="preserve">Concurso Público N° </w:t>
      </w:r>
      <w:r w:rsidR="002F6F53" w:rsidRPr="00D453C2">
        <w:t>2</w:t>
      </w:r>
      <w:r w:rsidR="0055252A" w:rsidRPr="00D453C2">
        <w:t>-201</w:t>
      </w:r>
      <w:r w:rsidR="002F6F53" w:rsidRPr="00D453C2">
        <w:t>5</w:t>
      </w:r>
      <w:r w:rsidR="0055252A" w:rsidRPr="00D453C2">
        <w:t>/</w:t>
      </w:r>
      <w:r w:rsidR="002F6F53" w:rsidRPr="00D453C2">
        <w:t>ESSALUD/RAICA</w:t>
      </w:r>
      <w:r w:rsidR="0055252A" w:rsidRPr="00D453C2">
        <w:t xml:space="preserve"> convocado para la contratación del </w:t>
      </w:r>
      <w:r w:rsidR="005701E2" w:rsidRPr="00D453C2">
        <w:t xml:space="preserve">servicio </w:t>
      </w:r>
      <w:r w:rsidR="0055252A" w:rsidRPr="00D453C2">
        <w:t xml:space="preserve">“de </w:t>
      </w:r>
      <w:r w:rsidR="004A6E23" w:rsidRPr="00D453C2">
        <w:t xml:space="preserve">Hemodiálisis </w:t>
      </w:r>
      <w:r w:rsidR="002F6F53" w:rsidRPr="00D453C2">
        <w:t xml:space="preserve">sin </w:t>
      </w:r>
      <w:proofErr w:type="spellStart"/>
      <w:r w:rsidR="002F6F53" w:rsidRPr="00D453C2">
        <w:t>reuso</w:t>
      </w:r>
      <w:proofErr w:type="spellEnd"/>
      <w:r w:rsidR="002F6F53" w:rsidRPr="00D453C2">
        <w:t xml:space="preserve"> para el hospital "RTG" Chincha - Red Asistencial Ica</w:t>
      </w:r>
      <w:r w:rsidR="0055252A" w:rsidRPr="00D453C2">
        <w:t xml:space="preserve">”. </w:t>
      </w:r>
      <w:r w:rsidR="00D6262A" w:rsidRPr="00D453C2">
        <w:t xml:space="preserve"> </w:t>
      </w:r>
    </w:p>
    <w:p w:rsidR="006C7112" w:rsidRPr="00D453C2" w:rsidRDefault="006C7112" w:rsidP="00E453FC">
      <w:pPr>
        <w:widowControl w:val="0"/>
        <w:pBdr>
          <w:bottom w:val="single" w:sz="6" w:space="1" w:color="auto"/>
        </w:pBdr>
        <w:jc w:val="both"/>
      </w:pPr>
    </w:p>
    <w:p w:rsidR="006C7112" w:rsidRPr="00D453C2" w:rsidRDefault="006C7112" w:rsidP="00E453FC">
      <w:pPr>
        <w:widowControl w:val="0"/>
        <w:jc w:val="both"/>
      </w:pPr>
    </w:p>
    <w:p w:rsidR="006C7112" w:rsidRPr="00D453C2" w:rsidRDefault="006C7112" w:rsidP="00E453FC">
      <w:pPr>
        <w:widowControl w:val="0"/>
        <w:numPr>
          <w:ilvl w:val="0"/>
          <w:numId w:val="1"/>
        </w:numPr>
        <w:ind w:left="567" w:hanging="567"/>
        <w:jc w:val="both"/>
        <w:rPr>
          <w:b/>
        </w:rPr>
      </w:pPr>
      <w:r w:rsidRPr="00D453C2">
        <w:rPr>
          <w:b/>
        </w:rPr>
        <w:t xml:space="preserve">ANTECEDENTES </w:t>
      </w:r>
    </w:p>
    <w:p w:rsidR="006C7112" w:rsidRPr="00D453C2" w:rsidRDefault="006C7112" w:rsidP="00E453FC">
      <w:pPr>
        <w:widowControl w:val="0"/>
        <w:ind w:left="567"/>
        <w:jc w:val="both"/>
        <w:rPr>
          <w:b/>
        </w:rPr>
      </w:pPr>
      <w:r w:rsidRPr="00D453C2">
        <w:rPr>
          <w:b/>
        </w:rPr>
        <w:t xml:space="preserve">                                                                                                                                                                                                                                                                                                    </w:t>
      </w:r>
    </w:p>
    <w:p w:rsidR="006C7112" w:rsidRPr="00D453C2" w:rsidRDefault="006C7112" w:rsidP="00E453FC">
      <w:pPr>
        <w:pStyle w:val="WW-Textoindependiente2"/>
        <w:widowControl w:val="0"/>
        <w:tabs>
          <w:tab w:val="left" w:pos="426"/>
        </w:tabs>
        <w:rPr>
          <w:rFonts w:ascii="Times New Roman" w:hAnsi="Times New Roman"/>
          <w:lang w:val="es-PE" w:eastAsia="es-ES"/>
        </w:rPr>
      </w:pPr>
      <w:r w:rsidRPr="00D453C2">
        <w:rPr>
          <w:rFonts w:ascii="Times New Roman" w:hAnsi="Times New Roman"/>
          <w:lang w:val="es-PE" w:eastAsia="es-ES"/>
        </w:rPr>
        <w:t>Mediante</w:t>
      </w:r>
      <w:r w:rsidR="006572FA" w:rsidRPr="00D453C2">
        <w:rPr>
          <w:rFonts w:ascii="Times New Roman" w:hAnsi="Times New Roman"/>
          <w:lang w:val="es-PE" w:eastAsia="es-ES"/>
        </w:rPr>
        <w:t xml:space="preserve"> </w:t>
      </w:r>
      <w:r w:rsidR="002F6F53" w:rsidRPr="00D453C2">
        <w:rPr>
          <w:rFonts w:ascii="Times New Roman" w:hAnsi="Times New Roman"/>
          <w:lang w:val="es-PE" w:eastAsia="es-ES"/>
        </w:rPr>
        <w:t xml:space="preserve">Oficio </w:t>
      </w:r>
      <w:r w:rsidR="00ED564C" w:rsidRPr="00D453C2">
        <w:rPr>
          <w:rFonts w:ascii="Times New Roman" w:hAnsi="Times New Roman"/>
          <w:lang w:val="es-PE" w:eastAsia="es-ES"/>
        </w:rPr>
        <w:t>N° 003-</w:t>
      </w:r>
      <w:r w:rsidR="002F6F53" w:rsidRPr="00D453C2">
        <w:rPr>
          <w:rFonts w:ascii="Times New Roman" w:hAnsi="Times New Roman"/>
          <w:lang w:val="es-PE" w:eastAsia="es-ES"/>
        </w:rPr>
        <w:t>CAH-CS-HII-RTG-GRA-ICA-ESSALUD-2016</w:t>
      </w:r>
      <w:r w:rsidR="0000250C" w:rsidRPr="00D453C2">
        <w:rPr>
          <w:rFonts w:ascii="Times New Roman" w:hAnsi="Times New Roman"/>
          <w:lang w:val="es-PE" w:eastAsia="es-ES"/>
        </w:rPr>
        <w:t xml:space="preserve">, </w:t>
      </w:r>
      <w:r w:rsidR="0055252A" w:rsidRPr="00D453C2">
        <w:rPr>
          <w:rFonts w:ascii="Times New Roman" w:hAnsi="Times New Roman"/>
          <w:lang w:val="es-PE" w:eastAsia="es-ES"/>
        </w:rPr>
        <w:t xml:space="preserve">recibido con fecha </w:t>
      </w:r>
      <w:r w:rsidR="002F6F53" w:rsidRPr="00D453C2">
        <w:rPr>
          <w:rFonts w:ascii="Times New Roman" w:hAnsi="Times New Roman"/>
          <w:lang w:val="es-PE" w:eastAsia="es-ES"/>
        </w:rPr>
        <w:t>29</w:t>
      </w:r>
      <w:r w:rsidR="0000250C" w:rsidRPr="00D453C2">
        <w:rPr>
          <w:rFonts w:ascii="Times New Roman" w:hAnsi="Times New Roman"/>
          <w:lang w:val="es-PE" w:eastAsia="es-ES"/>
        </w:rPr>
        <w:t>.</w:t>
      </w:r>
      <w:r w:rsidR="002F6F53" w:rsidRPr="00D453C2">
        <w:rPr>
          <w:rFonts w:ascii="Times New Roman" w:hAnsi="Times New Roman"/>
          <w:lang w:val="es-PE" w:eastAsia="es-ES"/>
        </w:rPr>
        <w:t>ENE</w:t>
      </w:r>
      <w:r w:rsidR="00ED564C" w:rsidRPr="00D453C2">
        <w:rPr>
          <w:rFonts w:ascii="Times New Roman" w:hAnsi="Times New Roman"/>
          <w:lang w:val="es-PE" w:eastAsia="es-ES"/>
        </w:rPr>
        <w:t>.</w:t>
      </w:r>
      <w:r w:rsidR="002F6F53" w:rsidRPr="00D453C2">
        <w:rPr>
          <w:rFonts w:ascii="Times New Roman" w:hAnsi="Times New Roman"/>
          <w:lang w:val="es-PE" w:eastAsia="es-ES"/>
        </w:rPr>
        <w:t>16</w:t>
      </w:r>
      <w:r w:rsidR="00ED564C" w:rsidRPr="00D453C2">
        <w:rPr>
          <w:rFonts w:ascii="Times New Roman" w:hAnsi="Times New Roman"/>
          <w:lang w:val="es-PE" w:eastAsia="es-ES"/>
        </w:rPr>
        <w:t xml:space="preserve">, </w:t>
      </w:r>
      <w:r w:rsidRPr="00D453C2">
        <w:rPr>
          <w:rFonts w:ascii="Times New Roman" w:hAnsi="Times New Roman"/>
          <w:lang w:val="es-PE" w:eastAsia="es-ES"/>
        </w:rPr>
        <w:t xml:space="preserve">el Presidente </w:t>
      </w:r>
      <w:r w:rsidRPr="00D453C2">
        <w:rPr>
          <w:rFonts w:ascii="Times New Roman" w:hAnsi="Times New Roman"/>
          <w:lang w:eastAsia="es-ES"/>
        </w:rPr>
        <w:t xml:space="preserve">del Comité Especial a cargo </w:t>
      </w:r>
      <w:r w:rsidRPr="00D453C2">
        <w:rPr>
          <w:rFonts w:ascii="Times New Roman" w:hAnsi="Times New Roman"/>
          <w:lang w:val="es-PE" w:eastAsia="es-ES"/>
        </w:rPr>
        <w:t>del proceso de selección de la referencia remitió al Organismo Supervisor de las Contrataciones del Estado (OSCE) la</w:t>
      </w:r>
      <w:r w:rsidR="00B95795" w:rsidRPr="00D453C2">
        <w:rPr>
          <w:rFonts w:ascii="Times New Roman" w:hAnsi="Times New Roman"/>
          <w:lang w:val="es-PE" w:eastAsia="es-ES"/>
        </w:rPr>
        <w:t xml:space="preserve">s </w:t>
      </w:r>
      <w:r w:rsidR="002F6F53" w:rsidRPr="00D453C2">
        <w:rPr>
          <w:rFonts w:ascii="Times New Roman" w:hAnsi="Times New Roman"/>
          <w:lang w:val="es-PE" w:eastAsia="es-ES"/>
        </w:rPr>
        <w:t>catorce</w:t>
      </w:r>
      <w:r w:rsidR="0055252A" w:rsidRPr="00D453C2">
        <w:rPr>
          <w:rFonts w:ascii="Times New Roman" w:hAnsi="Times New Roman"/>
          <w:lang w:val="es-PE" w:eastAsia="es-ES"/>
        </w:rPr>
        <w:t xml:space="preserve"> (</w:t>
      </w:r>
      <w:r w:rsidR="002F6F53" w:rsidRPr="00D453C2">
        <w:rPr>
          <w:rFonts w:ascii="Times New Roman" w:hAnsi="Times New Roman"/>
          <w:lang w:val="es-PE" w:eastAsia="es-ES"/>
        </w:rPr>
        <w:t>14</w:t>
      </w:r>
      <w:r w:rsidR="0055252A" w:rsidRPr="00D453C2">
        <w:rPr>
          <w:rFonts w:ascii="Times New Roman" w:hAnsi="Times New Roman"/>
          <w:lang w:val="es-PE" w:eastAsia="es-ES"/>
        </w:rPr>
        <w:t xml:space="preserve">) observaciones </w:t>
      </w:r>
      <w:r w:rsidR="00EF437E" w:rsidRPr="00D453C2">
        <w:rPr>
          <w:rFonts w:ascii="Times New Roman" w:hAnsi="Times New Roman"/>
          <w:lang w:val="es-PE" w:eastAsia="es-ES"/>
        </w:rPr>
        <w:t>formulad</w:t>
      </w:r>
      <w:r w:rsidR="0055252A" w:rsidRPr="00D453C2">
        <w:rPr>
          <w:rFonts w:ascii="Times New Roman" w:hAnsi="Times New Roman"/>
          <w:lang w:val="es-PE" w:eastAsia="es-ES"/>
        </w:rPr>
        <w:t>a</w:t>
      </w:r>
      <w:r w:rsidR="005403CB" w:rsidRPr="00D453C2">
        <w:rPr>
          <w:rFonts w:ascii="Times New Roman" w:hAnsi="Times New Roman"/>
          <w:lang w:val="es-PE" w:eastAsia="es-ES"/>
        </w:rPr>
        <w:t>s</w:t>
      </w:r>
      <w:r w:rsidRPr="00D453C2">
        <w:rPr>
          <w:rFonts w:ascii="Times New Roman" w:hAnsi="Times New Roman"/>
          <w:lang w:val="es-PE" w:eastAsia="es-ES"/>
        </w:rPr>
        <w:t xml:space="preserve"> por </w:t>
      </w:r>
      <w:r w:rsidR="00C819B7" w:rsidRPr="00D453C2">
        <w:rPr>
          <w:rFonts w:ascii="Times New Roman" w:hAnsi="Times New Roman"/>
          <w:lang w:val="es-PE" w:eastAsia="es-ES"/>
        </w:rPr>
        <w:t>el</w:t>
      </w:r>
      <w:r w:rsidRPr="00D453C2">
        <w:rPr>
          <w:rFonts w:ascii="Times New Roman" w:hAnsi="Times New Roman"/>
          <w:lang w:val="es-PE" w:eastAsia="es-ES"/>
        </w:rPr>
        <w:t xml:space="preserve"> participante</w:t>
      </w:r>
      <w:r w:rsidRPr="00D453C2">
        <w:rPr>
          <w:rFonts w:ascii="Times New Roman" w:hAnsi="Times New Roman"/>
          <w:b/>
          <w:caps/>
          <w:lang w:val="es-ES_tradnl"/>
        </w:rPr>
        <w:t xml:space="preserve"> </w:t>
      </w:r>
      <w:r w:rsidR="002F6F53" w:rsidRPr="00D453C2">
        <w:rPr>
          <w:rFonts w:ascii="Times New Roman" w:hAnsi="Times New Roman"/>
          <w:b/>
          <w:caps/>
          <w:lang w:val="es-ES_tradnl"/>
        </w:rPr>
        <w:t xml:space="preserve">CENTRO MEDICO ESPECIALIZADO CHINCHA </w:t>
      </w:r>
      <w:r w:rsidR="00ED43CB" w:rsidRPr="00D453C2">
        <w:rPr>
          <w:rFonts w:ascii="Times New Roman" w:hAnsi="Times New Roman"/>
          <w:b/>
          <w:caps/>
          <w:lang w:val="es-ES_tradnl"/>
        </w:rPr>
        <w:t>s</w:t>
      </w:r>
      <w:r w:rsidR="00A43CB4" w:rsidRPr="00D453C2">
        <w:rPr>
          <w:rFonts w:ascii="Times New Roman" w:hAnsi="Times New Roman"/>
          <w:b/>
          <w:caps/>
          <w:lang w:val="es-ES_tradnl"/>
        </w:rPr>
        <w:t>.A.C.</w:t>
      </w:r>
      <w:r w:rsidRPr="00D453C2">
        <w:rPr>
          <w:rFonts w:ascii="Times New Roman" w:hAnsi="Times New Roman"/>
          <w:caps/>
          <w:lang w:val="es-ES_tradnl"/>
        </w:rPr>
        <w:t xml:space="preserve">, </w:t>
      </w:r>
      <w:r w:rsidRPr="00D453C2">
        <w:rPr>
          <w:rFonts w:ascii="Times New Roman" w:hAnsi="Times New Roman"/>
          <w:lang w:val="es-PE" w:eastAsia="es-ES"/>
        </w:rPr>
        <w:t xml:space="preserve">así como el respectivo informe técnico, </w:t>
      </w:r>
      <w:r w:rsidRPr="00D453C2">
        <w:rPr>
          <w:rFonts w:ascii="Times New Roman" w:hAnsi="Times New Roman"/>
          <w:lang w:eastAsia="es-ES"/>
        </w:rPr>
        <w:t>en cumplimiento de lo dispuesto por el artículo 28 del Decreto Legislativo Nº1017, que aprueba la Ley de Contrataciones del Estado, en adelante la Ley, y el artículo 58 de su Reglamento, aprobado por Decreto Supremo Nº 184-2008-EF, en adelante el Reglamento.</w:t>
      </w:r>
      <w:r w:rsidR="00E0777C" w:rsidRPr="00D453C2">
        <w:rPr>
          <w:rFonts w:ascii="Times New Roman" w:hAnsi="Times New Roman"/>
          <w:lang w:eastAsia="es-ES"/>
        </w:rPr>
        <w:t xml:space="preserve"> </w:t>
      </w:r>
    </w:p>
    <w:p w:rsidR="005441FF" w:rsidRPr="00D453C2" w:rsidRDefault="005441FF" w:rsidP="00E453FC">
      <w:pPr>
        <w:pStyle w:val="WW-Sangra3detindependiente"/>
        <w:widowControl/>
        <w:suppressAutoHyphens w:val="0"/>
        <w:ind w:left="2"/>
        <w:rPr>
          <w:szCs w:val="24"/>
          <w:lang w:eastAsia="es-ES"/>
        </w:rPr>
      </w:pPr>
    </w:p>
    <w:p w:rsidR="002F6F53" w:rsidRPr="00D453C2" w:rsidRDefault="002F6F53" w:rsidP="002F6F53">
      <w:pPr>
        <w:pStyle w:val="WW-Sangra3detindependiente"/>
        <w:suppressAutoHyphens w:val="0"/>
        <w:ind w:left="1"/>
        <w:rPr>
          <w:szCs w:val="24"/>
          <w:lang w:val="es-PE"/>
        </w:rPr>
      </w:pPr>
      <w:r w:rsidRPr="00D453C2">
        <w:rPr>
          <w:szCs w:val="24"/>
          <w:lang w:val="es-PE" w:eastAsia="es-ES"/>
        </w:rPr>
        <w:t xml:space="preserve">Al respecto, resulta importante resaltar que, </w:t>
      </w:r>
      <w:r w:rsidRPr="00D453C2">
        <w:rPr>
          <w:szCs w:val="24"/>
          <w:lang w:val="es-PE"/>
        </w:rPr>
        <w:t>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2F6F53" w:rsidRPr="00D453C2" w:rsidRDefault="002F6F53" w:rsidP="002F6F53">
      <w:pPr>
        <w:pStyle w:val="WW-Sangra3detindependiente"/>
        <w:suppressAutoHyphens w:val="0"/>
        <w:ind w:left="2" w:right="-1" w:firstLine="0"/>
        <w:rPr>
          <w:rFonts w:eastAsia="MS Mincho"/>
          <w:szCs w:val="24"/>
          <w:lang w:eastAsia="es-ES"/>
        </w:rPr>
      </w:pPr>
    </w:p>
    <w:p w:rsidR="0087198E" w:rsidRPr="00D453C2" w:rsidRDefault="002F6F53" w:rsidP="002F6F53">
      <w:pPr>
        <w:pStyle w:val="WW-Sangra3detindependiente"/>
        <w:suppressAutoHyphens w:val="0"/>
        <w:ind w:left="2" w:right="-1" w:firstLine="0"/>
        <w:rPr>
          <w:rFonts w:eastAsia="MS Mincho"/>
          <w:szCs w:val="24"/>
          <w:lang w:eastAsia="es-ES"/>
        </w:rPr>
      </w:pPr>
      <w:r w:rsidRPr="00D453C2">
        <w:rPr>
          <w:szCs w:val="24"/>
          <w:lang w:val="es-PE"/>
        </w:rPr>
        <w:t xml:space="preserve">Con relación a las </w:t>
      </w:r>
      <w:r w:rsidR="00446F86">
        <w:rPr>
          <w:szCs w:val="24"/>
          <w:lang w:val="es-PE"/>
        </w:rPr>
        <w:t>Observaciones Nº 1, 2, 4, 7, 8,</w:t>
      </w:r>
      <w:r w:rsidRPr="00D453C2">
        <w:rPr>
          <w:szCs w:val="24"/>
          <w:lang w:val="es-PE"/>
        </w:rPr>
        <w:t xml:space="preserve"> 12</w:t>
      </w:r>
      <w:r w:rsidR="00446F86">
        <w:rPr>
          <w:szCs w:val="24"/>
          <w:lang w:val="es-PE"/>
        </w:rPr>
        <w:t xml:space="preserve"> y 13 </w:t>
      </w:r>
      <w:r w:rsidRPr="00D453C2">
        <w:rPr>
          <w:szCs w:val="24"/>
          <w:lang w:val="es-PE"/>
        </w:rPr>
        <w:t xml:space="preserve"> formuladas por el </w:t>
      </w:r>
      <w:r w:rsidRPr="00D453C2">
        <w:rPr>
          <w:rFonts w:eastAsia="MS Mincho"/>
          <w:szCs w:val="24"/>
          <w:lang w:eastAsia="es-ES"/>
        </w:rPr>
        <w:t>participante</w:t>
      </w:r>
      <w:r w:rsidRPr="00D453C2">
        <w:rPr>
          <w:rFonts w:eastAsia="MS Mincho"/>
          <w:b/>
          <w:szCs w:val="24"/>
          <w:lang w:eastAsia="es-ES"/>
        </w:rPr>
        <w:t xml:space="preserve"> </w:t>
      </w:r>
      <w:r w:rsidRPr="00D453C2">
        <w:rPr>
          <w:b/>
          <w:caps/>
          <w:szCs w:val="24"/>
        </w:rPr>
        <w:t>CENTRO MEDICO ESPECIALIZADO CHINCHA s.A.C.</w:t>
      </w:r>
      <w:r w:rsidRPr="00D453C2">
        <w:rPr>
          <w:caps/>
          <w:szCs w:val="24"/>
        </w:rPr>
        <w:t xml:space="preserve">, </w:t>
      </w:r>
      <w:r w:rsidRPr="00D453C2">
        <w:rPr>
          <w:szCs w:val="24"/>
          <w:lang w:val="es-PE"/>
        </w:rPr>
        <w:t xml:space="preserve">cabe precisar que de la revisión del pliego absolutorio, se advierte que se tratan de </w:t>
      </w:r>
      <w:r w:rsidRPr="00D453C2">
        <w:rPr>
          <w:rFonts w:eastAsia="MS Mincho"/>
          <w:szCs w:val="24"/>
          <w:lang w:val="es-PE" w:eastAsia="es-ES"/>
        </w:rPr>
        <w:t xml:space="preserve">solicitudes de información y/o aclaración y/o precisión al contenido de las Bases </w:t>
      </w:r>
      <w:r w:rsidR="0091627F">
        <w:rPr>
          <w:rFonts w:eastAsia="MS Mincho"/>
          <w:szCs w:val="24"/>
          <w:lang w:val="es-PE" w:eastAsia="es-ES"/>
        </w:rPr>
        <w:t xml:space="preserve"> </w:t>
      </w:r>
      <w:r w:rsidRPr="00D453C2">
        <w:rPr>
          <w:rFonts w:eastAsia="MS Mincho"/>
          <w:szCs w:val="24"/>
          <w:lang w:val="es-PE" w:eastAsia="es-ES"/>
        </w:rPr>
        <w:t>que no se sustentan en la vulneración de la normativa de contrataciones del Estado y/o normas complementarias o conexas que tengan relación con el p</w:t>
      </w:r>
      <w:r w:rsidR="0091627F">
        <w:rPr>
          <w:rFonts w:eastAsia="MS Mincho"/>
          <w:szCs w:val="24"/>
          <w:lang w:val="es-PE" w:eastAsia="es-ES"/>
        </w:rPr>
        <w:t xml:space="preserve">roceso de selección, por lo que, </w:t>
      </w:r>
      <w:r w:rsidRPr="00D453C2">
        <w:rPr>
          <w:rFonts w:eastAsia="MS Mincho"/>
          <w:szCs w:val="24"/>
          <w:lang w:val="es-PE" w:eastAsia="es-ES"/>
        </w:rPr>
        <w:t>al tratarse en estricto de consultas,</w:t>
      </w:r>
      <w:r w:rsidRPr="00D453C2">
        <w:rPr>
          <w:rFonts w:eastAsia="MS Mincho"/>
          <w:b/>
          <w:szCs w:val="24"/>
          <w:lang w:val="es-PE" w:eastAsia="es-ES"/>
        </w:rPr>
        <w:t xml:space="preserve"> </w:t>
      </w:r>
      <w:r w:rsidRPr="00D453C2">
        <w:rPr>
          <w:rFonts w:eastAsia="MS Mincho"/>
          <w:szCs w:val="24"/>
          <w:lang w:val="es-PE" w:eastAsia="es-ES"/>
        </w:rPr>
        <w:t xml:space="preserve">este Organismo Supervisor no se pronunciará respecto de </w:t>
      </w:r>
      <w:r w:rsidRPr="00D453C2">
        <w:rPr>
          <w:rFonts w:eastAsia="MS Mincho"/>
          <w:szCs w:val="24"/>
          <w:lang w:eastAsia="es-ES"/>
        </w:rPr>
        <w:t>ellas.</w:t>
      </w:r>
    </w:p>
    <w:p w:rsidR="0087198E" w:rsidRDefault="0087198E" w:rsidP="002F6F53">
      <w:pPr>
        <w:pStyle w:val="WW-Sangra3detindependiente"/>
        <w:suppressAutoHyphens w:val="0"/>
        <w:ind w:left="2" w:right="-1" w:firstLine="0"/>
        <w:rPr>
          <w:rFonts w:eastAsia="MS Mincho"/>
          <w:szCs w:val="24"/>
          <w:lang w:eastAsia="es-ES"/>
        </w:rPr>
      </w:pPr>
    </w:p>
    <w:p w:rsidR="00F91E53" w:rsidRDefault="00C87FE3" w:rsidP="00C87FE3">
      <w:pPr>
        <w:pStyle w:val="WW-Sangra3detindependiente"/>
        <w:suppressAutoHyphens w:val="0"/>
        <w:ind w:left="2" w:right="-1" w:firstLine="0"/>
        <w:rPr>
          <w:rFonts w:eastAsia="Calibri"/>
          <w:color w:val="000000"/>
          <w:szCs w:val="24"/>
          <w:lang w:val="es-PE" w:eastAsia="es-PE"/>
        </w:rPr>
      </w:pPr>
      <w:r>
        <w:rPr>
          <w:rFonts w:eastAsia="MS Mincho"/>
          <w:szCs w:val="24"/>
          <w:lang w:eastAsia="es-ES"/>
        </w:rPr>
        <w:t xml:space="preserve">Con relación a la Observación N° 3, </w:t>
      </w:r>
      <w:r w:rsidR="00F91E53" w:rsidRPr="00F91E53">
        <w:rPr>
          <w:rFonts w:eastAsia="Calibri"/>
          <w:color w:val="000000"/>
          <w:szCs w:val="24"/>
          <w:lang w:val="es-PE" w:eastAsia="es-PE"/>
        </w:rPr>
        <w:t xml:space="preserve">cabe señalar que este Organismo Supervisor no se pronunciará al respecto, dado que </w:t>
      </w:r>
      <w:r w:rsidR="00F91E53">
        <w:rPr>
          <w:rFonts w:eastAsia="Calibri"/>
          <w:color w:val="000000"/>
          <w:szCs w:val="24"/>
          <w:lang w:val="es-PE" w:eastAsia="es-PE"/>
        </w:rPr>
        <w:t xml:space="preserve">si bien se hace referencia al plazo de la conformidad y pago, en estricto, los aspectos cuestionados </w:t>
      </w:r>
      <w:r w:rsidR="00F91E53" w:rsidRPr="00F91E53">
        <w:rPr>
          <w:rFonts w:eastAsia="Calibri"/>
          <w:color w:val="000000"/>
          <w:szCs w:val="24"/>
          <w:lang w:val="es-PE" w:eastAsia="es-PE"/>
        </w:rPr>
        <w:t xml:space="preserve">no versan sobre el incumplimiento de las condiciones mínimas que se refiere el artículo 26° de la Ley, de cualquier disposición en materia de contrataciones del Estado u otra normas complementarias o conexas, sino que se trata de supuestos creados por el participante que podrían generarse o no dentro de la ejecución contractual. </w:t>
      </w:r>
    </w:p>
    <w:p w:rsidR="00F91E53" w:rsidRDefault="00F91E53" w:rsidP="00C87FE3">
      <w:pPr>
        <w:pStyle w:val="WW-Sangra3detindependiente"/>
        <w:suppressAutoHyphens w:val="0"/>
        <w:ind w:left="2" w:right="-1" w:firstLine="0"/>
        <w:rPr>
          <w:rFonts w:eastAsia="Calibri"/>
          <w:color w:val="000000"/>
          <w:szCs w:val="24"/>
          <w:lang w:val="es-PE" w:eastAsia="es-PE"/>
        </w:rPr>
      </w:pPr>
    </w:p>
    <w:p w:rsidR="000C1A3C" w:rsidRDefault="000C1A3C" w:rsidP="00C87FE3">
      <w:pPr>
        <w:pStyle w:val="WW-Sangra3detindependiente"/>
        <w:suppressAutoHyphens w:val="0"/>
        <w:ind w:left="2" w:right="-1" w:firstLine="0"/>
        <w:rPr>
          <w:rFonts w:eastAsia="Calibri"/>
          <w:color w:val="000000"/>
          <w:szCs w:val="24"/>
          <w:lang w:val="es-PE" w:eastAsia="es-PE"/>
        </w:rPr>
      </w:pPr>
    </w:p>
    <w:p w:rsidR="00F91E53" w:rsidRDefault="00F91E53" w:rsidP="00C87FE3">
      <w:pPr>
        <w:pStyle w:val="WW-Sangra3detindependiente"/>
        <w:suppressAutoHyphens w:val="0"/>
        <w:ind w:left="2" w:right="-1" w:firstLine="0"/>
        <w:rPr>
          <w:rFonts w:eastAsia="MS Mincho"/>
          <w:szCs w:val="24"/>
          <w:lang w:val="es-ES" w:eastAsia="es-ES"/>
        </w:rPr>
      </w:pPr>
      <w:r>
        <w:rPr>
          <w:rFonts w:eastAsia="Calibri"/>
          <w:color w:val="000000"/>
          <w:szCs w:val="24"/>
          <w:lang w:val="es-PE" w:eastAsia="es-PE"/>
        </w:rPr>
        <w:lastRenderedPageBreak/>
        <w:t>Con relación a la</w:t>
      </w:r>
      <w:r w:rsidR="00446F86">
        <w:rPr>
          <w:rFonts w:eastAsia="Calibri"/>
          <w:color w:val="000000"/>
          <w:szCs w:val="24"/>
          <w:lang w:val="es-PE" w:eastAsia="es-PE"/>
        </w:rPr>
        <w:t>s Observaciones</w:t>
      </w:r>
      <w:r>
        <w:rPr>
          <w:rFonts w:eastAsia="Calibri"/>
          <w:color w:val="000000"/>
          <w:szCs w:val="24"/>
          <w:lang w:val="es-PE" w:eastAsia="es-PE"/>
        </w:rPr>
        <w:t xml:space="preserve"> N° 5</w:t>
      </w:r>
      <w:r w:rsidR="00446F86">
        <w:rPr>
          <w:rFonts w:eastAsia="Calibri"/>
          <w:color w:val="000000"/>
          <w:szCs w:val="24"/>
          <w:lang w:val="es-PE" w:eastAsia="es-PE"/>
        </w:rPr>
        <w:t xml:space="preserve"> y 14</w:t>
      </w:r>
      <w:r>
        <w:rPr>
          <w:rFonts w:eastAsia="Calibri"/>
          <w:color w:val="000000"/>
          <w:szCs w:val="24"/>
          <w:lang w:val="es-PE" w:eastAsia="es-PE"/>
        </w:rPr>
        <w:t xml:space="preserve">, </w:t>
      </w:r>
      <w:r w:rsidRPr="00FF0C46">
        <w:rPr>
          <w:szCs w:val="24"/>
        </w:rPr>
        <w:t>cabe señalar que de la revisión del pliego absolutorio de observaciones se advierte que</w:t>
      </w:r>
      <w:r>
        <w:rPr>
          <w:szCs w:val="24"/>
        </w:rPr>
        <w:t xml:space="preserve"> dicha observación ha sido acogida, por lo que, </w:t>
      </w:r>
      <w:r w:rsidRPr="00FF0C46">
        <w:rPr>
          <w:rFonts w:eastAsia="MS Mincho"/>
          <w:szCs w:val="24"/>
          <w:lang w:val="es-ES" w:eastAsia="es-ES"/>
        </w:rPr>
        <w:t xml:space="preserve">no habiendo </w:t>
      </w:r>
      <w:r>
        <w:rPr>
          <w:rFonts w:eastAsia="MS Mincho"/>
          <w:szCs w:val="24"/>
          <w:lang w:val="es-ES" w:eastAsia="es-ES"/>
        </w:rPr>
        <w:t xml:space="preserve">sido </w:t>
      </w:r>
      <w:r w:rsidRPr="00FF0C46">
        <w:rPr>
          <w:rFonts w:eastAsia="MS Mincho"/>
          <w:szCs w:val="24"/>
          <w:lang w:val="es-ES" w:eastAsia="es-ES"/>
        </w:rPr>
        <w:t xml:space="preserve">cuestionado </w:t>
      </w:r>
      <w:r>
        <w:rPr>
          <w:rFonts w:eastAsia="MS Mincho"/>
          <w:szCs w:val="24"/>
          <w:lang w:val="es-ES" w:eastAsia="es-ES"/>
        </w:rPr>
        <w:t xml:space="preserve">dicha absolución por parte </w:t>
      </w:r>
      <w:r w:rsidRPr="00FF0C46">
        <w:rPr>
          <w:rFonts w:eastAsia="MS Mincho"/>
          <w:szCs w:val="24"/>
          <w:lang w:val="es-ES" w:eastAsia="es-ES"/>
        </w:rPr>
        <w:t>el recurrente; este Organismo Supervisor no se pronunciará al respecto.</w:t>
      </w:r>
    </w:p>
    <w:p w:rsidR="0091627F" w:rsidRDefault="0091627F" w:rsidP="00C87FE3">
      <w:pPr>
        <w:pStyle w:val="WW-Sangra3detindependiente"/>
        <w:suppressAutoHyphens w:val="0"/>
        <w:ind w:left="2" w:right="-1" w:firstLine="0"/>
        <w:rPr>
          <w:rFonts w:eastAsia="MS Mincho"/>
          <w:szCs w:val="24"/>
          <w:lang w:val="es-ES" w:eastAsia="es-ES"/>
        </w:rPr>
      </w:pPr>
    </w:p>
    <w:p w:rsidR="0091627F" w:rsidRPr="00D453C2" w:rsidRDefault="0091627F" w:rsidP="0091627F">
      <w:pPr>
        <w:pStyle w:val="WW-Sangra3detindependiente"/>
        <w:suppressAutoHyphens w:val="0"/>
        <w:ind w:left="2" w:right="-1" w:firstLine="0"/>
        <w:rPr>
          <w:rFonts w:eastAsia="MS Mincho"/>
          <w:szCs w:val="24"/>
          <w:lang w:eastAsia="es-ES"/>
        </w:rPr>
      </w:pPr>
      <w:r>
        <w:rPr>
          <w:rFonts w:eastAsia="MS Mincho"/>
          <w:szCs w:val="24"/>
          <w:lang w:val="es-ES" w:eastAsia="es-ES"/>
        </w:rPr>
        <w:t xml:space="preserve">Con relación a la Observación N°9, cabe señalar que de la revisión del pliego absolutorio, se aprecia que contiene 2 extremos, siendo el segundo extremo versaría sobre </w:t>
      </w:r>
      <w:r w:rsidRPr="00D453C2">
        <w:rPr>
          <w:rFonts w:eastAsia="MS Mincho"/>
          <w:szCs w:val="24"/>
          <w:lang w:val="es-PE" w:eastAsia="es-ES"/>
        </w:rPr>
        <w:t xml:space="preserve">solicitudes de </w:t>
      </w:r>
      <w:r>
        <w:rPr>
          <w:rFonts w:eastAsia="MS Mincho"/>
          <w:szCs w:val="24"/>
          <w:lang w:val="es-PE" w:eastAsia="es-ES"/>
        </w:rPr>
        <w:t xml:space="preserve">precisión </w:t>
      </w:r>
      <w:r w:rsidRPr="00D453C2">
        <w:rPr>
          <w:rFonts w:eastAsia="MS Mincho"/>
          <w:szCs w:val="24"/>
          <w:lang w:val="es-PE" w:eastAsia="es-ES"/>
        </w:rPr>
        <w:t>y/o</w:t>
      </w:r>
      <w:r>
        <w:rPr>
          <w:rFonts w:eastAsia="MS Mincho"/>
          <w:szCs w:val="24"/>
          <w:lang w:val="es-PE" w:eastAsia="es-ES"/>
        </w:rPr>
        <w:t xml:space="preserve"> modificación </w:t>
      </w:r>
      <w:r w:rsidRPr="00D453C2">
        <w:rPr>
          <w:rFonts w:eastAsia="MS Mincho"/>
          <w:szCs w:val="24"/>
          <w:lang w:val="es-PE" w:eastAsia="es-ES"/>
        </w:rPr>
        <w:t>al contenido de las Bases que no se sustentan en la vulneración de la normativa de contrataciones del Estado y/o normas complementarias o conexas que tengan relación con el proceso de selección, por lo que al tratarse en estricto de consultas,</w:t>
      </w:r>
      <w:r w:rsidRPr="00D453C2">
        <w:rPr>
          <w:rFonts w:eastAsia="MS Mincho"/>
          <w:b/>
          <w:szCs w:val="24"/>
          <w:lang w:val="es-PE" w:eastAsia="es-ES"/>
        </w:rPr>
        <w:t xml:space="preserve"> </w:t>
      </w:r>
      <w:r w:rsidRPr="00D453C2">
        <w:rPr>
          <w:rFonts w:eastAsia="MS Mincho"/>
          <w:szCs w:val="24"/>
          <w:lang w:val="es-PE" w:eastAsia="es-ES"/>
        </w:rPr>
        <w:t xml:space="preserve">este Organismo Supervisor no se pronunciará respecto de </w:t>
      </w:r>
      <w:r>
        <w:rPr>
          <w:rFonts w:eastAsia="MS Mincho"/>
          <w:szCs w:val="24"/>
          <w:lang w:eastAsia="es-ES"/>
        </w:rPr>
        <w:t>dicho extremo.</w:t>
      </w:r>
    </w:p>
    <w:p w:rsidR="00C87FE3" w:rsidRPr="00D453C2" w:rsidRDefault="00C87FE3" w:rsidP="002F6F53">
      <w:pPr>
        <w:pStyle w:val="WW-Sangra3detindependiente"/>
        <w:suppressAutoHyphens w:val="0"/>
        <w:ind w:left="2" w:right="-1" w:firstLine="0"/>
        <w:rPr>
          <w:rFonts w:eastAsia="MS Mincho"/>
          <w:szCs w:val="24"/>
          <w:lang w:eastAsia="es-ES"/>
        </w:rPr>
      </w:pPr>
    </w:p>
    <w:p w:rsidR="0087198E" w:rsidRPr="00D453C2" w:rsidRDefault="0087198E" w:rsidP="0087198E">
      <w:pPr>
        <w:pStyle w:val="WW-Sangra3detindependiente"/>
        <w:suppressAutoHyphens w:val="0"/>
        <w:ind w:left="2" w:right="-1" w:firstLine="0"/>
        <w:rPr>
          <w:rFonts w:eastAsia="MS Mincho"/>
          <w:szCs w:val="24"/>
          <w:lang w:eastAsia="es-ES"/>
        </w:rPr>
      </w:pPr>
      <w:r w:rsidRPr="00D453C2">
        <w:rPr>
          <w:rFonts w:eastAsia="MS Mincho"/>
          <w:szCs w:val="24"/>
          <w:lang w:eastAsia="es-ES"/>
        </w:rPr>
        <w:t xml:space="preserve">Sin perjuicio </w:t>
      </w:r>
      <w:r w:rsidRPr="00D453C2">
        <w:rPr>
          <w:rFonts w:eastAsia="MS Mincho"/>
          <w:szCs w:val="24"/>
          <w:lang w:val="es-PE" w:eastAsia="es-ES"/>
        </w:rPr>
        <w:t>de las observaciones de oficio que puedan realizarse sobre aspectos relevantes de las Bases al amparo de lo previsto en el inciso a) del artículo 58 de la Ley</w:t>
      </w:r>
      <w:r w:rsidRPr="00D453C2">
        <w:rPr>
          <w:rFonts w:eastAsia="MS Mincho"/>
          <w:szCs w:val="24"/>
          <w:lang w:eastAsia="es-ES"/>
        </w:rPr>
        <w:t>.</w:t>
      </w:r>
    </w:p>
    <w:p w:rsidR="0087198E" w:rsidRPr="00D453C2" w:rsidRDefault="0087198E" w:rsidP="00E453FC">
      <w:pPr>
        <w:pStyle w:val="WW-Sangra3detindependiente"/>
        <w:widowControl/>
        <w:suppressAutoHyphens w:val="0"/>
        <w:ind w:left="2"/>
        <w:rPr>
          <w:szCs w:val="24"/>
          <w:lang w:eastAsia="es-ES"/>
        </w:rPr>
      </w:pPr>
    </w:p>
    <w:p w:rsidR="006C7112" w:rsidRPr="00D453C2" w:rsidRDefault="006C7112" w:rsidP="00E453FC">
      <w:pPr>
        <w:pStyle w:val="Textoindependiente2"/>
        <w:widowControl w:val="0"/>
        <w:numPr>
          <w:ilvl w:val="0"/>
          <w:numId w:val="1"/>
        </w:numPr>
        <w:tabs>
          <w:tab w:val="clear" w:pos="360"/>
          <w:tab w:val="num" w:pos="567"/>
        </w:tabs>
        <w:spacing w:after="0" w:line="240" w:lineRule="auto"/>
        <w:ind w:left="567" w:hanging="567"/>
        <w:jc w:val="both"/>
        <w:rPr>
          <w:b/>
        </w:rPr>
      </w:pPr>
      <w:r w:rsidRPr="00D453C2">
        <w:rPr>
          <w:b/>
        </w:rPr>
        <w:t>OBSERVACIONES</w:t>
      </w:r>
    </w:p>
    <w:p w:rsidR="006C7112" w:rsidRPr="00D453C2" w:rsidRDefault="006C7112" w:rsidP="00E453FC">
      <w:pPr>
        <w:pStyle w:val="Textoindependiente2"/>
        <w:widowControl w:val="0"/>
        <w:spacing w:after="0" w:line="240" w:lineRule="auto"/>
        <w:jc w:val="both"/>
        <w:rPr>
          <w:b/>
        </w:rPr>
      </w:pPr>
    </w:p>
    <w:p w:rsidR="004A6826" w:rsidRPr="00D453C2" w:rsidRDefault="006C7112" w:rsidP="00E453FC">
      <w:pPr>
        <w:widowControl w:val="0"/>
        <w:tabs>
          <w:tab w:val="left" w:pos="567"/>
          <w:tab w:val="left" w:pos="4253"/>
        </w:tabs>
        <w:ind w:left="4248" w:hanging="4248"/>
        <w:jc w:val="both"/>
        <w:rPr>
          <w:b/>
          <w:caps/>
          <w:lang w:val="es-ES_tradnl"/>
        </w:rPr>
      </w:pPr>
      <w:r w:rsidRPr="00D453C2">
        <w:rPr>
          <w:b/>
          <w:lang w:val="es-PE"/>
        </w:rPr>
        <w:t>Observante:</w:t>
      </w:r>
      <w:r w:rsidRPr="00D453C2">
        <w:rPr>
          <w:b/>
          <w:lang w:val="es-PE"/>
        </w:rPr>
        <w:tab/>
      </w:r>
      <w:r w:rsidR="002F6F53" w:rsidRPr="00D453C2">
        <w:rPr>
          <w:b/>
          <w:caps/>
          <w:lang w:val="es-ES_tradnl"/>
        </w:rPr>
        <w:t>CENTRO MEDICO ESPECIALIZADO CHINCHA</w:t>
      </w:r>
    </w:p>
    <w:p w:rsidR="002F6F53" w:rsidRPr="00D453C2" w:rsidRDefault="002F6F53" w:rsidP="00E453FC">
      <w:pPr>
        <w:widowControl w:val="0"/>
        <w:tabs>
          <w:tab w:val="left" w:pos="567"/>
          <w:tab w:val="left" w:pos="4253"/>
        </w:tabs>
        <w:ind w:left="4248" w:hanging="4248"/>
        <w:jc w:val="both"/>
        <w:rPr>
          <w:lang w:val="es-ES_tradnl"/>
        </w:rPr>
      </w:pPr>
    </w:p>
    <w:p w:rsidR="00A2316F" w:rsidRPr="00D453C2" w:rsidRDefault="004A6826" w:rsidP="00E453FC">
      <w:pPr>
        <w:widowControl w:val="0"/>
        <w:tabs>
          <w:tab w:val="left" w:pos="4253"/>
        </w:tabs>
        <w:ind w:left="4253" w:hanging="4253"/>
        <w:jc w:val="both"/>
        <w:rPr>
          <w:b/>
          <w:lang w:val="es-PE"/>
        </w:rPr>
      </w:pPr>
      <w:r w:rsidRPr="00D453C2">
        <w:rPr>
          <w:b/>
          <w:lang w:val="es-PE"/>
        </w:rPr>
        <w:t>Observación</w:t>
      </w:r>
      <w:r w:rsidR="006715AB" w:rsidRPr="00D453C2">
        <w:rPr>
          <w:b/>
          <w:lang w:val="es-PE"/>
        </w:rPr>
        <w:t xml:space="preserve"> Nº </w:t>
      </w:r>
      <w:r w:rsidR="0087198E" w:rsidRPr="00D453C2">
        <w:rPr>
          <w:b/>
          <w:lang w:val="es-PE"/>
        </w:rPr>
        <w:t>6</w:t>
      </w:r>
      <w:r w:rsidR="00A2316F" w:rsidRPr="00D453C2">
        <w:rPr>
          <w:b/>
          <w:lang w:val="es-PE"/>
        </w:rPr>
        <w:t>:</w:t>
      </w:r>
      <w:r w:rsidR="00A2316F" w:rsidRPr="00D453C2">
        <w:rPr>
          <w:b/>
          <w:lang w:val="es-PE"/>
        </w:rPr>
        <w:tab/>
        <w:t xml:space="preserve">Contra </w:t>
      </w:r>
      <w:r w:rsidR="00556D24" w:rsidRPr="00D453C2">
        <w:rPr>
          <w:b/>
          <w:lang w:val="es-PE"/>
        </w:rPr>
        <w:t>l</w:t>
      </w:r>
      <w:r w:rsidR="00512EA6" w:rsidRPr="00D453C2">
        <w:rPr>
          <w:b/>
          <w:lang w:val="es-PE"/>
        </w:rPr>
        <w:t>a</w:t>
      </w:r>
      <w:r w:rsidRPr="00D453C2">
        <w:rPr>
          <w:b/>
          <w:lang w:val="es-PE"/>
        </w:rPr>
        <w:t xml:space="preserve"> </w:t>
      </w:r>
      <w:r w:rsidR="0087198E" w:rsidRPr="00D453C2">
        <w:rPr>
          <w:b/>
          <w:lang w:val="es-PE"/>
        </w:rPr>
        <w:t>documentación de presentación obligatoria</w:t>
      </w:r>
    </w:p>
    <w:p w:rsidR="00A2316F" w:rsidRPr="00D453C2" w:rsidRDefault="00A2316F" w:rsidP="00E453FC">
      <w:pPr>
        <w:jc w:val="both"/>
        <w:rPr>
          <w:lang w:val="es-PE"/>
        </w:rPr>
      </w:pPr>
    </w:p>
    <w:p w:rsidR="007A48A4" w:rsidRPr="00D453C2" w:rsidRDefault="003D1A91" w:rsidP="003D1A91">
      <w:pPr>
        <w:widowControl w:val="0"/>
        <w:jc w:val="both"/>
        <w:rPr>
          <w:lang w:val="es-PE"/>
        </w:rPr>
      </w:pPr>
      <w:r w:rsidRPr="00D453C2">
        <w:rPr>
          <w:lang w:val="es-PE"/>
        </w:rPr>
        <w:t xml:space="preserve">El participante </w:t>
      </w:r>
      <w:r w:rsidR="00C33D2C" w:rsidRPr="00D453C2">
        <w:rPr>
          <w:lang w:val="es-PE"/>
        </w:rPr>
        <w:t xml:space="preserve">cuestiona </w:t>
      </w:r>
      <w:r w:rsidR="0087198E" w:rsidRPr="00D453C2">
        <w:rPr>
          <w:lang w:val="es-PE"/>
        </w:rPr>
        <w:t xml:space="preserve">la documentación </w:t>
      </w:r>
      <w:r w:rsidR="007A48A4" w:rsidRPr="00D453C2">
        <w:rPr>
          <w:lang w:val="es-PE"/>
        </w:rPr>
        <w:t>de presentación obligatoria, dado que según refiere bastaría para acreditar el cumplimiento de los Requerimientos Técnicos Mínimos, la presentación del literal b) relacionada a la Declaración Jurada de la Documentación de Presentación Obligatoria, siendo que, solicitar mayor documentación,  conllevaría a la exigencia de formalidades costosas e innecesarias, vulnerando el Principio de Economía; por lo cual, solicita que se supriman la demás documentación requerida para la acreditación del cumplimiento de lo señalado en el Capítulo III.</w:t>
      </w:r>
    </w:p>
    <w:p w:rsidR="006C20E0" w:rsidRPr="00D453C2" w:rsidRDefault="006C20E0" w:rsidP="003D1A91">
      <w:pPr>
        <w:widowControl w:val="0"/>
        <w:jc w:val="both"/>
        <w:rPr>
          <w:lang w:val="es-PE"/>
        </w:rPr>
      </w:pPr>
    </w:p>
    <w:p w:rsidR="006B5957" w:rsidRPr="00D453C2" w:rsidRDefault="006B5957" w:rsidP="006B5957">
      <w:pPr>
        <w:widowControl w:val="0"/>
        <w:tabs>
          <w:tab w:val="left" w:pos="4253"/>
        </w:tabs>
        <w:ind w:left="4253" w:hanging="4253"/>
        <w:jc w:val="both"/>
        <w:rPr>
          <w:b/>
          <w:lang w:val="es-PE"/>
        </w:rPr>
      </w:pPr>
      <w:r w:rsidRPr="00D453C2">
        <w:rPr>
          <w:b/>
          <w:lang w:val="es-PE"/>
        </w:rPr>
        <w:t>Pronunciamiento</w:t>
      </w:r>
    </w:p>
    <w:p w:rsidR="006B5957" w:rsidRPr="00D453C2" w:rsidRDefault="006B5957" w:rsidP="003D1A91">
      <w:pPr>
        <w:widowControl w:val="0"/>
        <w:jc w:val="both"/>
        <w:rPr>
          <w:lang w:val="es-PE"/>
        </w:rPr>
      </w:pPr>
    </w:p>
    <w:p w:rsidR="00B91ECF" w:rsidRPr="00D453C2" w:rsidRDefault="00362E9D" w:rsidP="00B91ECF">
      <w:pPr>
        <w:widowControl w:val="0"/>
        <w:jc w:val="both"/>
        <w:rPr>
          <w:color w:val="000000"/>
          <w:lang w:eastAsia="es-ES"/>
        </w:rPr>
      </w:pPr>
      <w:r w:rsidRPr="00D453C2">
        <w:rPr>
          <w:color w:val="000000"/>
          <w:lang w:val="es-PE" w:eastAsia="es-ES"/>
        </w:rPr>
        <w:t>D</w:t>
      </w:r>
      <w:r w:rsidR="007A48A4" w:rsidRPr="00D453C2">
        <w:rPr>
          <w:color w:val="000000"/>
          <w:lang w:val="es-PE" w:eastAsia="es-ES"/>
        </w:rPr>
        <w:t xml:space="preserve">e la revisión de la relación de la documentación de presentación obligatoria  señalada en el numeral 2.5.1 del Capítulo I </w:t>
      </w:r>
      <w:r w:rsidR="007A48A4" w:rsidRPr="00D453C2">
        <w:rPr>
          <w:color w:val="000000"/>
          <w:lang w:eastAsia="es-ES"/>
        </w:rPr>
        <w:t>se advierte lo siguiente:</w:t>
      </w:r>
    </w:p>
    <w:p w:rsidR="007A48A4" w:rsidRPr="00D453C2" w:rsidRDefault="007A48A4" w:rsidP="00B91ECF">
      <w:pPr>
        <w:widowControl w:val="0"/>
        <w:jc w:val="both"/>
        <w:rPr>
          <w:color w:val="000000"/>
          <w:lang w:eastAsia="es-ES"/>
        </w:rPr>
      </w:pPr>
      <w:r w:rsidRPr="00D453C2">
        <w:rPr>
          <w:noProof/>
          <w:color w:val="000000"/>
          <w:lang w:val="es-PE" w:eastAsia="es-PE"/>
        </w:rPr>
        <w:drawing>
          <wp:anchor distT="0" distB="0" distL="114300" distR="114300" simplePos="0" relativeHeight="251659264" behindDoc="1" locked="0" layoutInCell="1" allowOverlap="1">
            <wp:simplePos x="0" y="0"/>
            <wp:positionH relativeFrom="column">
              <wp:posOffset>19685</wp:posOffset>
            </wp:positionH>
            <wp:positionV relativeFrom="paragraph">
              <wp:posOffset>118745</wp:posOffset>
            </wp:positionV>
            <wp:extent cx="4982210" cy="2464435"/>
            <wp:effectExtent l="19050" t="0" r="8890" b="0"/>
            <wp:wrapTight wrapText="bothSides">
              <wp:wrapPolygon edited="0">
                <wp:start x="-83" y="0"/>
                <wp:lineTo x="-83" y="21372"/>
                <wp:lineTo x="21639" y="21372"/>
                <wp:lineTo x="21639" y="0"/>
                <wp:lineTo x="-83"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982210" cy="2464435"/>
                    </a:xfrm>
                    <a:prstGeom prst="rect">
                      <a:avLst/>
                    </a:prstGeom>
                    <a:noFill/>
                    <a:ln w="9525">
                      <a:noFill/>
                      <a:miter lim="800000"/>
                      <a:headEnd/>
                      <a:tailEnd/>
                    </a:ln>
                  </pic:spPr>
                </pic:pic>
              </a:graphicData>
            </a:graphic>
          </wp:anchor>
        </w:drawing>
      </w:r>
    </w:p>
    <w:p w:rsidR="007A48A4" w:rsidRPr="00D453C2" w:rsidRDefault="007A48A4" w:rsidP="00B91ECF">
      <w:pPr>
        <w:widowControl w:val="0"/>
        <w:jc w:val="both"/>
        <w:rPr>
          <w:color w:val="000000"/>
          <w:lang w:eastAsia="es-ES"/>
        </w:rPr>
      </w:pPr>
    </w:p>
    <w:p w:rsidR="00B91ECF" w:rsidRPr="00D453C2" w:rsidRDefault="00B91ECF" w:rsidP="00C221EF">
      <w:pPr>
        <w:widowControl w:val="0"/>
        <w:tabs>
          <w:tab w:val="left" w:pos="567"/>
        </w:tabs>
        <w:jc w:val="both"/>
      </w:pPr>
    </w:p>
    <w:p w:rsidR="006D5F78" w:rsidRPr="00D453C2" w:rsidRDefault="006D5F78"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91627F" w:rsidP="00C221EF">
      <w:pPr>
        <w:widowControl w:val="0"/>
        <w:tabs>
          <w:tab w:val="left" w:pos="567"/>
        </w:tabs>
        <w:jc w:val="both"/>
      </w:pPr>
      <w:r>
        <w:rPr>
          <w:noProof/>
          <w:lang w:val="es-PE" w:eastAsia="es-PE"/>
        </w:rPr>
        <w:drawing>
          <wp:anchor distT="0" distB="0" distL="114300" distR="114300" simplePos="0" relativeHeight="251658240" behindDoc="1" locked="0" layoutInCell="1" allowOverlap="1">
            <wp:simplePos x="0" y="0"/>
            <wp:positionH relativeFrom="column">
              <wp:posOffset>194945</wp:posOffset>
            </wp:positionH>
            <wp:positionV relativeFrom="paragraph">
              <wp:posOffset>8890</wp:posOffset>
            </wp:positionV>
            <wp:extent cx="4958080" cy="2949575"/>
            <wp:effectExtent l="19050" t="0" r="0" b="0"/>
            <wp:wrapTight wrapText="bothSides">
              <wp:wrapPolygon edited="0">
                <wp:start x="-83" y="0"/>
                <wp:lineTo x="-83" y="21484"/>
                <wp:lineTo x="21578" y="21484"/>
                <wp:lineTo x="21578" y="0"/>
                <wp:lineTo x="-83"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958080" cy="2949575"/>
                    </a:xfrm>
                    <a:prstGeom prst="rect">
                      <a:avLst/>
                    </a:prstGeom>
                    <a:noFill/>
                    <a:ln w="9525">
                      <a:noFill/>
                      <a:miter lim="800000"/>
                      <a:headEnd/>
                      <a:tailEnd/>
                    </a:ln>
                  </pic:spPr>
                </pic:pic>
              </a:graphicData>
            </a:graphic>
          </wp:anchor>
        </w:drawing>
      </w: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Pr="00D453C2" w:rsidRDefault="007A48A4" w:rsidP="00C221EF">
      <w:pPr>
        <w:widowControl w:val="0"/>
        <w:tabs>
          <w:tab w:val="left" w:pos="567"/>
        </w:tabs>
        <w:jc w:val="both"/>
      </w:pPr>
    </w:p>
    <w:p w:rsidR="007A48A4" w:rsidRDefault="007A48A4" w:rsidP="00C221EF">
      <w:pPr>
        <w:widowControl w:val="0"/>
        <w:tabs>
          <w:tab w:val="left" w:pos="567"/>
        </w:tabs>
        <w:jc w:val="both"/>
      </w:pPr>
    </w:p>
    <w:p w:rsidR="00F91E53" w:rsidRDefault="00F91E53" w:rsidP="00C221EF">
      <w:pPr>
        <w:widowControl w:val="0"/>
        <w:tabs>
          <w:tab w:val="left" w:pos="567"/>
        </w:tabs>
        <w:jc w:val="both"/>
      </w:pPr>
    </w:p>
    <w:p w:rsidR="000C1A3C" w:rsidRDefault="000C1A3C" w:rsidP="007A48A4">
      <w:pPr>
        <w:jc w:val="both"/>
      </w:pPr>
    </w:p>
    <w:p w:rsidR="000C1A3C" w:rsidRDefault="000C1A3C" w:rsidP="007A48A4">
      <w:pPr>
        <w:jc w:val="both"/>
      </w:pPr>
    </w:p>
    <w:p w:rsidR="000C1A3C" w:rsidRDefault="000C1A3C" w:rsidP="007A48A4">
      <w:pPr>
        <w:jc w:val="both"/>
      </w:pPr>
    </w:p>
    <w:p w:rsidR="000C1A3C" w:rsidRDefault="000C1A3C" w:rsidP="007A48A4">
      <w:pPr>
        <w:jc w:val="both"/>
      </w:pPr>
    </w:p>
    <w:p w:rsidR="000C1A3C" w:rsidRDefault="000C1A3C" w:rsidP="007A48A4">
      <w:pPr>
        <w:jc w:val="both"/>
      </w:pPr>
    </w:p>
    <w:p w:rsidR="007A48A4" w:rsidRPr="00D453C2" w:rsidRDefault="007A48A4" w:rsidP="007A48A4">
      <w:pPr>
        <w:jc w:val="both"/>
      </w:pPr>
      <w:r w:rsidRPr="00D453C2">
        <w:t>De la revisión del pliego absolutorio de observaciones, se aprecia que el Comité Especial considerando los argumentos expuestos por los mencionados participantes, señaló lo siguiente:</w:t>
      </w:r>
    </w:p>
    <w:p w:rsidR="008341AC" w:rsidRPr="00D453C2" w:rsidRDefault="008341AC" w:rsidP="00C221EF">
      <w:pPr>
        <w:widowControl w:val="0"/>
        <w:tabs>
          <w:tab w:val="left" w:pos="567"/>
        </w:tabs>
        <w:jc w:val="both"/>
      </w:pPr>
    </w:p>
    <w:p w:rsidR="008341AC" w:rsidRPr="00D453C2" w:rsidRDefault="008341AC" w:rsidP="007A48A4">
      <w:pPr>
        <w:pStyle w:val="Prrafodelista"/>
        <w:jc w:val="both"/>
        <w:rPr>
          <w:i/>
          <w:iCs/>
          <w:sz w:val="24"/>
          <w:szCs w:val="24"/>
        </w:rPr>
      </w:pPr>
      <w:r w:rsidRPr="00D453C2">
        <w:rPr>
          <w:i/>
          <w:sz w:val="24"/>
          <w:szCs w:val="24"/>
        </w:rPr>
        <w:t>“</w:t>
      </w:r>
      <w:r w:rsidR="007A48A4" w:rsidRPr="00D453C2">
        <w:rPr>
          <w:i/>
          <w:iCs/>
          <w:sz w:val="24"/>
          <w:szCs w:val="24"/>
        </w:rPr>
        <w:t>Ante esta observación, debo de comunicarle que este proceso se está llevando en forma transparente y con la finalidad de dar credibilidad a este proceso, es que se solicita los documentos indicados</w:t>
      </w:r>
      <w:r w:rsidRPr="00D453C2">
        <w:rPr>
          <w:i/>
          <w:sz w:val="24"/>
          <w:szCs w:val="24"/>
        </w:rPr>
        <w:t>”.</w:t>
      </w:r>
    </w:p>
    <w:p w:rsidR="008341AC" w:rsidRDefault="008341AC" w:rsidP="00C221EF">
      <w:pPr>
        <w:widowControl w:val="0"/>
        <w:tabs>
          <w:tab w:val="left" w:pos="567"/>
        </w:tabs>
        <w:jc w:val="both"/>
      </w:pPr>
    </w:p>
    <w:p w:rsidR="00A518EB" w:rsidRPr="00A518EB" w:rsidRDefault="00A518EB" w:rsidP="00C221EF">
      <w:pPr>
        <w:widowControl w:val="0"/>
        <w:tabs>
          <w:tab w:val="left" w:pos="567"/>
        </w:tabs>
        <w:jc w:val="both"/>
      </w:pPr>
      <w:r>
        <w:t xml:space="preserve">Asimismo, de la revisión del Informe Técnico remitido </w:t>
      </w:r>
      <w:r w:rsidR="004A2D19">
        <w:t>con ocasión de la elevación de o</w:t>
      </w:r>
      <w:r>
        <w:t xml:space="preserve">bservaciones, el Comité Especial a efectos de aclarar lo señalado en el pliego absolutorio </w:t>
      </w:r>
      <w:r w:rsidRPr="00A518EB">
        <w:t>de observaciones</w:t>
      </w:r>
      <w:r w:rsidR="004A2D19">
        <w:t>,</w:t>
      </w:r>
      <w:r w:rsidRPr="00A518EB">
        <w:t xml:space="preserve"> señalo lo siguiente:</w:t>
      </w:r>
    </w:p>
    <w:p w:rsidR="00A518EB" w:rsidRPr="00A518EB" w:rsidRDefault="00A518EB" w:rsidP="00C221EF">
      <w:pPr>
        <w:widowControl w:val="0"/>
        <w:tabs>
          <w:tab w:val="left" w:pos="567"/>
        </w:tabs>
        <w:jc w:val="both"/>
      </w:pPr>
    </w:p>
    <w:p w:rsidR="00A518EB" w:rsidRDefault="00A518EB" w:rsidP="00A518EB">
      <w:pPr>
        <w:pStyle w:val="Prrafodelista"/>
        <w:jc w:val="both"/>
        <w:rPr>
          <w:i/>
          <w:sz w:val="24"/>
          <w:szCs w:val="24"/>
        </w:rPr>
      </w:pPr>
      <w:r w:rsidRPr="00A518EB">
        <w:rPr>
          <w:i/>
          <w:sz w:val="24"/>
          <w:szCs w:val="24"/>
        </w:rPr>
        <w:t xml:space="preserve">"Ante esta observación se aclara que debe presentar obligatoriamente el Anexo 2 de las Bases </w:t>
      </w:r>
      <w:r w:rsidRPr="00A518EB">
        <w:rPr>
          <w:i/>
          <w:iCs/>
          <w:sz w:val="24"/>
          <w:szCs w:val="24"/>
        </w:rPr>
        <w:t>Administrativas</w:t>
      </w:r>
      <w:r w:rsidRPr="00A518EB">
        <w:rPr>
          <w:i/>
          <w:sz w:val="24"/>
          <w:szCs w:val="24"/>
        </w:rPr>
        <w:t xml:space="preserve"> que es la Declaración Jurada.</w:t>
      </w:r>
    </w:p>
    <w:p w:rsidR="00A518EB" w:rsidRPr="00A518EB" w:rsidRDefault="00A518EB" w:rsidP="00A518EB">
      <w:pPr>
        <w:pStyle w:val="Prrafodelista"/>
        <w:jc w:val="both"/>
        <w:rPr>
          <w:i/>
          <w:sz w:val="24"/>
          <w:szCs w:val="24"/>
        </w:rPr>
      </w:pPr>
    </w:p>
    <w:p w:rsidR="00A518EB" w:rsidRDefault="00A518EB" w:rsidP="00A518EB">
      <w:pPr>
        <w:pStyle w:val="Prrafodelista"/>
        <w:jc w:val="both"/>
        <w:rPr>
          <w:i/>
          <w:sz w:val="24"/>
          <w:szCs w:val="24"/>
        </w:rPr>
      </w:pPr>
      <w:r w:rsidRPr="00A518EB">
        <w:rPr>
          <w:b/>
          <w:i/>
          <w:sz w:val="24"/>
          <w:szCs w:val="24"/>
        </w:rPr>
        <w:t>Dice:</w:t>
      </w:r>
      <w:r w:rsidRPr="00A518EB">
        <w:rPr>
          <w:i/>
          <w:sz w:val="24"/>
          <w:szCs w:val="24"/>
        </w:rPr>
        <w:t xml:space="preserve"> Declaración Jurada de cumplimiento  de los Requerimientos Técnicos Mínimos contenidos en el Capítulo III de la presente sección (Anexo N° 2).</w:t>
      </w:r>
    </w:p>
    <w:p w:rsidR="00A518EB" w:rsidRPr="00A518EB" w:rsidRDefault="00A518EB" w:rsidP="00A518EB">
      <w:pPr>
        <w:pStyle w:val="Prrafodelista"/>
        <w:jc w:val="both"/>
        <w:rPr>
          <w:i/>
          <w:sz w:val="24"/>
          <w:szCs w:val="24"/>
        </w:rPr>
      </w:pPr>
    </w:p>
    <w:p w:rsidR="00A518EB" w:rsidRPr="00A518EB" w:rsidRDefault="00A518EB" w:rsidP="00A518EB">
      <w:pPr>
        <w:pStyle w:val="Prrafodelista"/>
        <w:jc w:val="both"/>
        <w:rPr>
          <w:i/>
          <w:sz w:val="24"/>
          <w:szCs w:val="24"/>
        </w:rPr>
      </w:pPr>
      <w:r w:rsidRPr="00A518EB">
        <w:rPr>
          <w:i/>
          <w:sz w:val="24"/>
          <w:szCs w:val="24"/>
        </w:rPr>
        <w:t>Se solicita a la empresa postor adjuntar y/o sustentar la documentación solicitada de los Términos de Referencia del servicio a contratar</w:t>
      </w:r>
    </w:p>
    <w:p w:rsidR="00A518EB" w:rsidRPr="00A518EB" w:rsidRDefault="00A518EB" w:rsidP="00C221EF">
      <w:pPr>
        <w:widowControl w:val="0"/>
        <w:tabs>
          <w:tab w:val="left" w:pos="567"/>
        </w:tabs>
        <w:jc w:val="both"/>
        <w:rPr>
          <w:i/>
        </w:rPr>
      </w:pPr>
    </w:p>
    <w:p w:rsidR="00A518EB" w:rsidRPr="00A518EB" w:rsidRDefault="00A518EB" w:rsidP="00A518EB">
      <w:pPr>
        <w:pStyle w:val="Prrafodelista"/>
        <w:jc w:val="both"/>
        <w:rPr>
          <w:i/>
          <w:sz w:val="24"/>
          <w:szCs w:val="24"/>
        </w:rPr>
      </w:pPr>
      <w:r w:rsidRPr="00A518EB">
        <w:rPr>
          <w:b/>
          <w:i/>
          <w:sz w:val="24"/>
          <w:szCs w:val="24"/>
        </w:rPr>
        <w:t>Debe decir:</w:t>
      </w:r>
      <w:r w:rsidRPr="00A518EB">
        <w:rPr>
          <w:i/>
          <w:sz w:val="24"/>
          <w:szCs w:val="24"/>
        </w:rPr>
        <w:t xml:space="preserve"> Declaración Jurada de cumplimiento  de los Requerimientos Técnicos Mínimos contenidos en el Capítulo III de la presente sección (Anexo N° 2).</w:t>
      </w:r>
    </w:p>
    <w:p w:rsidR="00A518EB" w:rsidRPr="00A518EB" w:rsidRDefault="00A518EB" w:rsidP="00C221EF">
      <w:pPr>
        <w:widowControl w:val="0"/>
        <w:tabs>
          <w:tab w:val="left" w:pos="567"/>
        </w:tabs>
        <w:jc w:val="both"/>
        <w:rPr>
          <w:i/>
        </w:rPr>
      </w:pPr>
    </w:p>
    <w:p w:rsidR="00BB7C0B" w:rsidRPr="00D453C2" w:rsidRDefault="00BB7C0B" w:rsidP="00BB7C0B">
      <w:pPr>
        <w:widowControl w:val="0"/>
        <w:jc w:val="both"/>
        <w:rPr>
          <w:b/>
          <w:bCs/>
          <w:snapToGrid w:val="0"/>
          <w:u w:val="single"/>
          <w:lang w:eastAsia="es-ES"/>
        </w:rPr>
      </w:pPr>
      <w:r w:rsidRPr="00D453C2">
        <w:rPr>
          <w:bCs/>
          <w:snapToGrid w:val="0"/>
          <w:lang w:eastAsia="es-ES"/>
        </w:rPr>
        <w:lastRenderedPageBreak/>
        <w:t xml:space="preserve">Sobre el particular, de acuerdo con el artículo 13 de la Ley y el artículo 11 del Reglamento, es competencia de la Entidad definir sus requerimientos, cuidando que estos se encuentren orientados a la adecuada satisfacción de sus necesidades y no orienten la contratación hacia determinado postor, por lo que estos deben sujetarse a criterios de </w:t>
      </w:r>
      <w:r w:rsidRPr="00D453C2">
        <w:rPr>
          <w:b/>
          <w:bCs/>
          <w:snapToGrid w:val="0"/>
          <w:u w:val="single"/>
          <w:lang w:eastAsia="es-ES"/>
        </w:rPr>
        <w:t xml:space="preserve">razonabilidad, congruencia </w:t>
      </w:r>
      <w:r w:rsidRPr="00D453C2">
        <w:rPr>
          <w:bCs/>
          <w:snapToGrid w:val="0"/>
          <w:lang w:eastAsia="es-ES"/>
        </w:rPr>
        <w:t>y proporcionalidad</w:t>
      </w:r>
      <w:r w:rsidRPr="00D453C2">
        <w:rPr>
          <w:b/>
          <w:bCs/>
          <w:snapToGrid w:val="0"/>
          <w:lang w:eastAsia="es-ES"/>
        </w:rPr>
        <w:t>.</w:t>
      </w:r>
    </w:p>
    <w:p w:rsidR="00BB7C0B" w:rsidRPr="00D453C2" w:rsidRDefault="00BB7C0B" w:rsidP="00BB7C0B">
      <w:pPr>
        <w:widowControl w:val="0"/>
        <w:jc w:val="both"/>
        <w:rPr>
          <w:bCs/>
        </w:rPr>
      </w:pPr>
    </w:p>
    <w:p w:rsidR="00BB7C0B" w:rsidRPr="00D453C2" w:rsidRDefault="00BB7C0B" w:rsidP="00BB7C0B">
      <w:pPr>
        <w:widowControl w:val="0"/>
        <w:jc w:val="both"/>
        <w:rPr>
          <w:bCs/>
          <w:u w:val="single"/>
        </w:rPr>
      </w:pPr>
      <w:r w:rsidRPr="00D453C2">
        <w:rPr>
          <w:bCs/>
        </w:rPr>
        <w:t xml:space="preserve">Al respecto, </w:t>
      </w:r>
      <w:r w:rsidRPr="00D453C2">
        <w:rPr>
          <w:color w:val="000000"/>
          <w:lang w:eastAsia="es-PE"/>
        </w:rPr>
        <w:t xml:space="preserve">en el artículo 42° del Reglamento se establece que es responsabilidad del Comité Especial la determinación de la documentación que le generaran certeza sobre el cumplimiento de los requerimientos técnicos mínimos y factores de evaluación, los cuales deberán ser presentados por los postores a efectos que su propuesta sea admita, evaluada y calificada.  Asimismo, en el citado artículo se señala que en las Bases debe establecerse el contenido </w:t>
      </w:r>
      <w:r w:rsidRPr="00D453C2">
        <w:rPr>
          <w:bCs/>
        </w:rPr>
        <w:t xml:space="preserve">de los sobres de propuesta para los procesos de selección. Entre los cuales se requiere como requisito mínimo de la propuesta técnica, entre otros a la </w:t>
      </w:r>
      <w:r w:rsidRPr="00D453C2">
        <w:rPr>
          <w:bCs/>
          <w:u w:val="single"/>
        </w:rPr>
        <w:t>Declaración Jurada y/o documentación que acredite el cumplimiento de los requerimientos técnicos mínimos.</w:t>
      </w:r>
    </w:p>
    <w:p w:rsidR="00BB7C0B" w:rsidRPr="00D453C2" w:rsidRDefault="00BB7C0B" w:rsidP="00BB7C0B">
      <w:pPr>
        <w:widowControl w:val="0"/>
        <w:jc w:val="both"/>
        <w:rPr>
          <w:lang w:val="es-ES_tradnl"/>
        </w:rPr>
      </w:pPr>
    </w:p>
    <w:p w:rsidR="00BB7C0B" w:rsidRPr="00D453C2" w:rsidRDefault="00BB7C0B" w:rsidP="00BB7C0B">
      <w:pPr>
        <w:widowControl w:val="0"/>
        <w:tabs>
          <w:tab w:val="left" w:pos="567"/>
        </w:tabs>
        <w:jc w:val="both"/>
      </w:pPr>
      <w:r w:rsidRPr="00D453C2">
        <w:t xml:space="preserve">De las normas acotadas se desprende que, es facultad de la Entidad establecer los requisitos que consideren más adecuados para la atención de sus necesidades, los cuales deben resultar </w:t>
      </w:r>
      <w:r w:rsidRPr="00D453C2">
        <w:rPr>
          <w:b/>
          <w:u w:val="single"/>
        </w:rPr>
        <w:t>razonables y congruentes</w:t>
      </w:r>
      <w:r w:rsidRPr="00D453C2">
        <w:t xml:space="preserve"> con el objeto de la convocatoria.</w:t>
      </w:r>
    </w:p>
    <w:p w:rsidR="00BB7C0B" w:rsidRPr="00D453C2" w:rsidRDefault="00BB7C0B" w:rsidP="00BB7C0B">
      <w:pPr>
        <w:widowControl w:val="0"/>
        <w:jc w:val="both"/>
      </w:pPr>
    </w:p>
    <w:p w:rsidR="00A518EB" w:rsidRPr="00A518EB" w:rsidRDefault="00BB7C0B" w:rsidP="00A518EB">
      <w:pPr>
        <w:widowControl w:val="0"/>
        <w:jc w:val="both"/>
      </w:pPr>
      <w:r w:rsidRPr="00D453C2">
        <w:t xml:space="preserve">En ese sentido, </w:t>
      </w:r>
      <w:r w:rsidR="00A518EB">
        <w:t xml:space="preserve">en la medida que a través del Informe Técnico, el Comité Especial habría suprimido el párrafo relacionado con que la </w:t>
      </w:r>
      <w:r w:rsidR="00A518EB" w:rsidRPr="00A518EB">
        <w:t>empresa postor adjuntar y/o sustentar la documentación solicitada de los Términos de Referencia del servicio a contratar</w:t>
      </w:r>
      <w:r w:rsidR="00A518EB">
        <w:t>, siendo que el participante solicitaba que se suprima dicho párrafo por considerar que redundaba con la presentación del Anexo N° 2</w:t>
      </w:r>
      <w:r w:rsidRPr="00D453C2">
        <w:t xml:space="preserve">, este Organismo Supervisor ha decidido </w:t>
      </w:r>
      <w:r w:rsidRPr="00D453C2">
        <w:rPr>
          <w:b/>
        </w:rPr>
        <w:t xml:space="preserve">ACOGER </w:t>
      </w:r>
      <w:r w:rsidR="00A518EB">
        <w:t xml:space="preserve">la presente observación; por lo que, con ocasión de la integración de Bases, </w:t>
      </w:r>
      <w:r w:rsidR="00A518EB">
        <w:rPr>
          <w:b/>
          <w:u w:val="single"/>
        </w:rPr>
        <w:t xml:space="preserve">deberá suprimirse </w:t>
      </w:r>
      <w:r w:rsidR="00A518EB">
        <w:t xml:space="preserve"> el siguiente texto: "</w:t>
      </w:r>
      <w:r w:rsidR="00A518EB" w:rsidRPr="00A518EB">
        <w:rPr>
          <w:i/>
        </w:rPr>
        <w:t>Se solicita a la empresa postor adjuntar y/o sustentar la documentación solicitada de los Términos de Referencia del servicio a contratar</w:t>
      </w:r>
      <w:r w:rsidR="00A518EB">
        <w:rPr>
          <w:i/>
        </w:rPr>
        <w:t>"</w:t>
      </w:r>
    </w:p>
    <w:p w:rsidR="00BB7C0B" w:rsidRPr="00D453C2" w:rsidRDefault="00BB7C0B" w:rsidP="00BB7C0B">
      <w:pPr>
        <w:widowControl w:val="0"/>
        <w:jc w:val="both"/>
      </w:pPr>
    </w:p>
    <w:p w:rsidR="0091627F" w:rsidRDefault="00F04399" w:rsidP="0091627F">
      <w:pPr>
        <w:widowControl w:val="0"/>
        <w:tabs>
          <w:tab w:val="left" w:pos="4253"/>
        </w:tabs>
        <w:ind w:left="4253" w:hanging="4253"/>
        <w:jc w:val="both"/>
        <w:rPr>
          <w:b/>
          <w:lang w:val="es-PE"/>
        </w:rPr>
      </w:pPr>
      <w:r w:rsidRPr="00D453C2">
        <w:rPr>
          <w:b/>
          <w:lang w:val="es-PE"/>
        </w:rPr>
        <w:t>Observación Nº 9</w:t>
      </w:r>
      <w:r w:rsidR="0091627F">
        <w:rPr>
          <w:b/>
          <w:lang w:val="es-PE"/>
        </w:rPr>
        <w:t xml:space="preserve"> (Primer extremo)</w:t>
      </w:r>
      <w:r w:rsidRPr="00D453C2">
        <w:rPr>
          <w:b/>
          <w:lang w:val="es-PE"/>
        </w:rPr>
        <w:t>:</w:t>
      </w:r>
      <w:r w:rsidRPr="00D453C2">
        <w:rPr>
          <w:b/>
          <w:lang w:val="es-PE"/>
        </w:rPr>
        <w:tab/>
        <w:t xml:space="preserve">Contra </w:t>
      </w:r>
      <w:r w:rsidR="00EB5282">
        <w:rPr>
          <w:b/>
          <w:lang w:val="es-PE"/>
        </w:rPr>
        <w:t xml:space="preserve">el </w:t>
      </w:r>
      <w:r w:rsidR="00180A61">
        <w:rPr>
          <w:b/>
          <w:lang w:val="es-PE"/>
        </w:rPr>
        <w:t>"</w:t>
      </w:r>
      <w:r w:rsidR="00EB5282">
        <w:rPr>
          <w:b/>
          <w:lang w:val="es-PE"/>
        </w:rPr>
        <w:t xml:space="preserve">Factor Experiencia del </w:t>
      </w:r>
      <w:r w:rsidR="004A2D19">
        <w:rPr>
          <w:b/>
          <w:lang w:val="es-PE"/>
        </w:rPr>
        <w:t>P</w:t>
      </w:r>
      <w:r w:rsidR="00EB5282">
        <w:rPr>
          <w:b/>
          <w:lang w:val="es-PE"/>
        </w:rPr>
        <w:t>ostor</w:t>
      </w:r>
      <w:r w:rsidR="0091627F">
        <w:rPr>
          <w:b/>
          <w:lang w:val="es-PE"/>
        </w:rPr>
        <w:t>"</w:t>
      </w:r>
    </w:p>
    <w:p w:rsidR="0091627F" w:rsidRDefault="0091627F" w:rsidP="0091627F">
      <w:pPr>
        <w:widowControl w:val="0"/>
        <w:tabs>
          <w:tab w:val="left" w:pos="4253"/>
        </w:tabs>
        <w:ind w:left="4253" w:hanging="4253"/>
        <w:jc w:val="both"/>
        <w:rPr>
          <w:b/>
          <w:lang w:val="es-PE"/>
        </w:rPr>
      </w:pPr>
    </w:p>
    <w:p w:rsidR="00F04399" w:rsidRPr="0091627F" w:rsidRDefault="00B84B2F" w:rsidP="0091627F">
      <w:pPr>
        <w:widowControl w:val="0"/>
        <w:jc w:val="both"/>
        <w:rPr>
          <w:b/>
          <w:lang w:val="es-PE"/>
        </w:rPr>
      </w:pPr>
      <w:r w:rsidRPr="00D453C2">
        <w:rPr>
          <w:lang w:eastAsia="es-PE"/>
        </w:rPr>
        <w:t>A través de la Observación N° 9, e</w:t>
      </w:r>
      <w:r w:rsidR="00F04399" w:rsidRPr="00D453C2">
        <w:rPr>
          <w:lang w:eastAsia="es-PE"/>
        </w:rPr>
        <w:t xml:space="preserve">l participante cuestiona que </w:t>
      </w:r>
      <w:r w:rsidR="003A0127" w:rsidRPr="00D453C2">
        <w:rPr>
          <w:lang w:eastAsia="es-PE"/>
        </w:rPr>
        <w:t xml:space="preserve">para </w:t>
      </w:r>
      <w:r w:rsidR="00F04399" w:rsidRPr="00D453C2">
        <w:rPr>
          <w:lang w:eastAsia="es-PE"/>
        </w:rPr>
        <w:t xml:space="preserve">el factor  de evaluación "Experiencia </w:t>
      </w:r>
      <w:r w:rsidR="00EB5282">
        <w:rPr>
          <w:lang w:eastAsia="es-PE"/>
        </w:rPr>
        <w:t>del Postor</w:t>
      </w:r>
      <w:r w:rsidR="00F04399" w:rsidRPr="00D453C2">
        <w:rPr>
          <w:lang w:eastAsia="es-PE"/>
        </w:rPr>
        <w:t>"</w:t>
      </w:r>
      <w:r w:rsidR="003A0127" w:rsidRPr="00D453C2">
        <w:rPr>
          <w:lang w:eastAsia="es-PE"/>
        </w:rPr>
        <w:t xml:space="preserve">, </w:t>
      </w:r>
      <w:r w:rsidR="00AA58D9" w:rsidRPr="00D453C2">
        <w:rPr>
          <w:lang w:eastAsia="es-PE"/>
        </w:rPr>
        <w:t>dado que</w:t>
      </w:r>
      <w:r w:rsidR="004A2D19">
        <w:rPr>
          <w:lang w:eastAsia="es-PE"/>
        </w:rPr>
        <w:t>,</w:t>
      </w:r>
      <w:r w:rsidR="00AA58D9" w:rsidRPr="00D453C2">
        <w:rPr>
          <w:lang w:eastAsia="es-PE"/>
        </w:rPr>
        <w:t xml:space="preserve"> según refiere, </w:t>
      </w:r>
      <w:r w:rsidR="003A0127" w:rsidRPr="00D453C2">
        <w:rPr>
          <w:lang w:eastAsia="es-PE"/>
        </w:rPr>
        <w:t xml:space="preserve">se </w:t>
      </w:r>
      <w:r w:rsidR="004A2D19">
        <w:rPr>
          <w:lang w:eastAsia="es-PE"/>
        </w:rPr>
        <w:t>encuentra</w:t>
      </w:r>
      <w:r w:rsidR="00AA58D9" w:rsidRPr="00D453C2">
        <w:rPr>
          <w:lang w:eastAsia="es-PE"/>
        </w:rPr>
        <w:t xml:space="preserve"> </w:t>
      </w:r>
      <w:r w:rsidR="00F04399" w:rsidRPr="00D453C2">
        <w:rPr>
          <w:lang w:eastAsia="es-PE"/>
        </w:rPr>
        <w:t>considera</w:t>
      </w:r>
      <w:r w:rsidR="004A2D19">
        <w:rPr>
          <w:lang w:eastAsia="es-PE"/>
        </w:rPr>
        <w:t>n</w:t>
      </w:r>
      <w:r w:rsidR="00F04399" w:rsidRPr="00D453C2">
        <w:rPr>
          <w:lang w:eastAsia="es-PE"/>
        </w:rPr>
        <w:t xml:space="preserve">do solicitar </w:t>
      </w:r>
      <w:r w:rsidR="00CB45E6" w:rsidRPr="00D453C2">
        <w:rPr>
          <w:lang w:eastAsia="es-PE"/>
        </w:rPr>
        <w:t>experiencia en la actividad de tres (3)</w:t>
      </w:r>
      <w:r w:rsidR="00F04399" w:rsidRPr="00D453C2">
        <w:rPr>
          <w:lang w:eastAsia="es-PE"/>
        </w:rPr>
        <w:t xml:space="preserve"> veces el valo</w:t>
      </w:r>
      <w:r w:rsidR="00CB45E6" w:rsidRPr="00D453C2">
        <w:rPr>
          <w:lang w:eastAsia="es-PE"/>
        </w:rPr>
        <w:t xml:space="preserve">r referencial en un periodo de </w:t>
      </w:r>
      <w:r w:rsidR="004A2D19">
        <w:rPr>
          <w:lang w:eastAsia="es-PE"/>
        </w:rPr>
        <w:t>cuatro (</w:t>
      </w:r>
      <w:r w:rsidR="00CB45E6" w:rsidRPr="00D453C2">
        <w:rPr>
          <w:lang w:eastAsia="es-PE"/>
        </w:rPr>
        <w:t>4</w:t>
      </w:r>
      <w:r w:rsidR="004A2D19">
        <w:rPr>
          <w:lang w:eastAsia="es-PE"/>
        </w:rPr>
        <w:t>)</w:t>
      </w:r>
      <w:r w:rsidR="00F04399" w:rsidRPr="00D453C2">
        <w:rPr>
          <w:lang w:eastAsia="es-PE"/>
        </w:rPr>
        <w:t xml:space="preserve"> años, resulta</w:t>
      </w:r>
      <w:r w:rsidR="004A2D19">
        <w:rPr>
          <w:lang w:eastAsia="es-PE"/>
        </w:rPr>
        <w:t>ría</w:t>
      </w:r>
      <w:r w:rsidR="00F04399" w:rsidRPr="00D453C2">
        <w:rPr>
          <w:lang w:eastAsia="es-PE"/>
        </w:rPr>
        <w:t xml:space="preserve"> excesivo y desproporcional </w:t>
      </w:r>
      <w:r w:rsidR="00CB45E6" w:rsidRPr="00D453C2">
        <w:rPr>
          <w:lang w:eastAsia="es-PE"/>
        </w:rPr>
        <w:t xml:space="preserve">acreditar experiencia </w:t>
      </w:r>
      <w:r w:rsidR="003A0127" w:rsidRPr="00D453C2">
        <w:rPr>
          <w:lang w:eastAsia="es-PE"/>
        </w:rPr>
        <w:t xml:space="preserve">de  </w:t>
      </w:r>
      <w:r w:rsidR="00CB45E6" w:rsidRPr="00D453C2">
        <w:rPr>
          <w:lang w:eastAsia="es-PE"/>
        </w:rPr>
        <w:t>S/ 15'085,440.00 para las IPRESS</w:t>
      </w:r>
      <w:r w:rsidR="00F04399" w:rsidRPr="00D453C2">
        <w:rPr>
          <w:lang w:eastAsia="es-PE"/>
        </w:rPr>
        <w:t xml:space="preserve">; </w:t>
      </w:r>
      <w:r w:rsidR="00CB45E6" w:rsidRPr="00D453C2">
        <w:rPr>
          <w:lang w:eastAsia="es-PE"/>
        </w:rPr>
        <w:t xml:space="preserve">por lo cual, solicitaría </w:t>
      </w:r>
      <w:r w:rsidR="00F04399" w:rsidRPr="00D453C2">
        <w:rPr>
          <w:lang w:eastAsia="es-PE"/>
        </w:rPr>
        <w:t>que se rebaje esta exigencia</w:t>
      </w:r>
      <w:r w:rsidR="00180A61">
        <w:rPr>
          <w:lang w:eastAsia="es-PE"/>
        </w:rPr>
        <w:t>.</w:t>
      </w:r>
    </w:p>
    <w:p w:rsidR="00B84B2F" w:rsidRPr="00D453C2" w:rsidRDefault="00B84B2F" w:rsidP="00B84B2F">
      <w:pPr>
        <w:pStyle w:val="Prrafodelista"/>
        <w:ind w:left="720"/>
        <w:jc w:val="both"/>
        <w:rPr>
          <w:sz w:val="24"/>
          <w:szCs w:val="24"/>
          <w:lang w:eastAsia="es-PE"/>
        </w:rPr>
      </w:pPr>
    </w:p>
    <w:p w:rsidR="00F04399" w:rsidRPr="00D453C2" w:rsidRDefault="00F04399" w:rsidP="00F04399">
      <w:pPr>
        <w:widowControl w:val="0"/>
        <w:tabs>
          <w:tab w:val="left" w:pos="4253"/>
        </w:tabs>
        <w:ind w:left="4253" w:hanging="4253"/>
        <w:jc w:val="both"/>
        <w:rPr>
          <w:b/>
          <w:lang w:val="es-PE"/>
        </w:rPr>
      </w:pPr>
      <w:r w:rsidRPr="00D453C2">
        <w:rPr>
          <w:b/>
          <w:lang w:val="es-PE"/>
        </w:rPr>
        <w:t>Pronunciamiento</w:t>
      </w:r>
    </w:p>
    <w:p w:rsidR="00F04399" w:rsidRPr="00D453C2" w:rsidRDefault="00F04399" w:rsidP="00F04399">
      <w:pPr>
        <w:widowControl w:val="0"/>
        <w:jc w:val="both"/>
        <w:rPr>
          <w:lang w:val="es-PE"/>
        </w:rPr>
      </w:pPr>
    </w:p>
    <w:p w:rsidR="00F04399" w:rsidRPr="00D453C2" w:rsidRDefault="00F04399" w:rsidP="00F04399">
      <w:pPr>
        <w:widowControl w:val="0"/>
        <w:jc w:val="both"/>
        <w:rPr>
          <w:color w:val="000000"/>
          <w:lang w:eastAsia="es-ES"/>
        </w:rPr>
      </w:pPr>
      <w:r w:rsidRPr="00D453C2">
        <w:rPr>
          <w:color w:val="000000"/>
          <w:lang w:val="es-PE" w:eastAsia="es-ES"/>
        </w:rPr>
        <w:t>De la revisión de</w:t>
      </w:r>
      <w:r w:rsidR="00CB45E6" w:rsidRPr="00D453C2">
        <w:rPr>
          <w:color w:val="000000"/>
          <w:lang w:val="es-PE" w:eastAsia="es-ES"/>
        </w:rPr>
        <w:t xml:space="preserve">l </w:t>
      </w:r>
      <w:r w:rsidRPr="00D453C2">
        <w:rPr>
          <w:color w:val="000000"/>
          <w:lang w:val="es-PE" w:eastAsia="es-ES"/>
        </w:rPr>
        <w:t>Capítulo I</w:t>
      </w:r>
      <w:r w:rsidR="00CB45E6" w:rsidRPr="00D453C2">
        <w:rPr>
          <w:color w:val="000000"/>
          <w:lang w:val="es-PE" w:eastAsia="es-ES"/>
        </w:rPr>
        <w:t>V</w:t>
      </w:r>
      <w:r w:rsidR="00AA58D9" w:rsidRPr="00D453C2">
        <w:rPr>
          <w:color w:val="000000"/>
          <w:lang w:val="es-PE" w:eastAsia="es-ES"/>
        </w:rPr>
        <w:t xml:space="preserve"> relacionado a los "Factores de Evaluación"</w:t>
      </w:r>
      <w:r w:rsidRPr="00D453C2">
        <w:rPr>
          <w:color w:val="000000"/>
          <w:lang w:val="es-PE" w:eastAsia="es-ES"/>
        </w:rPr>
        <w:t xml:space="preserve"> </w:t>
      </w:r>
      <w:r w:rsidRPr="00D453C2">
        <w:rPr>
          <w:color w:val="000000"/>
          <w:lang w:eastAsia="es-ES"/>
        </w:rPr>
        <w:t>se advierte lo siguiente:</w:t>
      </w:r>
      <w:r w:rsidR="0091627F" w:rsidRPr="0091627F">
        <w:rPr>
          <w:noProof/>
          <w:color w:val="000000"/>
          <w:lang w:val="es-PE" w:eastAsia="es-PE"/>
        </w:rPr>
        <w:t xml:space="preserve"> </w:t>
      </w:r>
      <w:r w:rsidR="0091627F" w:rsidRPr="00D453C2">
        <w:rPr>
          <w:noProof/>
          <w:color w:val="000000"/>
          <w:lang w:val="es-PE" w:eastAsia="es-PE"/>
        </w:rPr>
        <w:lastRenderedPageBreak/>
        <w:drawing>
          <wp:inline distT="0" distB="0" distL="0" distR="0">
            <wp:extent cx="5204957" cy="3442915"/>
            <wp:effectExtent l="19050" t="0" r="0" b="0"/>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213350" cy="3448467"/>
                    </a:xfrm>
                    <a:prstGeom prst="rect">
                      <a:avLst/>
                    </a:prstGeom>
                    <a:noFill/>
                    <a:ln w="9525">
                      <a:noFill/>
                      <a:miter lim="800000"/>
                      <a:headEnd/>
                      <a:tailEnd/>
                    </a:ln>
                  </pic:spPr>
                </pic:pic>
              </a:graphicData>
            </a:graphic>
          </wp:inline>
        </w:drawing>
      </w:r>
    </w:p>
    <w:p w:rsidR="0091627F" w:rsidRDefault="007577EC" w:rsidP="00F04399">
      <w:pPr>
        <w:widowControl w:val="0"/>
        <w:tabs>
          <w:tab w:val="left" w:pos="567"/>
        </w:tabs>
        <w:jc w:val="both"/>
      </w:pPr>
      <w:r w:rsidRPr="00D453C2">
        <w:t xml:space="preserve">    </w:t>
      </w:r>
    </w:p>
    <w:p w:rsidR="0091627F" w:rsidRDefault="0091627F" w:rsidP="00F04399">
      <w:pPr>
        <w:widowControl w:val="0"/>
        <w:tabs>
          <w:tab w:val="left" w:pos="567"/>
        </w:tabs>
        <w:jc w:val="both"/>
      </w:pPr>
    </w:p>
    <w:p w:rsidR="00F04399" w:rsidRPr="00D453C2" w:rsidRDefault="007577EC" w:rsidP="00F04399">
      <w:pPr>
        <w:widowControl w:val="0"/>
        <w:tabs>
          <w:tab w:val="left" w:pos="567"/>
        </w:tabs>
        <w:jc w:val="both"/>
      </w:pPr>
      <w:r w:rsidRPr="00D453C2">
        <w:t xml:space="preserve">  (...)</w:t>
      </w:r>
    </w:p>
    <w:p w:rsidR="00F04399" w:rsidRPr="00D453C2" w:rsidRDefault="007577EC" w:rsidP="00F04399">
      <w:pPr>
        <w:widowControl w:val="0"/>
        <w:tabs>
          <w:tab w:val="left" w:pos="567"/>
        </w:tabs>
        <w:jc w:val="both"/>
      </w:pPr>
      <w:r w:rsidRPr="00D453C2">
        <w:rPr>
          <w:noProof/>
          <w:lang w:val="es-PE" w:eastAsia="es-PE"/>
        </w:rPr>
        <w:drawing>
          <wp:anchor distT="0" distB="0" distL="114300" distR="114300" simplePos="0" relativeHeight="251660288" behindDoc="1" locked="0" layoutInCell="1" allowOverlap="1">
            <wp:simplePos x="0" y="0"/>
            <wp:positionH relativeFrom="column">
              <wp:posOffset>266783</wp:posOffset>
            </wp:positionH>
            <wp:positionV relativeFrom="paragraph">
              <wp:posOffset>9332</wp:posOffset>
            </wp:positionV>
            <wp:extent cx="4845684" cy="1828800"/>
            <wp:effectExtent l="19050" t="0" r="0" b="0"/>
            <wp:wrapNone/>
            <wp:docPr id="2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4861708" cy="1834848"/>
                    </a:xfrm>
                    <a:prstGeom prst="rect">
                      <a:avLst/>
                    </a:prstGeom>
                    <a:noFill/>
                    <a:ln w="9525">
                      <a:noFill/>
                      <a:miter lim="800000"/>
                      <a:headEnd/>
                      <a:tailEnd/>
                    </a:ln>
                  </pic:spPr>
                </pic:pic>
              </a:graphicData>
            </a:graphic>
          </wp:anchor>
        </w:drawing>
      </w: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widowControl w:val="0"/>
        <w:tabs>
          <w:tab w:val="left" w:pos="567"/>
        </w:tabs>
        <w:jc w:val="both"/>
      </w:pPr>
    </w:p>
    <w:p w:rsidR="00F04399" w:rsidRPr="00D453C2" w:rsidRDefault="00F04399" w:rsidP="00F04399">
      <w:pPr>
        <w:jc w:val="both"/>
      </w:pPr>
      <w:r w:rsidRPr="00D453C2">
        <w:t>De la revisión del pliego absolutorio de observaciones,</w:t>
      </w:r>
      <w:r w:rsidR="00A826FB" w:rsidRPr="00D453C2">
        <w:t xml:space="preserve"> con relación a la Observación N° 9</w:t>
      </w:r>
      <w:r w:rsidRPr="00D453C2">
        <w:t xml:space="preserve"> se aprecia que el Comité Especial considerando los argumentos expuestos por los mencionados participantes, señaló lo siguiente:</w:t>
      </w:r>
    </w:p>
    <w:p w:rsidR="00F04399" w:rsidRPr="00D453C2" w:rsidRDefault="00F04399" w:rsidP="00F04399">
      <w:pPr>
        <w:tabs>
          <w:tab w:val="left" w:pos="0"/>
        </w:tabs>
        <w:autoSpaceDE w:val="0"/>
        <w:autoSpaceDN w:val="0"/>
        <w:adjustRightInd w:val="0"/>
        <w:contextualSpacing/>
        <w:jc w:val="both"/>
      </w:pPr>
    </w:p>
    <w:p w:rsidR="007577EC" w:rsidRPr="00D453C2" w:rsidRDefault="007577EC" w:rsidP="007577EC">
      <w:pPr>
        <w:pStyle w:val="Prrafodelista"/>
        <w:ind w:left="426"/>
        <w:jc w:val="both"/>
        <w:rPr>
          <w:i/>
          <w:iCs/>
          <w:color w:val="000000"/>
          <w:sz w:val="24"/>
          <w:szCs w:val="24"/>
        </w:rPr>
      </w:pPr>
      <w:r w:rsidRPr="00D453C2">
        <w:rPr>
          <w:i/>
          <w:iCs/>
          <w:color w:val="000000"/>
          <w:sz w:val="24"/>
          <w:szCs w:val="24"/>
        </w:rPr>
        <w:t>"Para la evaluación de la experiencia del postor, se mantendrá lo indicado. Por tal motivo, se debe cumplir con lo establecido".</w:t>
      </w:r>
    </w:p>
    <w:p w:rsidR="007577EC" w:rsidRPr="00D453C2" w:rsidRDefault="007577EC" w:rsidP="00F04399">
      <w:pPr>
        <w:tabs>
          <w:tab w:val="left" w:pos="0"/>
        </w:tabs>
        <w:autoSpaceDE w:val="0"/>
        <w:autoSpaceDN w:val="0"/>
        <w:adjustRightInd w:val="0"/>
        <w:contextualSpacing/>
        <w:jc w:val="both"/>
      </w:pPr>
    </w:p>
    <w:p w:rsidR="003A0127" w:rsidRPr="00D453C2" w:rsidRDefault="003A0127" w:rsidP="003A0127">
      <w:pPr>
        <w:tabs>
          <w:tab w:val="left" w:pos="0"/>
        </w:tabs>
        <w:overflowPunct w:val="0"/>
        <w:autoSpaceDE w:val="0"/>
        <w:autoSpaceDN w:val="0"/>
        <w:adjustRightInd w:val="0"/>
        <w:jc w:val="both"/>
        <w:textAlignment w:val="baseline"/>
      </w:pPr>
      <w:r w:rsidRPr="00D453C2">
        <w:t xml:space="preserve">Al respecto, de conformidad con el artículo 43° del Reglamento, </w:t>
      </w:r>
      <w:r w:rsidRPr="00D453C2">
        <w:rPr>
          <w:u w:val="single"/>
        </w:rPr>
        <w:t xml:space="preserve">resulta de competencia del Comité Especial la determinación de los factores de evaluación, </w:t>
      </w:r>
      <w:r w:rsidRPr="00D453C2">
        <w:rPr>
          <w:bCs/>
          <w:u w:val="single"/>
        </w:rPr>
        <w:t>la fijación de los puntajes que se le asignará a cada uno de ellos, así como los criterios para su asignación</w:t>
      </w:r>
      <w:r w:rsidRPr="00D453C2">
        <w:rPr>
          <w:bCs/>
        </w:rPr>
        <w:t>,</w:t>
      </w:r>
      <w:r w:rsidRPr="00D453C2">
        <w:t xml:space="preserve"> los cuales deberán ser objetivos y congruentes con el objeto de la convocatoria, sujetándose a criterios de razonabilidad y proporcionalidad.</w:t>
      </w:r>
    </w:p>
    <w:p w:rsidR="003A0127" w:rsidRPr="00D453C2" w:rsidRDefault="003A0127" w:rsidP="008F187D">
      <w:pPr>
        <w:tabs>
          <w:tab w:val="left" w:pos="0"/>
        </w:tabs>
        <w:overflowPunct w:val="0"/>
        <w:autoSpaceDE w:val="0"/>
        <w:autoSpaceDN w:val="0"/>
        <w:adjustRightInd w:val="0"/>
        <w:jc w:val="both"/>
        <w:textAlignment w:val="baseline"/>
      </w:pPr>
    </w:p>
    <w:p w:rsidR="008F187D" w:rsidRPr="00D453C2" w:rsidRDefault="008F187D" w:rsidP="008F187D">
      <w:pPr>
        <w:tabs>
          <w:tab w:val="left" w:pos="0"/>
        </w:tabs>
        <w:overflowPunct w:val="0"/>
        <w:autoSpaceDE w:val="0"/>
        <w:autoSpaceDN w:val="0"/>
        <w:adjustRightInd w:val="0"/>
        <w:jc w:val="both"/>
        <w:textAlignment w:val="baseline"/>
      </w:pPr>
      <w:r w:rsidRPr="00D453C2">
        <w:t xml:space="preserve">Al respecto, el artículo 45° del Reglamento establece que, en caso de la contratación de servicios en general debe considerarse como factor referido a la experiencia, en el que se </w:t>
      </w:r>
      <w:r w:rsidRPr="00D453C2">
        <w:lastRenderedPageBreak/>
        <w:t>calificará la ejecución de servicios en la actividad y/o especialidad,  considerando el monto facturado acumulado por el postor durante un periodo determinado de hasta ocho (8) años a la fecha de la presentación de propuestas, por un monto máximo acumulado de hasta cinco (5) veces el valor referencial de la contratación o ítem materia de la convocatoria</w:t>
      </w:r>
    </w:p>
    <w:p w:rsidR="00F04399" w:rsidRDefault="00F04399" w:rsidP="00F04399">
      <w:pPr>
        <w:widowControl w:val="0"/>
        <w:tabs>
          <w:tab w:val="left" w:pos="3686"/>
        </w:tabs>
        <w:ind w:left="3686" w:hanging="3686"/>
        <w:jc w:val="both"/>
      </w:pPr>
    </w:p>
    <w:p w:rsidR="000C1A3C" w:rsidRPr="00D453C2" w:rsidRDefault="000C1A3C" w:rsidP="00F04399">
      <w:pPr>
        <w:widowControl w:val="0"/>
        <w:tabs>
          <w:tab w:val="left" w:pos="3686"/>
        </w:tabs>
        <w:ind w:left="3686" w:hanging="3686"/>
        <w:jc w:val="both"/>
      </w:pPr>
    </w:p>
    <w:p w:rsidR="008F187D" w:rsidRPr="00D453C2" w:rsidRDefault="00EB5282" w:rsidP="008F187D">
      <w:pPr>
        <w:widowControl w:val="0"/>
        <w:jc w:val="both"/>
      </w:pPr>
      <w:r>
        <w:t>D</w:t>
      </w:r>
      <w:r w:rsidR="008F187D" w:rsidRPr="00D453C2">
        <w:t xml:space="preserve">e lo expuesto se advertiría que el criterio de calificación resultaría desproporcional considerando los parámetros de calificación y las características de la presente contratación; sin embargo, dado que el participante solicita modificar el factor de evaluación cuestionando según su interés particular, este Organismo Supervisor decide </w:t>
      </w:r>
      <w:r w:rsidR="008F187D" w:rsidRPr="00D453C2">
        <w:rPr>
          <w:b/>
        </w:rPr>
        <w:t>NO ACOGER</w:t>
      </w:r>
      <w:r w:rsidR="008F187D" w:rsidRPr="00D453C2">
        <w:t xml:space="preserve"> la presente observación.</w:t>
      </w:r>
    </w:p>
    <w:p w:rsidR="008F187D" w:rsidRPr="00D453C2" w:rsidRDefault="008F187D" w:rsidP="008F187D">
      <w:pPr>
        <w:widowControl w:val="0"/>
        <w:jc w:val="both"/>
      </w:pPr>
    </w:p>
    <w:p w:rsidR="00322B15" w:rsidRPr="00D453C2" w:rsidRDefault="00322B15" w:rsidP="00322B15">
      <w:pPr>
        <w:widowControl w:val="0"/>
        <w:tabs>
          <w:tab w:val="left" w:pos="4820"/>
        </w:tabs>
        <w:jc w:val="both"/>
      </w:pPr>
      <w:r w:rsidRPr="00D453C2">
        <w:t>Sin perjuicio de lo señalado, con ocasión de la integración de las Bases</w:t>
      </w:r>
      <w:r w:rsidRPr="00D453C2">
        <w:rPr>
          <w:bCs/>
          <w:color w:val="333333"/>
        </w:rPr>
        <w:t xml:space="preserve">, respecto del </w:t>
      </w:r>
      <w:r w:rsidRPr="00D453C2">
        <w:t xml:space="preserve">factor de evaluación “Experiencia en la Actividad”, </w:t>
      </w:r>
      <w:r w:rsidRPr="00D453C2">
        <w:rPr>
          <w:b/>
          <w:u w:val="single"/>
        </w:rPr>
        <w:t xml:space="preserve">deberá reducirse </w:t>
      </w:r>
      <w:r w:rsidRPr="00D453C2">
        <w:t xml:space="preserve">el monto de facturación a no más de </w:t>
      </w:r>
      <w:r w:rsidR="00180A61">
        <w:t>dos</w:t>
      </w:r>
      <w:r w:rsidRPr="00D453C2">
        <w:t xml:space="preserve"> (2) veces el valor referencial o </w:t>
      </w:r>
      <w:r w:rsidRPr="00D453C2">
        <w:rPr>
          <w:b/>
          <w:u w:val="single"/>
        </w:rPr>
        <w:t xml:space="preserve">ampliarse </w:t>
      </w:r>
      <w:r w:rsidRPr="00D453C2">
        <w:t>el periodo de antigüedad para la acreditación de la experiencia del postor a no menos de seis (6) años a la fecha de presentación de propuestas.</w:t>
      </w:r>
    </w:p>
    <w:p w:rsidR="00322B15" w:rsidRPr="00D453C2" w:rsidRDefault="00322B15" w:rsidP="00322B15">
      <w:pPr>
        <w:widowControl w:val="0"/>
        <w:tabs>
          <w:tab w:val="left" w:pos="4820"/>
        </w:tabs>
        <w:jc w:val="both"/>
      </w:pPr>
    </w:p>
    <w:p w:rsidR="00322B15" w:rsidRDefault="00EB5282" w:rsidP="00322B15">
      <w:pPr>
        <w:widowControl w:val="0"/>
        <w:tabs>
          <w:tab w:val="left" w:pos="4820"/>
        </w:tabs>
        <w:jc w:val="both"/>
      </w:pPr>
      <w:r>
        <w:t>Adicionalmente</w:t>
      </w:r>
      <w:r w:rsidR="00322B15" w:rsidRPr="00D453C2">
        <w:t xml:space="preserve">, considerando que como criterio para la acreditación del factor, se ha establecido la presentación de </w:t>
      </w:r>
      <w:r w:rsidR="00322B15" w:rsidRPr="00EB5282">
        <w:rPr>
          <w:u w:val="single"/>
        </w:rPr>
        <w:t>copia legalizada</w:t>
      </w:r>
      <w:r w:rsidR="00322B15" w:rsidRPr="00D453C2">
        <w:t xml:space="preserve"> de contratos y/u órdenes de servicio y su respectiva conformidad por la prestación efectuada (...), lo cual resultaría excesivo y oneroso ; con ocasión de la integración de bases, </w:t>
      </w:r>
      <w:r w:rsidR="00322B15" w:rsidRPr="00D453C2">
        <w:rPr>
          <w:b/>
          <w:u w:val="single"/>
        </w:rPr>
        <w:t>deberá adecuar</w:t>
      </w:r>
      <w:r w:rsidR="00322B15" w:rsidRPr="00D453C2">
        <w:t xml:space="preserve"> la forma de acreditación del factor, considerándose lo siguiente</w:t>
      </w:r>
      <w:r w:rsidR="00322B15" w:rsidRPr="00D453C2">
        <w:rPr>
          <w:i/>
        </w:rPr>
        <w:t>: "</w:t>
      </w:r>
      <w:r w:rsidR="00322B15" w:rsidRPr="00D453C2">
        <w:rPr>
          <w:i/>
          <w:iCs/>
          <w:u w:val="single"/>
          <w:lang w:eastAsia="es-ES"/>
        </w:rPr>
        <w:t xml:space="preserve">La experiencia se acreditará mediante copia simple de: contratos y su respectiva conformidad por la prestación efectuada; o  comprobantes de pago cuya cancelación se acredite documental y fehacientemente, con [CONSIGNAR TIPO DE DOCUMENTOS QUE DEBE PRESENTARSE, COMO POR EJEMPLO, VOUCHER DE DEPÓSITO, REPORTE DE ESTADO DE CUENTA, CANCELACIÓN EN EL </w:t>
      </w:r>
      <w:r w:rsidR="00322B15" w:rsidRPr="00D453C2">
        <w:rPr>
          <w:i/>
          <w:iCs/>
          <w:u w:val="single"/>
          <w:lang w:val="es-ES" w:eastAsia="es-ES"/>
        </w:rPr>
        <w:t>DOCUMENTO,ENTRE OTROS</w:t>
      </w:r>
      <w:r w:rsidR="00322B15" w:rsidRPr="00D453C2">
        <w:rPr>
          <w:i/>
          <w:iCs/>
          <w:u w:val="single"/>
          <w:lang w:eastAsia="es-ES"/>
        </w:rPr>
        <w:t xml:space="preserve">], correspondientes a un máximo de diez (10) servicios", </w:t>
      </w:r>
      <w:r w:rsidR="00322B15" w:rsidRPr="00D453C2">
        <w:t>considerando lo dispuesto en el artículo 45 del Reglamento.</w:t>
      </w:r>
    </w:p>
    <w:p w:rsidR="004A2D19" w:rsidRDefault="004A2D19" w:rsidP="00322B15">
      <w:pPr>
        <w:widowControl w:val="0"/>
        <w:tabs>
          <w:tab w:val="left" w:pos="4820"/>
        </w:tabs>
        <w:jc w:val="both"/>
      </w:pPr>
    </w:p>
    <w:p w:rsidR="004A2D19" w:rsidRPr="00D453C2" w:rsidRDefault="004A2D19" w:rsidP="00322B15">
      <w:pPr>
        <w:widowControl w:val="0"/>
        <w:tabs>
          <w:tab w:val="left" w:pos="4820"/>
        </w:tabs>
        <w:jc w:val="both"/>
        <w:rPr>
          <w:u w:val="single"/>
        </w:rPr>
      </w:pPr>
      <w:r>
        <w:t xml:space="preserve">Adicionalmente, a efectos de evitar confusiones en la etapa de presentación de propuestas, con ocasión de la integración de Bases, </w:t>
      </w:r>
      <w:r>
        <w:rPr>
          <w:b/>
          <w:u w:val="single"/>
        </w:rPr>
        <w:t>deberá suprimirse</w:t>
      </w:r>
      <w:r w:rsidRPr="004A2D19">
        <w:rPr>
          <w:b/>
        </w:rPr>
        <w:t xml:space="preserve"> </w:t>
      </w:r>
      <w:r w:rsidRPr="004A2D19">
        <w:t xml:space="preserve"> </w:t>
      </w:r>
      <w:r>
        <w:t xml:space="preserve">el siguiente </w:t>
      </w:r>
      <w:r w:rsidRPr="004A2D19">
        <w:t>el texto:</w:t>
      </w:r>
      <w:r>
        <w:t xml:space="preserve"> </w:t>
      </w:r>
      <w:r w:rsidRPr="004A2D19">
        <w:rPr>
          <w:i/>
        </w:rPr>
        <w:t>"el postor que presente montos menores al 25% del valor referencial. o que no presente ninguna copia de contratos y/o comprobantes de pago será calificado con cero (0) puntos"</w:t>
      </w:r>
      <w:r>
        <w:t xml:space="preserve">; </w:t>
      </w:r>
      <w:r w:rsidR="000C1A3C">
        <w:t>dado que ello no se condice con los rangos de calificación establecidos en el referido factor.</w:t>
      </w:r>
    </w:p>
    <w:p w:rsidR="00322B15" w:rsidRPr="00D453C2" w:rsidRDefault="00322B15" w:rsidP="00322B15">
      <w:pPr>
        <w:widowControl w:val="0"/>
        <w:jc w:val="both"/>
      </w:pPr>
    </w:p>
    <w:p w:rsidR="0091627F" w:rsidRPr="00D453C2" w:rsidRDefault="0091627F" w:rsidP="0091627F">
      <w:pPr>
        <w:widowControl w:val="0"/>
        <w:tabs>
          <w:tab w:val="left" w:pos="4253"/>
        </w:tabs>
        <w:ind w:left="4253" w:hanging="4253"/>
        <w:jc w:val="both"/>
        <w:rPr>
          <w:b/>
          <w:lang w:val="es-PE"/>
        </w:rPr>
      </w:pPr>
      <w:r w:rsidRPr="00D453C2">
        <w:rPr>
          <w:b/>
          <w:lang w:val="es-PE"/>
        </w:rPr>
        <w:t>Observación Nº 10:</w:t>
      </w:r>
      <w:r w:rsidRPr="00D453C2">
        <w:rPr>
          <w:b/>
          <w:lang w:val="es-PE"/>
        </w:rPr>
        <w:tab/>
        <w:t xml:space="preserve">Contra </w:t>
      </w:r>
      <w:r>
        <w:rPr>
          <w:b/>
          <w:lang w:val="es-PE"/>
        </w:rPr>
        <w:t>la "Experiencia del personal propuesto"</w:t>
      </w:r>
    </w:p>
    <w:p w:rsidR="0091627F" w:rsidRDefault="0091627F" w:rsidP="0091627F">
      <w:pPr>
        <w:pStyle w:val="Prrafodelista"/>
        <w:ind w:left="720"/>
        <w:jc w:val="both"/>
        <w:rPr>
          <w:sz w:val="24"/>
          <w:szCs w:val="24"/>
          <w:lang w:val="es-PE" w:eastAsia="es-PE"/>
        </w:rPr>
      </w:pPr>
    </w:p>
    <w:p w:rsidR="0091627F" w:rsidRPr="00D453C2" w:rsidRDefault="0091627F" w:rsidP="0091627F">
      <w:pPr>
        <w:widowControl w:val="0"/>
        <w:jc w:val="both"/>
        <w:rPr>
          <w:lang w:eastAsia="es-PE"/>
        </w:rPr>
      </w:pPr>
      <w:r>
        <w:rPr>
          <w:lang w:val="es-PE" w:eastAsia="es-PE"/>
        </w:rPr>
        <w:t>E</w:t>
      </w:r>
      <w:r w:rsidRPr="00D453C2">
        <w:rPr>
          <w:lang w:eastAsia="es-PE"/>
        </w:rPr>
        <w:t xml:space="preserve">l </w:t>
      </w:r>
      <w:r w:rsidRPr="0091627F">
        <w:rPr>
          <w:color w:val="000000"/>
          <w:lang w:val="es-PE" w:eastAsia="es-ES"/>
        </w:rPr>
        <w:t>participante</w:t>
      </w:r>
      <w:r w:rsidRPr="00D453C2">
        <w:rPr>
          <w:lang w:eastAsia="es-PE"/>
        </w:rPr>
        <w:t xml:space="preserve"> cuestiona la metodología para la asignación del puntaje del Factor de Evaluación "Personal Propuesto para la Prestación del Servicio", dado que</w:t>
      </w:r>
      <w:r w:rsidR="00066072">
        <w:rPr>
          <w:lang w:eastAsia="es-PE"/>
        </w:rPr>
        <w:t>,</w:t>
      </w:r>
      <w:r w:rsidRPr="00D453C2">
        <w:rPr>
          <w:lang w:eastAsia="es-PE"/>
        </w:rPr>
        <w:t xml:space="preserve"> según refiere, se encontraría considerando que para la calificación del Director Médico, del Médico especialista en Nefrología y de la Enfermera Asistencial, el factor de evaluación es muy superior a lo establecido como requerimiento técnico mínimo lo cual vulnera el artículo 43 del Reglamento que señala que se podrá calificar aquello que supere o mejore el requerimiento siempre que no desnaturalice el requerimiento; por lo que, solicita que se reformule la metodología para la asignación de puntaje, debiendo calificarse a partir del </w:t>
      </w:r>
      <w:r w:rsidRPr="00D453C2">
        <w:rPr>
          <w:lang w:eastAsia="es-PE"/>
        </w:rPr>
        <w:lastRenderedPageBreak/>
        <w:t>mes superior consignado como requerimiento técnico mínimo</w:t>
      </w:r>
      <w:r w:rsidR="00066072">
        <w:rPr>
          <w:lang w:eastAsia="es-PE"/>
        </w:rPr>
        <w:t>.</w:t>
      </w:r>
    </w:p>
    <w:p w:rsidR="00EB5282" w:rsidRDefault="00EB5282" w:rsidP="0091627F">
      <w:pPr>
        <w:widowControl w:val="0"/>
        <w:tabs>
          <w:tab w:val="left" w:pos="4253"/>
        </w:tabs>
        <w:ind w:left="4253" w:hanging="4253"/>
        <w:jc w:val="both"/>
        <w:rPr>
          <w:b/>
          <w:lang w:val="es-PE"/>
        </w:rPr>
      </w:pPr>
    </w:p>
    <w:p w:rsidR="0091627F" w:rsidRPr="00D453C2" w:rsidRDefault="0091627F" w:rsidP="0091627F">
      <w:pPr>
        <w:widowControl w:val="0"/>
        <w:tabs>
          <w:tab w:val="left" w:pos="4253"/>
        </w:tabs>
        <w:ind w:left="4253" w:hanging="4253"/>
        <w:jc w:val="both"/>
        <w:rPr>
          <w:b/>
          <w:lang w:val="es-PE"/>
        </w:rPr>
      </w:pPr>
      <w:r w:rsidRPr="00D453C2">
        <w:rPr>
          <w:b/>
          <w:lang w:val="es-PE"/>
        </w:rPr>
        <w:t>Pronunciamiento</w:t>
      </w:r>
    </w:p>
    <w:p w:rsidR="0091627F" w:rsidRPr="00D453C2" w:rsidRDefault="0091627F" w:rsidP="0091627F">
      <w:pPr>
        <w:widowControl w:val="0"/>
        <w:jc w:val="both"/>
        <w:rPr>
          <w:lang w:val="es-PE"/>
        </w:rPr>
      </w:pPr>
    </w:p>
    <w:p w:rsidR="0091627F" w:rsidRPr="00D453C2" w:rsidRDefault="0091627F" w:rsidP="0091627F">
      <w:pPr>
        <w:widowControl w:val="0"/>
        <w:jc w:val="both"/>
        <w:rPr>
          <w:color w:val="000000"/>
          <w:lang w:eastAsia="es-ES"/>
        </w:rPr>
      </w:pPr>
      <w:r w:rsidRPr="00D453C2">
        <w:rPr>
          <w:color w:val="000000"/>
          <w:lang w:val="es-PE" w:eastAsia="es-ES"/>
        </w:rPr>
        <w:t xml:space="preserve">De la revisión del Capítulo IV relacionado a los "Factores de Evaluación" </w:t>
      </w:r>
      <w:r w:rsidRPr="00D453C2">
        <w:rPr>
          <w:color w:val="000000"/>
          <w:lang w:eastAsia="es-ES"/>
        </w:rPr>
        <w:t>se advierte lo siguiente:</w:t>
      </w:r>
    </w:p>
    <w:p w:rsidR="0091627F" w:rsidRPr="00D453C2" w:rsidRDefault="006B0D64" w:rsidP="0091627F">
      <w:pPr>
        <w:widowControl w:val="0"/>
        <w:jc w:val="both"/>
        <w:rPr>
          <w:color w:val="000000"/>
          <w:lang w:eastAsia="es-ES"/>
        </w:rPr>
      </w:pPr>
      <w:r>
        <w:rPr>
          <w:noProof/>
          <w:lang w:val="es-PE" w:eastAsia="es-PE"/>
        </w:rPr>
        <w:drawing>
          <wp:inline distT="0" distB="0" distL="0" distR="0">
            <wp:extent cx="5609538" cy="2751152"/>
            <wp:effectExtent l="19050" t="0" r="0" b="0"/>
            <wp:docPr id="1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609536" cy="2751151"/>
                    </a:xfrm>
                    <a:prstGeom prst="rect">
                      <a:avLst/>
                    </a:prstGeom>
                    <a:noFill/>
                    <a:ln w="9525">
                      <a:noFill/>
                      <a:miter lim="800000"/>
                      <a:headEnd/>
                      <a:tailEnd/>
                    </a:ln>
                  </pic:spPr>
                </pic:pic>
              </a:graphicData>
            </a:graphic>
          </wp:inline>
        </w:drawing>
      </w:r>
    </w:p>
    <w:p w:rsidR="0091627F" w:rsidRPr="00D453C2" w:rsidRDefault="0091627F" w:rsidP="00180A61">
      <w:pPr>
        <w:ind w:left="142" w:right="900"/>
        <w:jc w:val="both"/>
      </w:pPr>
    </w:p>
    <w:p w:rsidR="00180A61" w:rsidRDefault="00180A61" w:rsidP="0091627F">
      <w:pPr>
        <w:jc w:val="both"/>
      </w:pPr>
    </w:p>
    <w:p w:rsidR="0091627F" w:rsidRPr="0091627F" w:rsidRDefault="0091627F" w:rsidP="0091627F">
      <w:pPr>
        <w:jc w:val="both"/>
        <w:rPr>
          <w:bCs/>
          <w:snapToGrid w:val="0"/>
          <w:lang w:eastAsia="es-ES"/>
        </w:rPr>
      </w:pPr>
      <w:r w:rsidRPr="00D453C2">
        <w:t>De la revisión del pliego absolutorio de observaciones, con relación a la Observación N</w:t>
      </w:r>
      <w:r>
        <w:rPr>
          <w:bCs/>
          <w:snapToGrid w:val="0"/>
          <w:lang w:eastAsia="es-ES"/>
        </w:rPr>
        <w:t xml:space="preserve">° </w:t>
      </w:r>
      <w:r w:rsidRPr="00D453C2">
        <w:rPr>
          <w:bCs/>
          <w:snapToGrid w:val="0"/>
          <w:lang w:eastAsia="es-ES"/>
        </w:rPr>
        <w:t xml:space="preserve">10, </w:t>
      </w:r>
      <w:r w:rsidRPr="00D453C2">
        <w:t>se aprecia que el Comité Especial considerando los argumentos expuestos por los mencionados participantes, señaló lo siguiente:</w:t>
      </w:r>
    </w:p>
    <w:p w:rsidR="0091627F" w:rsidRPr="00D453C2" w:rsidRDefault="0091627F" w:rsidP="0091627F">
      <w:pPr>
        <w:jc w:val="both"/>
      </w:pPr>
    </w:p>
    <w:p w:rsidR="0091627F" w:rsidRPr="00D453C2" w:rsidRDefault="0091627F" w:rsidP="0091627F">
      <w:pPr>
        <w:pStyle w:val="Prrafodelista"/>
        <w:ind w:left="426"/>
        <w:jc w:val="both"/>
        <w:rPr>
          <w:i/>
          <w:iCs/>
          <w:sz w:val="24"/>
          <w:szCs w:val="24"/>
        </w:rPr>
      </w:pPr>
      <w:r w:rsidRPr="00D453C2">
        <w:rPr>
          <w:i/>
          <w:iCs/>
          <w:sz w:val="24"/>
          <w:szCs w:val="24"/>
        </w:rPr>
        <w:t xml:space="preserve">"A la </w:t>
      </w:r>
      <w:r w:rsidRPr="00D453C2">
        <w:rPr>
          <w:i/>
          <w:iCs/>
          <w:color w:val="000000"/>
          <w:sz w:val="24"/>
          <w:szCs w:val="24"/>
        </w:rPr>
        <w:t>observación</w:t>
      </w:r>
      <w:r w:rsidRPr="00D453C2">
        <w:rPr>
          <w:i/>
          <w:iCs/>
          <w:sz w:val="24"/>
          <w:szCs w:val="24"/>
        </w:rPr>
        <w:t xml:space="preserve"> que realiza sobre la tabla de evaluación del personal asistencial debo de indicar lo siguiente:</w:t>
      </w:r>
    </w:p>
    <w:p w:rsidR="0091627F" w:rsidRPr="00D453C2" w:rsidRDefault="0091627F" w:rsidP="0091627F">
      <w:pPr>
        <w:pStyle w:val="Prrafodelista"/>
        <w:ind w:left="426"/>
        <w:jc w:val="both"/>
        <w:rPr>
          <w:i/>
          <w:iCs/>
          <w:sz w:val="24"/>
          <w:szCs w:val="24"/>
        </w:rPr>
      </w:pPr>
    </w:p>
    <w:p w:rsidR="0091627F" w:rsidRPr="00D453C2" w:rsidRDefault="0091627F" w:rsidP="0091627F">
      <w:pPr>
        <w:pStyle w:val="Prrafodelista"/>
        <w:ind w:left="426"/>
        <w:jc w:val="both"/>
        <w:rPr>
          <w:b/>
          <w:bCs/>
          <w:i/>
          <w:iCs/>
          <w:sz w:val="24"/>
          <w:szCs w:val="24"/>
        </w:rPr>
      </w:pPr>
      <w:r w:rsidRPr="00D453C2">
        <w:rPr>
          <w:i/>
          <w:iCs/>
          <w:sz w:val="24"/>
          <w:szCs w:val="24"/>
        </w:rPr>
        <w:t xml:space="preserve">En </w:t>
      </w:r>
      <w:r w:rsidRPr="00D453C2">
        <w:rPr>
          <w:i/>
          <w:iCs/>
          <w:color w:val="000000"/>
          <w:sz w:val="24"/>
          <w:szCs w:val="24"/>
        </w:rPr>
        <w:t>cuanto</w:t>
      </w:r>
      <w:r w:rsidRPr="00D453C2">
        <w:rPr>
          <w:i/>
          <w:iCs/>
          <w:sz w:val="24"/>
          <w:szCs w:val="24"/>
        </w:rPr>
        <w:t xml:space="preserve"> a la evaluación del </w:t>
      </w:r>
      <w:r w:rsidRPr="00D453C2">
        <w:rPr>
          <w:b/>
          <w:bCs/>
          <w:i/>
          <w:iCs/>
          <w:sz w:val="24"/>
          <w:szCs w:val="24"/>
        </w:rPr>
        <w:t>Director Médico:</w:t>
      </w:r>
      <w:r w:rsidRPr="00D453C2">
        <w:rPr>
          <w:i/>
          <w:iCs/>
          <w:sz w:val="24"/>
          <w:szCs w:val="24"/>
        </w:rPr>
        <w:t xml:space="preserve"> </w:t>
      </w:r>
      <w:r w:rsidRPr="00D453C2">
        <w:rPr>
          <w:b/>
          <w:bCs/>
          <w:i/>
          <w:iCs/>
          <w:sz w:val="24"/>
          <w:szCs w:val="24"/>
        </w:rPr>
        <w:t>Debe</w:t>
      </w:r>
      <w:r w:rsidRPr="00D453C2">
        <w:rPr>
          <w:i/>
          <w:iCs/>
          <w:sz w:val="24"/>
          <w:szCs w:val="24"/>
        </w:rPr>
        <w:t xml:space="preserve"> t</w:t>
      </w:r>
      <w:r w:rsidRPr="00D453C2">
        <w:rPr>
          <w:b/>
          <w:bCs/>
          <w:i/>
          <w:iCs/>
          <w:sz w:val="24"/>
          <w:szCs w:val="24"/>
        </w:rPr>
        <w:t>ener (05) cinco  años mínimo como NEFRÓLOGO, a partir del Título Profesional y del Registro Nacional de Especialista.</w:t>
      </w:r>
    </w:p>
    <w:p w:rsidR="0091627F" w:rsidRPr="00D453C2" w:rsidRDefault="0091627F" w:rsidP="0091627F">
      <w:pPr>
        <w:pStyle w:val="Prrafodelista"/>
        <w:ind w:left="426"/>
        <w:jc w:val="both"/>
        <w:rPr>
          <w:b/>
          <w:bCs/>
          <w:i/>
          <w:iCs/>
          <w:sz w:val="24"/>
          <w:szCs w:val="24"/>
        </w:rPr>
      </w:pPr>
    </w:p>
    <w:p w:rsidR="0091627F" w:rsidRPr="00D453C2" w:rsidRDefault="0091627F" w:rsidP="0091627F">
      <w:pPr>
        <w:pStyle w:val="Prrafodelista"/>
        <w:ind w:left="426"/>
        <w:jc w:val="both"/>
        <w:rPr>
          <w:b/>
          <w:bCs/>
          <w:i/>
          <w:iCs/>
          <w:sz w:val="24"/>
          <w:szCs w:val="24"/>
        </w:rPr>
      </w:pPr>
      <w:r w:rsidRPr="00D453C2">
        <w:rPr>
          <w:i/>
          <w:iCs/>
          <w:sz w:val="24"/>
          <w:szCs w:val="24"/>
        </w:rPr>
        <w:t xml:space="preserve">En el Capítulo IV Criterio de Evaluación (Puntaje), para la evaluación técnica del Director Médico se evaluará la </w:t>
      </w:r>
      <w:r w:rsidRPr="00D453C2">
        <w:rPr>
          <w:b/>
          <w:bCs/>
          <w:i/>
          <w:iCs/>
          <w:sz w:val="24"/>
          <w:szCs w:val="24"/>
        </w:rPr>
        <w:t>EXPERIENCIA EN HEMODIÁLISIS a partir de ocho años a más.</w:t>
      </w:r>
    </w:p>
    <w:p w:rsidR="0091627F" w:rsidRPr="00D453C2" w:rsidRDefault="0091627F" w:rsidP="0091627F">
      <w:pPr>
        <w:jc w:val="both"/>
        <w:rPr>
          <w:i/>
          <w:iCs/>
        </w:rPr>
      </w:pPr>
    </w:p>
    <w:p w:rsidR="0091627F" w:rsidRPr="00D453C2" w:rsidRDefault="0091627F" w:rsidP="0091627F">
      <w:pPr>
        <w:pStyle w:val="Prrafodelista"/>
        <w:ind w:left="426"/>
        <w:jc w:val="both"/>
        <w:rPr>
          <w:b/>
          <w:bCs/>
          <w:i/>
          <w:iCs/>
          <w:color w:val="000000"/>
          <w:sz w:val="24"/>
          <w:szCs w:val="24"/>
        </w:rPr>
      </w:pPr>
      <w:r w:rsidRPr="00D453C2">
        <w:rPr>
          <w:b/>
          <w:bCs/>
          <w:i/>
          <w:iCs/>
          <w:color w:val="000000"/>
          <w:sz w:val="24"/>
          <w:szCs w:val="24"/>
        </w:rPr>
        <w:t xml:space="preserve">Quiere decir: Que el Director Médico debe cumplir el requisito de los Términos de Referencia de </w:t>
      </w:r>
      <w:r w:rsidRPr="00D453C2">
        <w:rPr>
          <w:b/>
          <w:bCs/>
          <w:i/>
          <w:iCs/>
          <w:color w:val="000000"/>
          <w:sz w:val="24"/>
          <w:szCs w:val="24"/>
          <w:u w:val="single"/>
        </w:rPr>
        <w:t>Nefrólogo</w:t>
      </w:r>
      <w:r w:rsidRPr="00D453C2">
        <w:rPr>
          <w:b/>
          <w:bCs/>
          <w:i/>
          <w:iCs/>
          <w:color w:val="000000"/>
          <w:sz w:val="24"/>
          <w:szCs w:val="24"/>
        </w:rPr>
        <w:t xml:space="preserve">, así también lo indicado en el Criterio de la Evaluación la </w:t>
      </w:r>
      <w:r w:rsidRPr="00D453C2">
        <w:rPr>
          <w:b/>
          <w:bCs/>
          <w:i/>
          <w:iCs/>
          <w:color w:val="000000"/>
          <w:sz w:val="24"/>
          <w:szCs w:val="24"/>
          <w:u w:val="single"/>
        </w:rPr>
        <w:t>Experiencia en Hemodiálisis</w:t>
      </w:r>
      <w:r w:rsidRPr="00D453C2">
        <w:rPr>
          <w:b/>
          <w:bCs/>
          <w:i/>
          <w:iCs/>
          <w:color w:val="000000"/>
          <w:sz w:val="24"/>
          <w:szCs w:val="24"/>
        </w:rPr>
        <w:t>, que son dos cosas diferentes.</w:t>
      </w:r>
    </w:p>
    <w:p w:rsidR="0091627F" w:rsidRPr="00D453C2" w:rsidRDefault="0091627F" w:rsidP="0091627F">
      <w:pPr>
        <w:jc w:val="both"/>
        <w:rPr>
          <w:b/>
          <w:bCs/>
          <w:color w:val="000000"/>
        </w:rPr>
      </w:pPr>
    </w:p>
    <w:p w:rsidR="0091627F" w:rsidRPr="00D453C2" w:rsidRDefault="0091627F" w:rsidP="0091627F">
      <w:pPr>
        <w:pStyle w:val="Prrafodelista"/>
        <w:ind w:left="426"/>
        <w:jc w:val="both"/>
        <w:rPr>
          <w:i/>
          <w:iCs/>
          <w:sz w:val="24"/>
          <w:szCs w:val="24"/>
        </w:rPr>
      </w:pPr>
      <w:r w:rsidRPr="00D453C2">
        <w:rPr>
          <w:b/>
          <w:bCs/>
          <w:i/>
          <w:iCs/>
          <w:color w:val="000000"/>
          <w:sz w:val="24"/>
          <w:szCs w:val="24"/>
        </w:rPr>
        <w:t xml:space="preserve">Médico Asistencial: </w:t>
      </w:r>
      <w:r w:rsidRPr="00D453C2">
        <w:rPr>
          <w:i/>
          <w:iCs/>
          <w:sz w:val="24"/>
          <w:szCs w:val="24"/>
        </w:rPr>
        <w:t xml:space="preserve">Se evaluará de acuerdo a lo asignado en la tabla, sobre la </w:t>
      </w:r>
      <w:r w:rsidRPr="00D453C2">
        <w:rPr>
          <w:b/>
          <w:bCs/>
          <w:i/>
          <w:iCs/>
          <w:color w:val="000000"/>
          <w:sz w:val="24"/>
          <w:szCs w:val="24"/>
        </w:rPr>
        <w:t>consulta</w:t>
      </w:r>
      <w:r w:rsidRPr="00D453C2">
        <w:rPr>
          <w:i/>
          <w:iCs/>
          <w:sz w:val="24"/>
          <w:szCs w:val="24"/>
        </w:rPr>
        <w:t xml:space="preserve"> de 0 a 3 años de experiencia en hemodiálisis no tendrá puntaje. </w:t>
      </w:r>
    </w:p>
    <w:p w:rsidR="0091627F" w:rsidRPr="00D453C2" w:rsidRDefault="0091627F" w:rsidP="0091627F">
      <w:pPr>
        <w:jc w:val="both"/>
        <w:rPr>
          <w:i/>
          <w:iCs/>
        </w:rPr>
      </w:pPr>
    </w:p>
    <w:p w:rsidR="0091627F" w:rsidRPr="00D453C2" w:rsidRDefault="0091627F" w:rsidP="0091627F">
      <w:pPr>
        <w:pStyle w:val="Prrafodelista"/>
        <w:ind w:left="426"/>
        <w:jc w:val="both"/>
        <w:rPr>
          <w:i/>
          <w:iCs/>
          <w:sz w:val="24"/>
          <w:szCs w:val="24"/>
        </w:rPr>
      </w:pPr>
      <w:r w:rsidRPr="00D453C2">
        <w:rPr>
          <w:b/>
          <w:bCs/>
          <w:i/>
          <w:iCs/>
          <w:color w:val="000000"/>
          <w:sz w:val="24"/>
          <w:szCs w:val="24"/>
        </w:rPr>
        <w:lastRenderedPageBreak/>
        <w:t>Enfermera</w:t>
      </w:r>
      <w:r w:rsidRPr="00D453C2">
        <w:rPr>
          <w:b/>
          <w:bCs/>
          <w:i/>
          <w:iCs/>
          <w:sz w:val="24"/>
          <w:szCs w:val="24"/>
        </w:rPr>
        <w:t xml:space="preserve"> Asistencial: </w:t>
      </w:r>
      <w:r w:rsidRPr="00D453C2">
        <w:rPr>
          <w:i/>
          <w:iCs/>
          <w:sz w:val="24"/>
          <w:szCs w:val="24"/>
        </w:rPr>
        <w:t>Para la asignación del puntaje en este rubro sólo se considerará lo indicado en la tabla de evaluación.</w:t>
      </w:r>
    </w:p>
    <w:p w:rsidR="0091627F" w:rsidRPr="00D453C2" w:rsidRDefault="0091627F" w:rsidP="0091627F">
      <w:pPr>
        <w:ind w:left="708"/>
        <w:jc w:val="both"/>
        <w:rPr>
          <w:i/>
          <w:iCs/>
        </w:rPr>
      </w:pPr>
    </w:p>
    <w:p w:rsidR="0091627F" w:rsidRPr="00D453C2" w:rsidRDefault="0091627F" w:rsidP="0091627F">
      <w:pPr>
        <w:tabs>
          <w:tab w:val="left" w:pos="0"/>
        </w:tabs>
        <w:overflowPunct w:val="0"/>
        <w:autoSpaceDE w:val="0"/>
        <w:autoSpaceDN w:val="0"/>
        <w:adjustRightInd w:val="0"/>
        <w:jc w:val="both"/>
        <w:textAlignment w:val="baseline"/>
      </w:pPr>
      <w:r w:rsidRPr="00D453C2">
        <w:t xml:space="preserve">Al respecto, de conformidad con el artículo 43° del Reglamento, </w:t>
      </w:r>
      <w:r w:rsidRPr="00D453C2">
        <w:rPr>
          <w:u w:val="single"/>
        </w:rPr>
        <w:t xml:space="preserve">resulta de competencia del Comité Especial la determinación de los factores de evaluación, </w:t>
      </w:r>
      <w:r w:rsidRPr="00D453C2">
        <w:rPr>
          <w:bCs/>
          <w:u w:val="single"/>
        </w:rPr>
        <w:t>la fijación de los puntajes que se le asignará a cada uno de ellos, así como los criterios para su asignación</w:t>
      </w:r>
      <w:r w:rsidRPr="00D453C2">
        <w:rPr>
          <w:bCs/>
        </w:rPr>
        <w:t>,</w:t>
      </w:r>
      <w:r w:rsidRPr="00D453C2">
        <w:t xml:space="preserve"> los cuales deberán ser objetivos y congruentes con el objeto de la convocatoria, sujetándose a criterios de razonabilidad y proporcionalidad.</w:t>
      </w:r>
    </w:p>
    <w:p w:rsidR="0091627F" w:rsidRPr="00D453C2" w:rsidRDefault="0091627F" w:rsidP="0091627F">
      <w:pPr>
        <w:tabs>
          <w:tab w:val="left" w:pos="0"/>
        </w:tabs>
        <w:overflowPunct w:val="0"/>
        <w:autoSpaceDE w:val="0"/>
        <w:autoSpaceDN w:val="0"/>
        <w:adjustRightInd w:val="0"/>
        <w:jc w:val="both"/>
        <w:textAlignment w:val="baseline"/>
      </w:pPr>
    </w:p>
    <w:p w:rsidR="00EB5282" w:rsidRPr="00EB5282" w:rsidRDefault="0091627F" w:rsidP="0091627F">
      <w:pPr>
        <w:tabs>
          <w:tab w:val="left" w:pos="0"/>
        </w:tabs>
        <w:overflowPunct w:val="0"/>
        <w:autoSpaceDE w:val="0"/>
        <w:autoSpaceDN w:val="0"/>
        <w:adjustRightInd w:val="0"/>
        <w:jc w:val="both"/>
        <w:textAlignment w:val="baseline"/>
      </w:pPr>
      <w:r w:rsidRPr="00EB5282">
        <w:t xml:space="preserve">Al respecto, el artículo 45° del Reglamento establece que, en caso de la contratación de servicios en general debe considerarse como factor referido a la experiencia, en el que se calificará </w:t>
      </w:r>
      <w:r w:rsidR="00EB5282" w:rsidRPr="00EB5282">
        <w:t>al personal propuesto para la prestación del servicio el cual se evaluará por el tiempo de experiencia en la especialidad del personal propuesto para la ejecución del servicio, que se acreditará con constancias o certificados.</w:t>
      </w:r>
    </w:p>
    <w:p w:rsidR="0091627F" w:rsidRPr="00D453C2" w:rsidRDefault="0091627F" w:rsidP="0091627F">
      <w:pPr>
        <w:widowControl w:val="0"/>
        <w:tabs>
          <w:tab w:val="left" w:pos="3686"/>
        </w:tabs>
        <w:ind w:left="3686" w:hanging="3686"/>
        <w:jc w:val="both"/>
      </w:pPr>
    </w:p>
    <w:p w:rsidR="007146E6" w:rsidRDefault="00180A61" w:rsidP="0091627F">
      <w:pPr>
        <w:widowControl w:val="0"/>
        <w:jc w:val="both"/>
      </w:pPr>
      <w:r>
        <w:t xml:space="preserve">De lo expuesto, se advierte </w:t>
      </w:r>
      <w:r w:rsidR="007146E6">
        <w:t>que</w:t>
      </w:r>
      <w:r w:rsidR="004A2D19">
        <w:t>,</w:t>
      </w:r>
      <w:r w:rsidR="007146E6">
        <w:t xml:space="preserve"> en el caso de los profesionales </w:t>
      </w:r>
      <w:r w:rsidR="007146E6" w:rsidRPr="00D453C2">
        <w:rPr>
          <w:lang w:eastAsia="es-PE"/>
        </w:rPr>
        <w:t>Médico especialista en Nefrología y de la Enfermera Asistencial,</w:t>
      </w:r>
      <w:r w:rsidR="007146E6">
        <w:rPr>
          <w:lang w:eastAsia="es-PE"/>
        </w:rPr>
        <w:t xml:space="preserve"> Jefe de Enfermería,</w:t>
      </w:r>
      <w:r w:rsidR="007146E6" w:rsidRPr="007146E6">
        <w:rPr>
          <w:lang w:eastAsia="es-PE"/>
        </w:rPr>
        <w:t xml:space="preserve"> </w:t>
      </w:r>
      <w:r w:rsidR="007146E6">
        <w:rPr>
          <w:lang w:eastAsia="es-PE"/>
        </w:rPr>
        <w:t>l</w:t>
      </w:r>
      <w:r w:rsidR="007146E6" w:rsidRPr="007146E6">
        <w:t>a acreditación de la máxima experiencia solicitada</w:t>
      </w:r>
      <w:r w:rsidR="007146E6">
        <w:t xml:space="preserve"> en dicho factor, bastaría</w:t>
      </w:r>
      <w:r w:rsidR="007146E6" w:rsidRPr="007146E6">
        <w:t xml:space="preserve"> para </w:t>
      </w:r>
      <w:r w:rsidR="006B0D64">
        <w:t xml:space="preserve">acreditar el cumplimiento de </w:t>
      </w:r>
      <w:r w:rsidR="007146E6" w:rsidRPr="007146E6">
        <w:t xml:space="preserve">los requerimientos técnicos mínimos, </w:t>
      </w:r>
      <w:r w:rsidR="006B0D64">
        <w:t xml:space="preserve">y obtener la </w:t>
      </w:r>
      <w:r w:rsidR="007146E6" w:rsidRPr="007146E6">
        <w:t xml:space="preserve">asignación del máximo puntaje; </w:t>
      </w:r>
      <w:r w:rsidR="007146E6">
        <w:t xml:space="preserve">sin embargo, en el caso del </w:t>
      </w:r>
      <w:r>
        <w:t>Director Médico</w:t>
      </w:r>
      <w:r w:rsidR="006B0D64">
        <w:t xml:space="preserve"> </w:t>
      </w:r>
      <w:r w:rsidR="007146E6">
        <w:t>no resulta</w:t>
      </w:r>
      <w:r w:rsidR="006B0D64">
        <w:t>ría</w:t>
      </w:r>
      <w:r w:rsidR="007146E6">
        <w:t xml:space="preserve"> claro </w:t>
      </w:r>
      <w:r w:rsidR="006B0D64">
        <w:t>la metodología de asignación del puntaje</w:t>
      </w:r>
      <w:r w:rsidR="007146E6">
        <w:t>, puesto que en los requerimientos técnicos mínimos se solicita experiencia en Nefrología</w:t>
      </w:r>
      <w:r w:rsidR="006B0D64">
        <w:t>,</w:t>
      </w:r>
      <w:r w:rsidR="007146E6">
        <w:t xml:space="preserve"> mientras que en los facto</w:t>
      </w:r>
      <w:r w:rsidR="006B0D64">
        <w:t>res de evaluación</w:t>
      </w:r>
      <w:r w:rsidR="007146E6">
        <w:t xml:space="preserve"> se requiere experiencia en hemodiálisis</w:t>
      </w:r>
      <w:r w:rsidR="006B0D64">
        <w:t>, experiencia que, según el Comité Especial, serían distintas</w:t>
      </w:r>
      <w:r w:rsidR="007146E6">
        <w:t xml:space="preserve">.  </w:t>
      </w:r>
    </w:p>
    <w:p w:rsidR="00180A61" w:rsidRDefault="00180A61" w:rsidP="0091627F">
      <w:pPr>
        <w:widowControl w:val="0"/>
        <w:jc w:val="both"/>
      </w:pPr>
    </w:p>
    <w:p w:rsidR="0091627F" w:rsidRDefault="007146E6" w:rsidP="0091627F">
      <w:pPr>
        <w:widowControl w:val="0"/>
        <w:jc w:val="both"/>
      </w:pPr>
      <w:r>
        <w:t xml:space="preserve">No obstante, dado que el </w:t>
      </w:r>
      <w:r w:rsidR="00066072" w:rsidRPr="006E3376">
        <w:t>participante solicita que se reformule el factor de evaluación</w:t>
      </w:r>
      <w:r w:rsidR="0091627F" w:rsidRPr="006E3376">
        <w:t xml:space="preserve"> según su interés particular, este Organismo Supervisor decide </w:t>
      </w:r>
      <w:r w:rsidR="0091627F" w:rsidRPr="006E3376">
        <w:rPr>
          <w:b/>
        </w:rPr>
        <w:t>NO ACOGER</w:t>
      </w:r>
      <w:r w:rsidR="0091627F" w:rsidRPr="006E3376">
        <w:t xml:space="preserve"> la presente observación.</w:t>
      </w:r>
    </w:p>
    <w:p w:rsidR="0091627F" w:rsidRDefault="0091627F" w:rsidP="0091627F">
      <w:pPr>
        <w:widowControl w:val="0"/>
        <w:jc w:val="both"/>
      </w:pPr>
    </w:p>
    <w:p w:rsidR="0091627F" w:rsidRDefault="0091627F" w:rsidP="0091627F">
      <w:pPr>
        <w:widowControl w:val="0"/>
        <w:jc w:val="both"/>
        <w:rPr>
          <w:i/>
        </w:rPr>
      </w:pPr>
      <w:r>
        <w:t xml:space="preserve">Sin perjuicio de lo señalado, </w:t>
      </w:r>
      <w:r w:rsidR="00066072">
        <w:t xml:space="preserve">respecto del Director Médico, corresponderá verificar al Comité Especial en coordinación con el área usuaria, si en efecto la experiencia </w:t>
      </w:r>
      <w:r>
        <w:rPr>
          <w:bCs/>
          <w:iCs/>
        </w:rPr>
        <w:t>en nefrología</w:t>
      </w:r>
      <w:r w:rsidR="00066072">
        <w:rPr>
          <w:bCs/>
          <w:iCs/>
        </w:rPr>
        <w:t xml:space="preserve"> requerida en el Capítulo III</w:t>
      </w:r>
      <w:r>
        <w:rPr>
          <w:bCs/>
          <w:iCs/>
        </w:rPr>
        <w:t xml:space="preserve">, </w:t>
      </w:r>
      <w:r w:rsidR="00066072">
        <w:rPr>
          <w:bCs/>
          <w:iCs/>
        </w:rPr>
        <w:t>e</w:t>
      </w:r>
      <w:r w:rsidR="0029697D">
        <w:rPr>
          <w:bCs/>
          <w:iCs/>
        </w:rPr>
        <w:t xml:space="preserve">s diferente a la experiencia en hemodiálisis; ahora bien, en caso sea diferente, corresponderá al Comité Especial con ocasión de la integración de Bases </w:t>
      </w:r>
      <w:r w:rsidR="0029697D" w:rsidRPr="0029697D">
        <w:rPr>
          <w:b/>
          <w:bCs/>
          <w:iCs/>
          <w:u w:val="single"/>
        </w:rPr>
        <w:t>adecuar</w:t>
      </w:r>
      <w:r w:rsidR="0029697D">
        <w:rPr>
          <w:bCs/>
          <w:iCs/>
        </w:rPr>
        <w:t xml:space="preserve"> los rangos del factor de evaluación de tal manera, que se califique con mayor puntaje a aquél que acredite experiencia </w:t>
      </w:r>
      <w:r w:rsidR="006B0D64">
        <w:rPr>
          <w:bCs/>
          <w:iCs/>
        </w:rPr>
        <w:t xml:space="preserve">en hemodiálisis </w:t>
      </w:r>
      <w:r w:rsidR="0029697D">
        <w:rPr>
          <w:bCs/>
          <w:iCs/>
        </w:rPr>
        <w:t xml:space="preserve">no mayor a cinco (5) años; no obstante, en caso sea igual, </w:t>
      </w:r>
      <w:r>
        <w:t xml:space="preserve">a efectos de evitar inconvenientes al momento de la evaluación de las propuestas, </w:t>
      </w:r>
      <w:r w:rsidRPr="00963500">
        <w:rPr>
          <w:b/>
          <w:u w:val="single"/>
        </w:rPr>
        <w:t xml:space="preserve">deberá precisarse </w:t>
      </w:r>
      <w:r w:rsidRPr="00963500">
        <w:t xml:space="preserve"> que </w:t>
      </w:r>
      <w:r>
        <w:t xml:space="preserve">para </w:t>
      </w:r>
      <w:r w:rsidRPr="00963500">
        <w:rPr>
          <w:i/>
        </w:rPr>
        <w:t xml:space="preserve">“La acreditación de la máxima experiencia solicitada </w:t>
      </w:r>
      <w:r>
        <w:rPr>
          <w:i/>
        </w:rPr>
        <w:t>del presente profesional</w:t>
      </w:r>
      <w:r w:rsidRPr="00963500">
        <w:rPr>
          <w:i/>
        </w:rPr>
        <w:t>, bastará para acreditar el cumplimiento de la experiencia solicitada en los requerimientos técnicos mínimos, así como para la</w:t>
      </w:r>
      <w:r w:rsidR="0029697D">
        <w:rPr>
          <w:i/>
        </w:rPr>
        <w:t xml:space="preserve"> asignación del máximo puntaje”; </w:t>
      </w:r>
      <w:r w:rsidR="0029697D" w:rsidRPr="0029697D">
        <w:t>as</w:t>
      </w:r>
      <w:r w:rsidR="0029697D">
        <w:t>pecto que deberá ser considerado en la calificación de los demás profesionales.</w:t>
      </w:r>
    </w:p>
    <w:p w:rsidR="0091627F" w:rsidRPr="00D453C2" w:rsidRDefault="0091627F" w:rsidP="0091627F">
      <w:pPr>
        <w:widowControl w:val="0"/>
        <w:tabs>
          <w:tab w:val="left" w:pos="4820"/>
        </w:tabs>
        <w:jc w:val="both"/>
        <w:rPr>
          <w:highlight w:val="yellow"/>
        </w:rPr>
      </w:pPr>
    </w:p>
    <w:p w:rsidR="0091627F" w:rsidRPr="00D453C2" w:rsidRDefault="0091627F" w:rsidP="0091627F">
      <w:pPr>
        <w:widowControl w:val="0"/>
        <w:tabs>
          <w:tab w:val="left" w:pos="4253"/>
        </w:tabs>
        <w:ind w:left="4253" w:hanging="4253"/>
        <w:jc w:val="both"/>
        <w:rPr>
          <w:b/>
          <w:lang w:val="es-PE"/>
        </w:rPr>
      </w:pPr>
      <w:r w:rsidRPr="00D453C2">
        <w:rPr>
          <w:b/>
          <w:lang w:val="es-PE"/>
        </w:rPr>
        <w:t xml:space="preserve">Observación Nº </w:t>
      </w:r>
      <w:r>
        <w:rPr>
          <w:b/>
          <w:lang w:val="es-PE"/>
        </w:rPr>
        <w:t>11</w:t>
      </w:r>
      <w:r w:rsidRPr="00D453C2">
        <w:rPr>
          <w:b/>
          <w:lang w:val="es-PE"/>
        </w:rPr>
        <w:t>:</w:t>
      </w:r>
      <w:r w:rsidRPr="00D453C2">
        <w:rPr>
          <w:b/>
          <w:lang w:val="es-PE"/>
        </w:rPr>
        <w:tab/>
        <w:t xml:space="preserve">Contra </w:t>
      </w:r>
      <w:r w:rsidR="00EB5282">
        <w:rPr>
          <w:b/>
          <w:lang w:val="es-PE"/>
        </w:rPr>
        <w:t>"El Equipamiento"</w:t>
      </w:r>
      <w:r w:rsidRPr="00D453C2">
        <w:rPr>
          <w:b/>
          <w:lang w:val="es-PE"/>
        </w:rPr>
        <w:t xml:space="preserve"> </w:t>
      </w:r>
    </w:p>
    <w:p w:rsidR="0091627F" w:rsidRPr="00D453C2" w:rsidRDefault="0091627F" w:rsidP="0091627F">
      <w:pPr>
        <w:jc w:val="both"/>
        <w:rPr>
          <w:lang w:val="es-PE"/>
        </w:rPr>
      </w:pPr>
    </w:p>
    <w:p w:rsidR="0091627F" w:rsidRPr="00D453C2" w:rsidRDefault="0091627F" w:rsidP="0091627F">
      <w:pPr>
        <w:widowControl w:val="0"/>
        <w:jc w:val="both"/>
        <w:rPr>
          <w:lang w:eastAsia="es-PE"/>
        </w:rPr>
      </w:pPr>
      <w:r w:rsidRPr="00D453C2">
        <w:rPr>
          <w:lang w:eastAsia="es-PE"/>
        </w:rPr>
        <w:t xml:space="preserve">A </w:t>
      </w:r>
      <w:r w:rsidRPr="00D453C2">
        <w:t>través</w:t>
      </w:r>
      <w:r w:rsidRPr="00D453C2">
        <w:rPr>
          <w:lang w:eastAsia="es-PE"/>
        </w:rPr>
        <w:t xml:space="preserve"> de la Observación N° 11, el participante cuestiona el factor de evaluación "Equipamiento", dado que</w:t>
      </w:r>
      <w:r w:rsidR="0029697D">
        <w:rPr>
          <w:lang w:eastAsia="es-PE"/>
        </w:rPr>
        <w:t>,</w:t>
      </w:r>
      <w:r w:rsidRPr="00D453C2">
        <w:rPr>
          <w:lang w:eastAsia="es-PE"/>
        </w:rPr>
        <w:t xml:space="preserve"> según refiere, en el mercado no es posible contar con maquinaria con </w:t>
      </w:r>
      <w:r w:rsidR="0029697D">
        <w:rPr>
          <w:lang w:eastAsia="es-PE"/>
        </w:rPr>
        <w:t xml:space="preserve">una </w:t>
      </w:r>
      <w:r w:rsidRPr="00D453C2">
        <w:rPr>
          <w:lang w:eastAsia="es-PE"/>
        </w:rPr>
        <w:t xml:space="preserve">antigüedad menor de un año, considerando los trámites de </w:t>
      </w:r>
      <w:proofErr w:type="spellStart"/>
      <w:r w:rsidRPr="00D453C2">
        <w:rPr>
          <w:lang w:eastAsia="es-PE"/>
        </w:rPr>
        <w:t>aduanaje</w:t>
      </w:r>
      <w:proofErr w:type="spellEnd"/>
      <w:r w:rsidRPr="00D453C2">
        <w:rPr>
          <w:lang w:eastAsia="es-PE"/>
        </w:rPr>
        <w:t xml:space="preserve"> y </w:t>
      </w:r>
      <w:proofErr w:type="spellStart"/>
      <w:r w:rsidRPr="00D453C2">
        <w:rPr>
          <w:lang w:eastAsia="es-PE"/>
        </w:rPr>
        <w:t>desaduanaje</w:t>
      </w:r>
      <w:proofErr w:type="spellEnd"/>
      <w:r w:rsidRPr="00D453C2">
        <w:rPr>
          <w:lang w:eastAsia="es-PE"/>
        </w:rPr>
        <w:t xml:space="preserve">, del registro sanitario del MINSA, calibración y otros afines previos a la </w:t>
      </w:r>
      <w:r w:rsidRPr="00D453C2">
        <w:rPr>
          <w:lang w:eastAsia="es-PE"/>
        </w:rPr>
        <w:lastRenderedPageBreak/>
        <w:t>comercialización</w:t>
      </w:r>
      <w:r w:rsidR="0029697D">
        <w:rPr>
          <w:lang w:eastAsia="es-PE"/>
        </w:rPr>
        <w:t>;</w:t>
      </w:r>
      <w:r w:rsidRPr="00D453C2">
        <w:rPr>
          <w:lang w:eastAsia="es-PE"/>
        </w:rPr>
        <w:t xml:space="preserve"> asimismo</w:t>
      </w:r>
      <w:r w:rsidR="0029697D">
        <w:rPr>
          <w:lang w:eastAsia="es-PE"/>
        </w:rPr>
        <w:t>,</w:t>
      </w:r>
      <w:r w:rsidRPr="00D453C2">
        <w:rPr>
          <w:lang w:eastAsia="es-PE"/>
        </w:rPr>
        <w:t xml:space="preserve"> </w:t>
      </w:r>
      <w:r w:rsidR="0029697D">
        <w:rPr>
          <w:lang w:eastAsia="es-PE"/>
        </w:rPr>
        <w:t xml:space="preserve">dicho criterio </w:t>
      </w:r>
      <w:r w:rsidRPr="00D453C2">
        <w:rPr>
          <w:lang w:eastAsia="es-PE"/>
        </w:rPr>
        <w:t>menoscabaría a los equipos de mayor antigüedad; por lo cual, solicita que se reformule el criterio de calificación, así como el puntaje, considerando que los montos de calificación son elevados.</w:t>
      </w:r>
    </w:p>
    <w:p w:rsidR="0091627F" w:rsidRPr="00D453C2" w:rsidRDefault="0091627F" w:rsidP="0091627F">
      <w:pPr>
        <w:widowControl w:val="0"/>
        <w:jc w:val="both"/>
      </w:pPr>
    </w:p>
    <w:p w:rsidR="0091627F" w:rsidRPr="00D453C2" w:rsidRDefault="0091627F" w:rsidP="0091627F">
      <w:pPr>
        <w:widowControl w:val="0"/>
        <w:tabs>
          <w:tab w:val="left" w:pos="4253"/>
        </w:tabs>
        <w:ind w:left="4253" w:hanging="4253"/>
        <w:jc w:val="both"/>
        <w:rPr>
          <w:b/>
          <w:lang w:val="es-PE"/>
        </w:rPr>
      </w:pPr>
      <w:r w:rsidRPr="00D453C2">
        <w:rPr>
          <w:b/>
          <w:lang w:val="es-PE"/>
        </w:rPr>
        <w:t>Pronunciamiento</w:t>
      </w:r>
    </w:p>
    <w:p w:rsidR="0091627F" w:rsidRPr="00D453C2" w:rsidRDefault="0091627F" w:rsidP="0091627F">
      <w:pPr>
        <w:widowControl w:val="0"/>
        <w:jc w:val="both"/>
        <w:rPr>
          <w:lang w:val="es-PE"/>
        </w:rPr>
      </w:pPr>
    </w:p>
    <w:p w:rsidR="0091627F" w:rsidRPr="00D453C2" w:rsidRDefault="0091627F" w:rsidP="0091627F">
      <w:pPr>
        <w:widowControl w:val="0"/>
        <w:jc w:val="both"/>
        <w:rPr>
          <w:color w:val="000000"/>
          <w:lang w:eastAsia="es-ES"/>
        </w:rPr>
      </w:pPr>
      <w:r w:rsidRPr="00D453C2">
        <w:rPr>
          <w:color w:val="000000"/>
          <w:lang w:val="es-PE" w:eastAsia="es-ES"/>
        </w:rPr>
        <w:t xml:space="preserve">De la revisión del Capítulo IV relacionado a los "Factores de Evaluación" </w:t>
      </w:r>
      <w:r w:rsidRPr="00D453C2">
        <w:rPr>
          <w:color w:val="000000"/>
          <w:lang w:eastAsia="es-ES"/>
        </w:rPr>
        <w:t>se advierte lo siguiente:</w:t>
      </w:r>
    </w:p>
    <w:p w:rsidR="0091627F" w:rsidRPr="00D453C2" w:rsidRDefault="0091627F" w:rsidP="0091627F">
      <w:pPr>
        <w:widowControl w:val="0"/>
        <w:jc w:val="both"/>
        <w:rPr>
          <w:color w:val="000000"/>
          <w:lang w:eastAsia="es-ES"/>
        </w:rPr>
      </w:pPr>
    </w:p>
    <w:p w:rsidR="0091627F" w:rsidRPr="00D453C2" w:rsidRDefault="0091627F" w:rsidP="0091627F">
      <w:pPr>
        <w:ind w:left="709"/>
        <w:jc w:val="both"/>
      </w:pPr>
      <w:r w:rsidRPr="00D453C2">
        <w:rPr>
          <w:noProof/>
          <w:lang w:val="es-PE" w:eastAsia="es-PE"/>
        </w:rPr>
        <w:drawing>
          <wp:inline distT="0" distB="0" distL="0" distR="0">
            <wp:extent cx="4783538" cy="2623931"/>
            <wp:effectExtent l="19050" t="0" r="0"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784668" cy="2624551"/>
                    </a:xfrm>
                    <a:prstGeom prst="rect">
                      <a:avLst/>
                    </a:prstGeom>
                    <a:noFill/>
                    <a:ln w="9525">
                      <a:noFill/>
                      <a:miter lim="800000"/>
                      <a:headEnd/>
                      <a:tailEnd/>
                    </a:ln>
                  </pic:spPr>
                </pic:pic>
              </a:graphicData>
            </a:graphic>
          </wp:inline>
        </w:drawing>
      </w:r>
    </w:p>
    <w:p w:rsidR="000C1A3C" w:rsidRDefault="000C1A3C" w:rsidP="0091627F">
      <w:pPr>
        <w:jc w:val="both"/>
      </w:pPr>
    </w:p>
    <w:p w:rsidR="0091627F" w:rsidRPr="00D453C2" w:rsidRDefault="0091627F" w:rsidP="0091627F">
      <w:pPr>
        <w:jc w:val="both"/>
      </w:pPr>
      <w:r w:rsidRPr="00D453C2">
        <w:t xml:space="preserve">De la revisión del pliego absolutorio de observaciones, con relación a la Observación N° </w:t>
      </w:r>
      <w:r w:rsidRPr="00D453C2">
        <w:rPr>
          <w:bCs/>
          <w:snapToGrid w:val="0"/>
          <w:lang w:eastAsia="es-ES"/>
        </w:rPr>
        <w:t xml:space="preserve">11, </w:t>
      </w:r>
      <w:r w:rsidRPr="00D453C2">
        <w:t>se aprecia que el Comité Especial considerando los argumentos expuestos por los mencionados participantes, señaló lo siguiente:</w:t>
      </w:r>
    </w:p>
    <w:p w:rsidR="0091627F" w:rsidRPr="00D453C2" w:rsidRDefault="0091627F" w:rsidP="0091627F">
      <w:pPr>
        <w:widowControl w:val="0"/>
        <w:jc w:val="both"/>
        <w:rPr>
          <w:bCs/>
          <w:snapToGrid w:val="0"/>
          <w:lang w:eastAsia="es-ES"/>
        </w:rPr>
      </w:pPr>
    </w:p>
    <w:p w:rsidR="0091627F" w:rsidRPr="00D453C2" w:rsidRDefault="0091627F" w:rsidP="0091627F">
      <w:pPr>
        <w:pStyle w:val="Prrafodelista"/>
        <w:ind w:left="426"/>
        <w:jc w:val="both"/>
        <w:rPr>
          <w:i/>
          <w:iCs/>
          <w:color w:val="000000"/>
          <w:sz w:val="24"/>
          <w:szCs w:val="24"/>
        </w:rPr>
      </w:pPr>
      <w:r w:rsidRPr="00D453C2">
        <w:rPr>
          <w:i/>
          <w:iCs/>
          <w:color w:val="000000"/>
          <w:sz w:val="24"/>
          <w:szCs w:val="24"/>
        </w:rPr>
        <w:t xml:space="preserve">"La </w:t>
      </w:r>
      <w:r w:rsidRPr="00D453C2">
        <w:rPr>
          <w:bCs/>
          <w:i/>
          <w:iCs/>
          <w:color w:val="000000"/>
          <w:sz w:val="24"/>
          <w:szCs w:val="24"/>
        </w:rPr>
        <w:t>evaluación</w:t>
      </w:r>
      <w:r w:rsidRPr="00D453C2">
        <w:rPr>
          <w:i/>
          <w:iCs/>
          <w:color w:val="000000"/>
          <w:sz w:val="24"/>
          <w:szCs w:val="24"/>
        </w:rPr>
        <w:t xml:space="preserve"> de las máquinas de hemodiálisis se está considerando la vida útil del mismo, hasta un máximo de 7 años y/o 30,000 horas, según indica los Términos de Referencia en el Anexo Nº 8".</w:t>
      </w:r>
    </w:p>
    <w:p w:rsidR="0091627F" w:rsidRPr="00D453C2" w:rsidRDefault="0091627F" w:rsidP="0091627F">
      <w:pPr>
        <w:widowControl w:val="0"/>
        <w:jc w:val="both"/>
        <w:rPr>
          <w:bCs/>
          <w:snapToGrid w:val="0"/>
          <w:lang w:eastAsia="es-ES"/>
        </w:rPr>
      </w:pPr>
    </w:p>
    <w:p w:rsidR="0091627F" w:rsidRPr="00D453C2" w:rsidRDefault="0091627F" w:rsidP="0091627F">
      <w:pPr>
        <w:tabs>
          <w:tab w:val="left" w:pos="0"/>
        </w:tabs>
        <w:overflowPunct w:val="0"/>
        <w:autoSpaceDE w:val="0"/>
        <w:autoSpaceDN w:val="0"/>
        <w:adjustRightInd w:val="0"/>
        <w:jc w:val="both"/>
        <w:textAlignment w:val="baseline"/>
      </w:pPr>
      <w:r w:rsidRPr="00D453C2">
        <w:t xml:space="preserve">Al respecto, de conformidad con el artículo 43° del Reglamento, </w:t>
      </w:r>
      <w:r w:rsidRPr="00D453C2">
        <w:rPr>
          <w:u w:val="single"/>
        </w:rPr>
        <w:t xml:space="preserve">resulta de competencia del Comité Especial la determinación de los factores de evaluación, </w:t>
      </w:r>
      <w:r w:rsidRPr="00D453C2">
        <w:rPr>
          <w:bCs/>
          <w:u w:val="single"/>
        </w:rPr>
        <w:t>la fijación de los puntajes que se le asignará a cada uno de ellos, así como los criterios para su asignación</w:t>
      </w:r>
      <w:r w:rsidRPr="00D453C2">
        <w:rPr>
          <w:bCs/>
        </w:rPr>
        <w:t>,</w:t>
      </w:r>
      <w:r w:rsidRPr="00D453C2">
        <w:t xml:space="preserve"> los cuales deberán ser objetivos y congruentes con el objeto de la convocatoria, sujetándose a criterios de razonabilidad y proporcionalidad.</w:t>
      </w:r>
    </w:p>
    <w:p w:rsidR="0091627F" w:rsidRPr="00D453C2" w:rsidRDefault="0091627F" w:rsidP="0091627F">
      <w:pPr>
        <w:tabs>
          <w:tab w:val="left" w:pos="0"/>
        </w:tabs>
        <w:overflowPunct w:val="0"/>
        <w:autoSpaceDE w:val="0"/>
        <w:autoSpaceDN w:val="0"/>
        <w:adjustRightInd w:val="0"/>
        <w:jc w:val="both"/>
        <w:textAlignment w:val="baseline"/>
      </w:pPr>
    </w:p>
    <w:p w:rsidR="0091627F" w:rsidRDefault="0029697D" w:rsidP="0091627F">
      <w:pPr>
        <w:widowControl w:val="0"/>
        <w:jc w:val="both"/>
      </w:pPr>
      <w:r>
        <w:t>En ese sentido</w:t>
      </w:r>
      <w:r w:rsidR="0091627F" w:rsidRPr="006E3376">
        <w:t xml:space="preserve">, considerando que es responsabilidad del Comité Especial la determinación de los factores de evaluación, y </w:t>
      </w:r>
      <w:r w:rsidR="00446F86">
        <w:t xml:space="preserve">que </w:t>
      </w:r>
      <w:r w:rsidR="0091627F" w:rsidRPr="006E3376">
        <w:t xml:space="preserve">el participante solicita que se reformule el factor de evaluación cuestionando según su interés particular, este Organismo Supervisor decide </w:t>
      </w:r>
      <w:r w:rsidR="0091627F" w:rsidRPr="006E3376">
        <w:rPr>
          <w:b/>
        </w:rPr>
        <w:t>NO ACOGER</w:t>
      </w:r>
      <w:r w:rsidR="0091627F" w:rsidRPr="006E3376">
        <w:t xml:space="preserve"> la presente observación.</w:t>
      </w:r>
    </w:p>
    <w:p w:rsidR="00446F86" w:rsidRDefault="00446F86" w:rsidP="0091627F">
      <w:pPr>
        <w:widowControl w:val="0"/>
        <w:jc w:val="both"/>
      </w:pPr>
    </w:p>
    <w:p w:rsidR="00446F86" w:rsidRDefault="00446F86" w:rsidP="00446F86">
      <w:pPr>
        <w:widowControl w:val="0"/>
        <w:jc w:val="both"/>
        <w:rPr>
          <w:bCs/>
          <w:color w:val="333333"/>
        </w:rPr>
      </w:pPr>
      <w:r>
        <w:t>Sin perjuicio de ello, considerando que se encuentra asignando el puntaje es de veinticinco  (25) puntos, lo cual podría resultar determinante al momento de la calificación;</w:t>
      </w:r>
      <w:r w:rsidRPr="00D453C2">
        <w:t>, con ocasión de la integración de las Bases</w:t>
      </w:r>
      <w:r w:rsidRPr="00D453C2">
        <w:rPr>
          <w:bCs/>
          <w:color w:val="333333"/>
        </w:rPr>
        <w:t xml:space="preserve">, </w:t>
      </w:r>
      <w:r>
        <w:rPr>
          <w:bCs/>
          <w:color w:val="333333"/>
        </w:rPr>
        <w:t xml:space="preserve">deberá reducir el puntaje total del Factor de </w:t>
      </w:r>
      <w:r>
        <w:rPr>
          <w:bCs/>
          <w:color w:val="333333"/>
        </w:rPr>
        <w:lastRenderedPageBreak/>
        <w:t>Evaluación "Equipamiento" a no mayor de 10 puntos, y redistribuir su puntaje los Factores "Experiencia del Postor" y "Cumplimiento de la Prestación del Servicio"</w:t>
      </w:r>
      <w:r w:rsidR="00381530">
        <w:rPr>
          <w:bCs/>
          <w:color w:val="333333"/>
        </w:rPr>
        <w:t xml:space="preserve"> considerando el Artículo 71 del Reglamento</w:t>
      </w:r>
      <w:r>
        <w:rPr>
          <w:bCs/>
          <w:color w:val="333333"/>
        </w:rPr>
        <w:t>.</w:t>
      </w:r>
    </w:p>
    <w:p w:rsidR="000C1A3C" w:rsidRPr="00D453C2" w:rsidRDefault="000C1A3C" w:rsidP="003D1A91">
      <w:pPr>
        <w:widowControl w:val="0"/>
        <w:jc w:val="both"/>
      </w:pPr>
    </w:p>
    <w:p w:rsidR="00D453C2" w:rsidRPr="004E6289" w:rsidRDefault="00D453C2" w:rsidP="00D453C2">
      <w:pPr>
        <w:widowControl w:val="0"/>
        <w:numPr>
          <w:ilvl w:val="0"/>
          <w:numId w:val="11"/>
        </w:numPr>
        <w:tabs>
          <w:tab w:val="clear" w:pos="360"/>
        </w:tabs>
        <w:ind w:left="426" w:hanging="426"/>
        <w:jc w:val="both"/>
        <w:rPr>
          <w:b/>
        </w:rPr>
      </w:pPr>
      <w:r w:rsidRPr="004E6289">
        <w:rPr>
          <w:b/>
        </w:rPr>
        <w:t xml:space="preserve">ASPECTOS SUPERVISADOS DE OFICIO </w:t>
      </w:r>
    </w:p>
    <w:p w:rsidR="00D453C2" w:rsidRDefault="00D453C2" w:rsidP="00D453C2">
      <w:pPr>
        <w:pStyle w:val="Textoindependiente2"/>
        <w:spacing w:after="0" w:line="240" w:lineRule="auto"/>
        <w:jc w:val="both"/>
        <w:rPr>
          <w:color w:val="000000"/>
          <w:lang w:eastAsia="es-PE"/>
        </w:rPr>
      </w:pPr>
    </w:p>
    <w:p w:rsidR="00D453C2" w:rsidRDefault="00D453C2" w:rsidP="00D453C2">
      <w:pPr>
        <w:pStyle w:val="Textoindependiente2"/>
        <w:spacing w:after="0" w:line="240" w:lineRule="auto"/>
        <w:jc w:val="both"/>
        <w:rPr>
          <w:color w:val="000000"/>
          <w:lang w:eastAsia="es-PE"/>
        </w:rPr>
      </w:pPr>
      <w:r w:rsidRPr="0049268B">
        <w:rPr>
          <w:color w:val="000000"/>
          <w:lang w:eastAsia="es-PE"/>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los siguientes aspectos:</w:t>
      </w:r>
    </w:p>
    <w:p w:rsidR="009D28E4" w:rsidRPr="00D453C2" w:rsidRDefault="009D28E4" w:rsidP="00D453C2">
      <w:pPr>
        <w:pStyle w:val="Textoindependiente2"/>
        <w:widowControl w:val="0"/>
        <w:spacing w:after="0" w:line="240" w:lineRule="auto"/>
        <w:ind w:left="567" w:hanging="567"/>
        <w:jc w:val="both"/>
      </w:pPr>
    </w:p>
    <w:p w:rsidR="001F259C" w:rsidRPr="00D453C2" w:rsidRDefault="001F259C" w:rsidP="001F259C">
      <w:pPr>
        <w:widowControl w:val="0"/>
        <w:numPr>
          <w:ilvl w:val="1"/>
          <w:numId w:val="4"/>
        </w:numPr>
        <w:jc w:val="both"/>
        <w:rPr>
          <w:rFonts w:eastAsia="MS Mincho"/>
          <w:b/>
          <w:color w:val="000000"/>
          <w:lang w:eastAsia="es-ES"/>
        </w:rPr>
      </w:pPr>
      <w:r w:rsidRPr="00D453C2">
        <w:rPr>
          <w:b/>
        </w:rPr>
        <w:t>Resumen Ejecutivo</w:t>
      </w:r>
    </w:p>
    <w:p w:rsidR="001F259C" w:rsidRPr="00D453C2" w:rsidRDefault="001F259C" w:rsidP="001F259C">
      <w:pPr>
        <w:pStyle w:val="Prrafodelista"/>
        <w:widowControl w:val="0"/>
        <w:ind w:left="360"/>
        <w:jc w:val="both"/>
        <w:rPr>
          <w:b/>
          <w:sz w:val="24"/>
          <w:szCs w:val="24"/>
        </w:rPr>
      </w:pPr>
    </w:p>
    <w:p w:rsidR="001F259C" w:rsidRPr="00D453C2" w:rsidRDefault="001F259C" w:rsidP="00D453C2">
      <w:pPr>
        <w:pStyle w:val="Prrafodelista"/>
        <w:tabs>
          <w:tab w:val="left" w:pos="284"/>
        </w:tabs>
        <w:autoSpaceDE w:val="0"/>
        <w:autoSpaceDN w:val="0"/>
        <w:adjustRightInd w:val="0"/>
        <w:ind w:left="360"/>
        <w:jc w:val="both"/>
        <w:rPr>
          <w:sz w:val="24"/>
          <w:szCs w:val="24"/>
        </w:rPr>
      </w:pPr>
      <w:r w:rsidRPr="00D453C2">
        <w:rPr>
          <w:sz w:val="24"/>
          <w:szCs w:val="24"/>
        </w:rPr>
        <w:t xml:space="preserve">De la </w:t>
      </w:r>
      <w:r w:rsidRPr="00D453C2">
        <w:rPr>
          <w:rFonts w:eastAsiaTheme="minorHAnsi"/>
          <w:bCs/>
          <w:color w:val="000000"/>
          <w:sz w:val="24"/>
          <w:szCs w:val="24"/>
          <w:lang w:eastAsia="en-US"/>
        </w:rPr>
        <w:t>revisión</w:t>
      </w:r>
      <w:r w:rsidRPr="00D453C2">
        <w:rPr>
          <w:sz w:val="24"/>
          <w:szCs w:val="24"/>
        </w:rPr>
        <w:t xml:space="preserve"> del contenido del “Formato del Resumen Ejecutivo”,  se advierte que éste no se ajusta estrictamente con las disposiciones previstas en las Directiva N° 004-2013-OSCE/CD, dado que en su contenido se ha omitido información relevante del Formato de Cuadro Comparativo, como la i) información adicional de la fuente y </w:t>
      </w:r>
      <w:proofErr w:type="spellStart"/>
      <w:r w:rsidRPr="00D453C2">
        <w:rPr>
          <w:sz w:val="24"/>
          <w:szCs w:val="24"/>
        </w:rPr>
        <w:t>ii</w:t>
      </w:r>
      <w:proofErr w:type="spellEnd"/>
      <w:r w:rsidRPr="00D453C2">
        <w:rPr>
          <w:sz w:val="24"/>
          <w:szCs w:val="24"/>
        </w:rPr>
        <w:t>) acciones administrativas realizadas.</w:t>
      </w:r>
    </w:p>
    <w:p w:rsidR="001F259C" w:rsidRPr="00D453C2" w:rsidRDefault="001F259C" w:rsidP="001F259C">
      <w:pPr>
        <w:widowControl w:val="0"/>
        <w:jc w:val="both"/>
      </w:pPr>
      <w:r w:rsidRPr="00D453C2">
        <w:t xml:space="preserve"> </w:t>
      </w:r>
    </w:p>
    <w:p w:rsidR="001F259C" w:rsidRPr="00D453C2" w:rsidRDefault="001F259C" w:rsidP="00D453C2">
      <w:pPr>
        <w:pStyle w:val="Prrafodelista"/>
        <w:tabs>
          <w:tab w:val="left" w:pos="284"/>
        </w:tabs>
        <w:autoSpaceDE w:val="0"/>
        <w:autoSpaceDN w:val="0"/>
        <w:adjustRightInd w:val="0"/>
        <w:ind w:left="360"/>
        <w:jc w:val="both"/>
        <w:rPr>
          <w:sz w:val="24"/>
          <w:szCs w:val="24"/>
        </w:rPr>
      </w:pPr>
      <w:r w:rsidRPr="00D453C2">
        <w:rPr>
          <w:sz w:val="24"/>
          <w:szCs w:val="24"/>
        </w:rPr>
        <w:t xml:space="preserve">Por lo tanto, </w:t>
      </w:r>
      <w:r w:rsidRPr="00D453C2">
        <w:rPr>
          <w:rFonts w:eastAsiaTheme="minorHAnsi"/>
          <w:bCs/>
          <w:color w:val="000000"/>
          <w:sz w:val="24"/>
          <w:szCs w:val="24"/>
          <w:lang w:eastAsia="en-US"/>
        </w:rPr>
        <w:t>junto</w:t>
      </w:r>
      <w:r w:rsidRPr="00D453C2">
        <w:rPr>
          <w:sz w:val="24"/>
          <w:szCs w:val="24"/>
        </w:rPr>
        <w:t xml:space="preserve"> con las Bases Integradas, </w:t>
      </w:r>
      <w:r w:rsidRPr="00D453C2">
        <w:rPr>
          <w:b/>
          <w:sz w:val="24"/>
          <w:szCs w:val="24"/>
          <w:u w:val="single"/>
        </w:rPr>
        <w:t>deberá publicarse</w:t>
      </w:r>
      <w:r w:rsidRPr="00D453C2">
        <w:rPr>
          <w:sz w:val="24"/>
          <w:szCs w:val="24"/>
        </w:rPr>
        <w:t xml:space="preserve"> nuevamente el "Formato de Cuadro Comparativo” el cual deberá corresponder al publicado en el Portal del OSCE, debiendo considerar lo señalado en la referida Directiva, así como lo indicado en la ficha “Instrucciones para el llenado del Formato”</w:t>
      </w:r>
      <w:r w:rsidRPr="00D453C2">
        <w:rPr>
          <w:rStyle w:val="Refdenotaalpie"/>
          <w:sz w:val="24"/>
          <w:szCs w:val="24"/>
        </w:rPr>
        <w:footnoteReference w:id="2"/>
      </w:r>
      <w:r w:rsidRPr="00D453C2">
        <w:rPr>
          <w:sz w:val="24"/>
          <w:szCs w:val="24"/>
        </w:rPr>
        <w:t>.</w:t>
      </w:r>
    </w:p>
    <w:p w:rsidR="001F259C" w:rsidRPr="00D453C2" w:rsidRDefault="001F259C" w:rsidP="001F259C">
      <w:pPr>
        <w:widowControl w:val="0"/>
        <w:jc w:val="both"/>
      </w:pPr>
    </w:p>
    <w:p w:rsidR="001F259C" w:rsidRPr="00D453C2" w:rsidRDefault="001F259C" w:rsidP="00D453C2">
      <w:pPr>
        <w:pStyle w:val="Prrafodelista"/>
        <w:tabs>
          <w:tab w:val="left" w:pos="284"/>
        </w:tabs>
        <w:autoSpaceDE w:val="0"/>
        <w:autoSpaceDN w:val="0"/>
        <w:adjustRightInd w:val="0"/>
        <w:ind w:left="360"/>
        <w:jc w:val="both"/>
        <w:rPr>
          <w:sz w:val="24"/>
          <w:szCs w:val="24"/>
        </w:rPr>
      </w:pPr>
      <w:r w:rsidRPr="00D453C2">
        <w:rPr>
          <w:sz w:val="24"/>
          <w:szCs w:val="24"/>
        </w:rPr>
        <w:t xml:space="preserve">De igual </w:t>
      </w:r>
      <w:r w:rsidRPr="00D453C2">
        <w:rPr>
          <w:rFonts w:eastAsiaTheme="minorHAnsi"/>
          <w:bCs/>
          <w:color w:val="000000"/>
          <w:sz w:val="24"/>
          <w:szCs w:val="24"/>
          <w:lang w:eastAsia="en-US"/>
        </w:rPr>
        <w:t>manera</w:t>
      </w:r>
      <w:r w:rsidRPr="00D453C2">
        <w:rPr>
          <w:sz w:val="24"/>
          <w:szCs w:val="24"/>
        </w:rPr>
        <w:t>, cabe precisar que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DB6DBA" w:rsidRPr="00D453C2" w:rsidRDefault="00DB6DBA" w:rsidP="001F259C">
      <w:pPr>
        <w:widowControl w:val="0"/>
        <w:jc w:val="both"/>
      </w:pPr>
    </w:p>
    <w:p w:rsidR="001F259C" w:rsidRPr="00D453C2" w:rsidRDefault="00DB6DBA" w:rsidP="00DB6DBA">
      <w:pPr>
        <w:widowControl w:val="0"/>
        <w:numPr>
          <w:ilvl w:val="1"/>
          <w:numId w:val="4"/>
        </w:numPr>
        <w:jc w:val="both"/>
        <w:rPr>
          <w:rFonts w:eastAsia="MS Mincho"/>
          <w:b/>
          <w:color w:val="000000"/>
          <w:lang w:eastAsia="es-ES"/>
        </w:rPr>
      </w:pPr>
      <w:r w:rsidRPr="00D453C2">
        <w:rPr>
          <w:rFonts w:eastAsia="MS Mincho"/>
          <w:b/>
          <w:color w:val="000000"/>
          <w:lang w:eastAsia="es-ES"/>
        </w:rPr>
        <w:t>Factor de Evaluación Cumplimiento de la prestación</w:t>
      </w:r>
    </w:p>
    <w:p w:rsidR="00DB6DBA" w:rsidRPr="00D453C2" w:rsidRDefault="00DB6DBA" w:rsidP="00DB6DBA">
      <w:pPr>
        <w:widowControl w:val="0"/>
        <w:ind w:left="540"/>
        <w:jc w:val="both"/>
        <w:rPr>
          <w:rFonts w:eastAsia="MS Mincho"/>
          <w:b/>
          <w:color w:val="000000"/>
          <w:lang w:eastAsia="es-ES"/>
        </w:rPr>
      </w:pPr>
    </w:p>
    <w:p w:rsidR="00DB6DBA" w:rsidRPr="00D453C2" w:rsidRDefault="00DB6DBA" w:rsidP="00D453C2">
      <w:pPr>
        <w:pStyle w:val="Prrafodelista"/>
        <w:tabs>
          <w:tab w:val="left" w:pos="284"/>
        </w:tabs>
        <w:autoSpaceDE w:val="0"/>
        <w:autoSpaceDN w:val="0"/>
        <w:adjustRightInd w:val="0"/>
        <w:ind w:left="360"/>
        <w:jc w:val="both"/>
        <w:rPr>
          <w:color w:val="000000"/>
          <w:sz w:val="24"/>
          <w:szCs w:val="24"/>
          <w:lang w:eastAsia="es-ES"/>
        </w:rPr>
      </w:pPr>
      <w:r w:rsidRPr="00D453C2">
        <w:rPr>
          <w:sz w:val="24"/>
          <w:szCs w:val="24"/>
        </w:rPr>
        <w:t xml:space="preserve">De la </w:t>
      </w:r>
      <w:r w:rsidRPr="00D453C2">
        <w:rPr>
          <w:rFonts w:eastAsiaTheme="minorHAnsi"/>
          <w:color w:val="000000"/>
          <w:sz w:val="24"/>
          <w:szCs w:val="24"/>
          <w:lang w:eastAsia="en-US"/>
        </w:rPr>
        <w:t>revisión</w:t>
      </w:r>
      <w:r w:rsidRPr="00D453C2">
        <w:rPr>
          <w:sz w:val="24"/>
          <w:szCs w:val="24"/>
        </w:rPr>
        <w:t xml:space="preserve"> del factor de evaluación "Evaluación del cumplimiento de</w:t>
      </w:r>
      <w:r w:rsidR="000C1A3C">
        <w:rPr>
          <w:sz w:val="24"/>
          <w:szCs w:val="24"/>
        </w:rPr>
        <w:t>l Servicio</w:t>
      </w:r>
      <w:r w:rsidRPr="00D453C2">
        <w:rPr>
          <w:sz w:val="24"/>
          <w:szCs w:val="24"/>
        </w:rPr>
        <w:t xml:space="preserve">" se aprecia que se ha consignado que se </w:t>
      </w:r>
      <w:r w:rsidRPr="00D453C2">
        <w:rPr>
          <w:color w:val="000000"/>
          <w:sz w:val="24"/>
          <w:szCs w:val="24"/>
          <w:lang w:eastAsia="es-ES"/>
        </w:rPr>
        <w:t xml:space="preserve">evaluará en función al número de certificados o constancias que acrediten que el servicio se efectuó sin que se haya incurrido en </w:t>
      </w:r>
      <w:r w:rsidRPr="00D453C2">
        <w:rPr>
          <w:color w:val="000000"/>
          <w:sz w:val="24"/>
          <w:szCs w:val="24"/>
          <w:u w:val="single"/>
          <w:lang w:eastAsia="es-ES"/>
        </w:rPr>
        <w:t>penalidades reiterativas</w:t>
      </w:r>
      <w:r w:rsidRPr="00D453C2">
        <w:rPr>
          <w:color w:val="000000"/>
          <w:sz w:val="24"/>
          <w:szCs w:val="24"/>
          <w:lang w:eastAsia="es-ES"/>
        </w:rPr>
        <w:t xml:space="preserve">, no pudiendo ser mayor de diez (10) servicios. </w:t>
      </w:r>
    </w:p>
    <w:p w:rsidR="00DB6DBA" w:rsidRPr="00D453C2" w:rsidRDefault="00DB6DBA" w:rsidP="00DB6DBA">
      <w:pPr>
        <w:widowControl w:val="0"/>
        <w:jc w:val="both"/>
        <w:rPr>
          <w:rFonts w:eastAsia="MS Mincho"/>
          <w:color w:val="000000"/>
          <w:lang w:eastAsia="es-ES"/>
        </w:rPr>
      </w:pPr>
    </w:p>
    <w:p w:rsidR="00DB6DBA" w:rsidRPr="00D453C2" w:rsidRDefault="00DB6DBA" w:rsidP="00D453C2">
      <w:pPr>
        <w:pStyle w:val="Prrafodelista"/>
        <w:tabs>
          <w:tab w:val="left" w:pos="284"/>
        </w:tabs>
        <w:autoSpaceDE w:val="0"/>
        <w:autoSpaceDN w:val="0"/>
        <w:adjustRightInd w:val="0"/>
        <w:ind w:left="360"/>
        <w:jc w:val="both"/>
        <w:rPr>
          <w:color w:val="000000"/>
          <w:sz w:val="24"/>
          <w:szCs w:val="24"/>
          <w:lang w:eastAsia="es-ES"/>
        </w:rPr>
      </w:pPr>
      <w:r w:rsidRPr="00D453C2">
        <w:rPr>
          <w:color w:val="000000"/>
          <w:sz w:val="24"/>
          <w:szCs w:val="24"/>
          <w:lang w:eastAsia="es-ES"/>
        </w:rPr>
        <w:lastRenderedPageBreak/>
        <w:t xml:space="preserve">Al </w:t>
      </w:r>
      <w:r w:rsidRPr="00D453C2">
        <w:rPr>
          <w:rFonts w:eastAsiaTheme="minorHAnsi"/>
          <w:color w:val="000000"/>
          <w:sz w:val="24"/>
          <w:szCs w:val="24"/>
          <w:lang w:eastAsia="en-US"/>
        </w:rPr>
        <w:t>respecto</w:t>
      </w:r>
      <w:r w:rsidRPr="00D453C2">
        <w:rPr>
          <w:color w:val="000000"/>
          <w:sz w:val="24"/>
          <w:szCs w:val="24"/>
          <w:lang w:eastAsia="es-ES"/>
        </w:rPr>
        <w:t xml:space="preserve">, considerando que el consignar penalidades reiterativas, resulta contrario a lo establecido en el artículo 45° del Reglamento; con ocasión de la integración de Bases, </w:t>
      </w:r>
      <w:r w:rsidRPr="00D453C2">
        <w:rPr>
          <w:b/>
          <w:color w:val="000000"/>
          <w:sz w:val="24"/>
          <w:szCs w:val="24"/>
          <w:u w:val="single"/>
          <w:lang w:eastAsia="es-ES"/>
        </w:rPr>
        <w:t>deberá suprimir</w:t>
      </w:r>
      <w:r w:rsidRPr="00D453C2">
        <w:rPr>
          <w:color w:val="000000"/>
          <w:sz w:val="24"/>
          <w:szCs w:val="24"/>
          <w:lang w:eastAsia="es-ES"/>
        </w:rPr>
        <w:t xml:space="preserve"> la palabra "</w:t>
      </w:r>
      <w:r w:rsidR="000C1A3C">
        <w:rPr>
          <w:color w:val="000000"/>
          <w:sz w:val="24"/>
          <w:szCs w:val="24"/>
          <w:lang w:eastAsia="es-ES"/>
        </w:rPr>
        <w:t>reiterativas</w:t>
      </w:r>
      <w:r w:rsidRPr="00D453C2">
        <w:rPr>
          <w:color w:val="000000"/>
          <w:sz w:val="24"/>
          <w:szCs w:val="24"/>
          <w:lang w:eastAsia="es-ES"/>
        </w:rPr>
        <w:t>".</w:t>
      </w:r>
      <w:r w:rsidR="00D453C2" w:rsidRPr="00D453C2">
        <w:rPr>
          <w:color w:val="000000"/>
          <w:sz w:val="24"/>
          <w:szCs w:val="24"/>
          <w:lang w:eastAsia="es-ES"/>
        </w:rPr>
        <w:t xml:space="preserve"> </w:t>
      </w:r>
      <w:r w:rsidRPr="00D453C2">
        <w:rPr>
          <w:color w:val="000000"/>
          <w:sz w:val="24"/>
          <w:szCs w:val="24"/>
          <w:lang w:eastAsia="es-ES"/>
        </w:rPr>
        <w:t xml:space="preserve"> </w:t>
      </w:r>
    </w:p>
    <w:p w:rsidR="00C94CED" w:rsidRDefault="00C94CED" w:rsidP="00967CF9">
      <w:pPr>
        <w:widowControl w:val="0"/>
        <w:ind w:left="720"/>
        <w:jc w:val="both"/>
      </w:pPr>
    </w:p>
    <w:p w:rsidR="000C0507" w:rsidRPr="00D453C2" w:rsidRDefault="000C0507" w:rsidP="00EB3CD1">
      <w:pPr>
        <w:pStyle w:val="Textoindependiente2"/>
        <w:numPr>
          <w:ilvl w:val="0"/>
          <w:numId w:val="3"/>
        </w:numPr>
        <w:spacing w:after="0" w:line="240" w:lineRule="auto"/>
        <w:ind w:left="567" w:hanging="567"/>
        <w:jc w:val="both"/>
        <w:rPr>
          <w:b/>
        </w:rPr>
      </w:pPr>
      <w:r w:rsidRPr="00D453C2">
        <w:rPr>
          <w:b/>
          <w:lang w:val="es-PE"/>
        </w:rPr>
        <w:t>CONCLUSIONES</w:t>
      </w:r>
    </w:p>
    <w:p w:rsidR="000C0507" w:rsidRPr="00D453C2" w:rsidRDefault="000C0507" w:rsidP="00E453FC">
      <w:pPr>
        <w:widowControl w:val="0"/>
        <w:jc w:val="both"/>
        <w:rPr>
          <w:snapToGrid w:val="0"/>
          <w:color w:val="FF0000"/>
        </w:rPr>
      </w:pPr>
    </w:p>
    <w:p w:rsidR="000C0507" w:rsidRPr="00D453C2" w:rsidRDefault="000C0507" w:rsidP="00EB3CD1">
      <w:pPr>
        <w:widowControl w:val="0"/>
        <w:numPr>
          <w:ilvl w:val="1"/>
          <w:numId w:val="2"/>
        </w:numPr>
        <w:ind w:left="567" w:hanging="567"/>
        <w:jc w:val="both"/>
      </w:pPr>
      <w:r w:rsidRPr="00D453C2">
        <w:rPr>
          <w:snapToGrid w:val="0"/>
        </w:rPr>
        <w:t xml:space="preserve">El </w:t>
      </w:r>
      <w:r w:rsidRPr="00D453C2">
        <w:rPr>
          <w:color w:val="000000"/>
          <w:lang w:val="es-ES" w:eastAsia="es-ES"/>
        </w:rPr>
        <w:t>Comité Especial deberá cumplir con lo dispuesto por este Organismo Supervisor al absolver las observaciones indicadas en el numeral 2 del presente Pronunciamiento.</w:t>
      </w:r>
    </w:p>
    <w:p w:rsidR="000C0507" w:rsidRPr="00D453C2" w:rsidRDefault="000C0507" w:rsidP="00E453FC">
      <w:pPr>
        <w:widowControl w:val="0"/>
        <w:jc w:val="both"/>
      </w:pPr>
    </w:p>
    <w:p w:rsidR="000C0507" w:rsidRPr="00D453C2" w:rsidRDefault="000C0507" w:rsidP="00EB3CD1">
      <w:pPr>
        <w:widowControl w:val="0"/>
        <w:numPr>
          <w:ilvl w:val="1"/>
          <w:numId w:val="2"/>
        </w:numPr>
        <w:ind w:left="567" w:hanging="567"/>
        <w:jc w:val="both"/>
      </w:pPr>
      <w:r w:rsidRPr="00D453C2">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0C0507" w:rsidRPr="00D453C2" w:rsidRDefault="000C0507" w:rsidP="00E453FC">
      <w:pPr>
        <w:widowControl w:val="0"/>
        <w:jc w:val="both"/>
      </w:pPr>
    </w:p>
    <w:p w:rsidR="000C0507" w:rsidRPr="00D453C2" w:rsidRDefault="000C0507" w:rsidP="00EB3CD1">
      <w:pPr>
        <w:widowControl w:val="0"/>
        <w:numPr>
          <w:ilvl w:val="1"/>
          <w:numId w:val="2"/>
        </w:numPr>
        <w:ind w:left="567" w:hanging="567"/>
        <w:jc w:val="both"/>
      </w:pPr>
      <w:r w:rsidRPr="00D453C2">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0C0507" w:rsidRPr="00D453C2" w:rsidRDefault="000C0507" w:rsidP="00E453FC">
      <w:pPr>
        <w:widowControl w:val="0"/>
        <w:jc w:val="both"/>
        <w:rPr>
          <w:iCs/>
          <w:color w:val="000000"/>
        </w:rPr>
      </w:pPr>
    </w:p>
    <w:p w:rsidR="002F6F53" w:rsidRPr="00D453C2" w:rsidRDefault="002F6F53" w:rsidP="00EB3CD1">
      <w:pPr>
        <w:widowControl w:val="0"/>
        <w:numPr>
          <w:ilvl w:val="1"/>
          <w:numId w:val="7"/>
        </w:numPr>
        <w:ind w:left="567" w:hanging="567"/>
        <w:jc w:val="both"/>
      </w:pPr>
      <w:r w:rsidRPr="00D453C2">
        <w:rPr>
          <w:color w:val="000000"/>
          <w:lang w:eastAsia="es-PE"/>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D453C2">
        <w:rPr>
          <w:rStyle w:val="Refdenotaalpie"/>
          <w:color w:val="000000"/>
          <w:lang w:eastAsia="es-PE"/>
        </w:rPr>
        <w:footnoteReference w:id="3"/>
      </w:r>
      <w:r w:rsidRPr="00D453C2">
        <w:rPr>
          <w:color w:val="000000"/>
          <w:lang w:eastAsia="es-PE"/>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SEACE</w:t>
      </w:r>
    </w:p>
    <w:p w:rsidR="000C0507" w:rsidRPr="00D453C2" w:rsidRDefault="000C0507" w:rsidP="00E453FC">
      <w:pPr>
        <w:pStyle w:val="Prrafodelista"/>
        <w:ind w:left="0"/>
        <w:jc w:val="both"/>
        <w:rPr>
          <w:sz w:val="24"/>
          <w:szCs w:val="24"/>
          <w:lang w:val="es-MX"/>
        </w:rPr>
      </w:pPr>
    </w:p>
    <w:p w:rsidR="000C0507" w:rsidRPr="00D453C2" w:rsidRDefault="000C0507" w:rsidP="00EB3CD1">
      <w:pPr>
        <w:widowControl w:val="0"/>
        <w:numPr>
          <w:ilvl w:val="1"/>
          <w:numId w:val="2"/>
        </w:numPr>
        <w:ind w:left="567" w:hanging="567"/>
        <w:jc w:val="both"/>
      </w:pPr>
      <w:r w:rsidRPr="00D453C2">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0C0507" w:rsidRPr="00D453C2" w:rsidRDefault="000C0507" w:rsidP="00E453FC">
      <w:pPr>
        <w:widowControl w:val="0"/>
        <w:ind w:left="567"/>
        <w:jc w:val="both"/>
      </w:pPr>
    </w:p>
    <w:p w:rsidR="000C0507" w:rsidRPr="00D453C2" w:rsidRDefault="000C0507" w:rsidP="00EB3CD1">
      <w:pPr>
        <w:widowControl w:val="0"/>
        <w:numPr>
          <w:ilvl w:val="1"/>
          <w:numId w:val="2"/>
        </w:numPr>
        <w:ind w:left="567" w:hanging="567"/>
        <w:jc w:val="both"/>
        <w:rPr>
          <w:iCs/>
          <w:color w:val="000000"/>
        </w:rPr>
      </w:pPr>
      <w:r w:rsidRPr="00D453C2">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C0507" w:rsidRPr="00D453C2" w:rsidRDefault="000C0507" w:rsidP="00E453FC">
      <w:pPr>
        <w:pStyle w:val="Prrafodelista"/>
        <w:ind w:left="0"/>
        <w:jc w:val="both"/>
        <w:rPr>
          <w:iCs/>
          <w:sz w:val="24"/>
          <w:szCs w:val="24"/>
        </w:rPr>
      </w:pPr>
    </w:p>
    <w:p w:rsidR="000C0507" w:rsidRPr="00D453C2" w:rsidRDefault="000C0507" w:rsidP="00EB3CD1">
      <w:pPr>
        <w:widowControl w:val="0"/>
        <w:numPr>
          <w:ilvl w:val="1"/>
          <w:numId w:val="2"/>
        </w:numPr>
        <w:ind w:left="567" w:hanging="567"/>
        <w:jc w:val="both"/>
        <w:rPr>
          <w:iCs/>
          <w:color w:val="000000"/>
        </w:rPr>
      </w:pPr>
      <w:r w:rsidRPr="00D453C2">
        <w:rPr>
          <w:iCs/>
          <w:color w:val="000000"/>
        </w:rPr>
        <w:t xml:space="preserve">En caso la Entidad continúe con el proceso sin sujetarse a lo dispuesto en el presente Pronunciamiento, tal actuación constituirá un elemento a tomar en cuenta para la no </w:t>
      </w:r>
      <w:r w:rsidRPr="00D453C2">
        <w:rPr>
          <w:iCs/>
          <w:color w:val="000000"/>
        </w:rPr>
        <w:lastRenderedPageBreak/>
        <w:t xml:space="preserve">emisión de </w:t>
      </w:r>
      <w:r w:rsidRPr="00D453C2">
        <w:rPr>
          <w:iCs/>
        </w:rPr>
        <w:t>las constancias necesarias para la suscripción del respectivo contrato;</w:t>
      </w:r>
      <w:r w:rsidRPr="00D453C2">
        <w:rPr>
          <w:iCs/>
          <w:color w:val="000000"/>
        </w:rPr>
        <w:t xml:space="preserve"> siendo que la dilación del proceso y los costos en los que podrían incurrir los postores y el ganador de la buena pro son de exclusiva responsabilidad de la Entidad.</w:t>
      </w:r>
    </w:p>
    <w:p w:rsidR="000C0507" w:rsidRPr="00D453C2" w:rsidRDefault="000C0507" w:rsidP="00E453FC">
      <w:pPr>
        <w:pStyle w:val="Prrafodelista"/>
        <w:widowControl w:val="0"/>
        <w:tabs>
          <w:tab w:val="left" w:pos="540"/>
        </w:tabs>
        <w:ind w:left="0"/>
        <w:jc w:val="both"/>
        <w:rPr>
          <w:b/>
          <w:sz w:val="24"/>
          <w:szCs w:val="24"/>
          <w:lang w:val="es-MX"/>
        </w:rPr>
      </w:pPr>
    </w:p>
    <w:p w:rsidR="000C0507" w:rsidRPr="00D453C2" w:rsidRDefault="004F7BF5" w:rsidP="00E453FC">
      <w:pPr>
        <w:widowControl w:val="0"/>
        <w:jc w:val="right"/>
      </w:pPr>
      <w:r w:rsidRPr="00D453C2">
        <w:t xml:space="preserve">            </w:t>
      </w:r>
      <w:r w:rsidR="005E2D0D" w:rsidRPr="00D453C2">
        <w:t xml:space="preserve">   </w:t>
      </w:r>
      <w:r w:rsidR="000C0507" w:rsidRPr="00D453C2">
        <w:t>Jesú</w:t>
      </w:r>
      <w:r w:rsidR="00901C11" w:rsidRPr="00D453C2">
        <w:t xml:space="preserve">s María, </w:t>
      </w:r>
      <w:r w:rsidR="002F6F53" w:rsidRPr="00D453C2">
        <w:t xml:space="preserve">12 </w:t>
      </w:r>
      <w:r w:rsidR="00901C11" w:rsidRPr="00D453C2">
        <w:t xml:space="preserve">de </w:t>
      </w:r>
      <w:r w:rsidR="002F6F53" w:rsidRPr="00D453C2">
        <w:t>febrero de 2015</w:t>
      </w:r>
    </w:p>
    <w:p w:rsidR="004A1649" w:rsidRPr="00D453C2" w:rsidRDefault="004A1649" w:rsidP="004A1649">
      <w:pPr>
        <w:keepNext/>
        <w:keepLines/>
        <w:widowControl w:val="0"/>
        <w:tabs>
          <w:tab w:val="left" w:pos="2660"/>
        </w:tabs>
        <w:jc w:val="center"/>
        <w:rPr>
          <w:b/>
          <w:color w:val="000000"/>
          <w:lang w:val="es-PE" w:eastAsia="es-PE"/>
        </w:rPr>
      </w:pPr>
    </w:p>
    <w:p w:rsidR="002F6F53" w:rsidRPr="00D453C2" w:rsidRDefault="002F6F53" w:rsidP="002F6F53">
      <w:pPr>
        <w:autoSpaceDE w:val="0"/>
        <w:autoSpaceDN w:val="0"/>
        <w:adjustRightInd w:val="0"/>
        <w:ind w:firstLine="567"/>
        <w:rPr>
          <w:iCs/>
        </w:rPr>
      </w:pPr>
      <w:r w:rsidRPr="00D453C2">
        <w:rPr>
          <w:iCs/>
        </w:rPr>
        <w:t xml:space="preserve">Elaborado: </w:t>
      </w:r>
      <w:r w:rsidRPr="00D453C2">
        <w:rPr>
          <w:iCs/>
        </w:rPr>
        <w:tab/>
      </w:r>
      <w:proofErr w:type="spellStart"/>
      <w:r w:rsidRPr="00D453C2">
        <w:rPr>
          <w:iCs/>
        </w:rPr>
        <w:t>Jaqueline</w:t>
      </w:r>
      <w:proofErr w:type="spellEnd"/>
      <w:r w:rsidRPr="00D453C2">
        <w:rPr>
          <w:iCs/>
        </w:rPr>
        <w:t xml:space="preserve"> </w:t>
      </w:r>
      <w:proofErr w:type="spellStart"/>
      <w:r w:rsidRPr="00D453C2">
        <w:rPr>
          <w:iCs/>
        </w:rPr>
        <w:t>Uscamayta</w:t>
      </w:r>
      <w:proofErr w:type="spellEnd"/>
      <w:r w:rsidRPr="00D453C2">
        <w:rPr>
          <w:iCs/>
        </w:rPr>
        <w:t xml:space="preserve"> </w:t>
      </w:r>
      <w:proofErr w:type="spellStart"/>
      <w:r w:rsidRPr="00D453C2">
        <w:rPr>
          <w:iCs/>
        </w:rPr>
        <w:t>Sotelo</w:t>
      </w:r>
      <w:proofErr w:type="spellEnd"/>
    </w:p>
    <w:p w:rsidR="002F6F53" w:rsidRPr="00D453C2" w:rsidRDefault="002F6F53" w:rsidP="002F6F53">
      <w:pPr>
        <w:autoSpaceDE w:val="0"/>
        <w:autoSpaceDN w:val="0"/>
        <w:adjustRightInd w:val="0"/>
        <w:ind w:firstLine="567"/>
        <w:rPr>
          <w:iCs/>
        </w:rPr>
      </w:pPr>
      <w:r w:rsidRPr="00D453C2">
        <w:rPr>
          <w:iCs/>
        </w:rPr>
        <w:t xml:space="preserve">Supervisado: </w:t>
      </w:r>
      <w:r w:rsidRPr="00D453C2">
        <w:rPr>
          <w:iCs/>
        </w:rPr>
        <w:tab/>
        <w:t>Luz Miguel Díaz</w:t>
      </w:r>
    </w:p>
    <w:p w:rsidR="002F6F53" w:rsidRPr="00D453C2" w:rsidRDefault="002F6F53" w:rsidP="002F6F53">
      <w:pPr>
        <w:autoSpaceDE w:val="0"/>
        <w:autoSpaceDN w:val="0"/>
        <w:adjustRightInd w:val="0"/>
        <w:ind w:firstLine="567"/>
        <w:rPr>
          <w:i/>
          <w:noProof/>
          <w:lang w:val="es-PE" w:eastAsia="es-PE"/>
        </w:rPr>
      </w:pPr>
      <w:r w:rsidRPr="00D453C2">
        <w:rPr>
          <w:iCs/>
        </w:rPr>
        <w:t xml:space="preserve">Validado:  </w:t>
      </w:r>
      <w:r w:rsidRPr="00D453C2">
        <w:rPr>
          <w:iCs/>
        </w:rPr>
        <w:tab/>
      </w:r>
      <w:r w:rsidRPr="00D453C2">
        <w:t xml:space="preserve">Pamela Hawkins </w:t>
      </w:r>
      <w:proofErr w:type="spellStart"/>
      <w:r w:rsidRPr="00D453C2">
        <w:t>Tacchino</w:t>
      </w:r>
      <w:proofErr w:type="spellEnd"/>
      <w:r w:rsidRPr="00D453C2">
        <w:rPr>
          <w:i/>
          <w:noProof/>
          <w:lang w:val="es-PE" w:eastAsia="es-PE"/>
        </w:rPr>
        <w:t xml:space="preserve"> </w:t>
      </w:r>
    </w:p>
    <w:p w:rsidR="00A1117B" w:rsidRPr="00D453C2" w:rsidRDefault="00A1117B" w:rsidP="002F6F53">
      <w:pPr>
        <w:autoSpaceDE w:val="0"/>
        <w:autoSpaceDN w:val="0"/>
        <w:adjustRightInd w:val="0"/>
        <w:ind w:firstLine="567"/>
        <w:rPr>
          <w:b/>
          <w:color w:val="000000"/>
          <w:lang w:val="es-PE" w:eastAsia="es-PE"/>
        </w:rPr>
      </w:pPr>
    </w:p>
    <w:p w:rsidR="00866C9D" w:rsidRPr="00D453C2" w:rsidRDefault="000C1A3C" w:rsidP="004A1649">
      <w:pPr>
        <w:keepNext/>
        <w:keepLines/>
        <w:widowControl w:val="0"/>
        <w:tabs>
          <w:tab w:val="left" w:pos="2660"/>
        </w:tabs>
        <w:jc w:val="center"/>
        <w:rPr>
          <w:b/>
          <w:color w:val="000000"/>
          <w:lang w:val="es-PE" w:eastAsia="es-PE"/>
        </w:rPr>
      </w:pPr>
      <w:r>
        <w:rPr>
          <w:b/>
          <w:noProof/>
          <w:color w:val="000000"/>
          <w:lang w:val="es-PE" w:eastAsia="es-PE"/>
        </w:rPr>
        <w:drawing>
          <wp:anchor distT="0" distB="0" distL="114300" distR="114300" simplePos="0" relativeHeight="251650048" behindDoc="1" locked="0" layoutInCell="1" allowOverlap="1">
            <wp:simplePos x="0" y="0"/>
            <wp:positionH relativeFrom="column">
              <wp:posOffset>1419225</wp:posOffset>
            </wp:positionH>
            <wp:positionV relativeFrom="paragraph">
              <wp:posOffset>111760</wp:posOffset>
            </wp:positionV>
            <wp:extent cx="2898140" cy="1073150"/>
            <wp:effectExtent l="19050" t="0" r="0" b="0"/>
            <wp:wrapNone/>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4"/>
                    <a:srcRect t="5208" r="7138" b="15625"/>
                    <a:stretch>
                      <a:fillRect/>
                    </a:stretch>
                  </pic:blipFill>
                  <pic:spPr bwMode="auto">
                    <a:xfrm>
                      <a:off x="0" y="0"/>
                      <a:ext cx="2898140" cy="1073150"/>
                    </a:xfrm>
                    <a:prstGeom prst="rect">
                      <a:avLst/>
                    </a:prstGeom>
                    <a:noFill/>
                  </pic:spPr>
                </pic:pic>
              </a:graphicData>
            </a:graphic>
          </wp:anchor>
        </w:drawing>
      </w:r>
    </w:p>
    <w:p w:rsidR="00866C9D" w:rsidRPr="00D453C2" w:rsidRDefault="00866C9D" w:rsidP="004A1649">
      <w:pPr>
        <w:keepNext/>
        <w:keepLines/>
        <w:widowControl w:val="0"/>
        <w:tabs>
          <w:tab w:val="left" w:pos="2660"/>
        </w:tabs>
        <w:jc w:val="center"/>
        <w:rPr>
          <w:b/>
          <w:color w:val="000000"/>
          <w:lang w:val="es-PE" w:eastAsia="es-PE"/>
        </w:rPr>
      </w:pPr>
    </w:p>
    <w:p w:rsidR="00866C9D" w:rsidRPr="00D453C2" w:rsidRDefault="00866C9D" w:rsidP="004A1649">
      <w:pPr>
        <w:keepNext/>
        <w:keepLines/>
        <w:widowControl w:val="0"/>
        <w:tabs>
          <w:tab w:val="left" w:pos="2660"/>
        </w:tabs>
        <w:jc w:val="center"/>
        <w:rPr>
          <w:b/>
          <w:color w:val="000000"/>
          <w:lang w:val="es-PE" w:eastAsia="es-PE"/>
        </w:rPr>
      </w:pPr>
    </w:p>
    <w:p w:rsidR="000C0507" w:rsidRDefault="000C0507" w:rsidP="00E453FC">
      <w:pPr>
        <w:widowControl w:val="0"/>
        <w:jc w:val="both"/>
      </w:pPr>
    </w:p>
    <w:p w:rsidR="000C1A3C" w:rsidRDefault="000C1A3C" w:rsidP="00E453FC">
      <w:pPr>
        <w:widowControl w:val="0"/>
        <w:jc w:val="both"/>
      </w:pPr>
    </w:p>
    <w:p w:rsidR="000C1A3C" w:rsidRDefault="000C1A3C" w:rsidP="00E453FC">
      <w:pPr>
        <w:widowControl w:val="0"/>
        <w:jc w:val="both"/>
      </w:pPr>
    </w:p>
    <w:p w:rsidR="000C1A3C" w:rsidRDefault="000C1A3C" w:rsidP="00E453FC">
      <w:pPr>
        <w:widowControl w:val="0"/>
        <w:jc w:val="both"/>
      </w:pPr>
    </w:p>
    <w:p w:rsidR="000C1A3C" w:rsidRPr="00D453C2" w:rsidRDefault="000C1A3C" w:rsidP="00E453FC">
      <w:pPr>
        <w:widowControl w:val="0"/>
        <w:jc w:val="both"/>
      </w:pPr>
    </w:p>
    <w:p w:rsidR="000C46CE" w:rsidRPr="00D453C2" w:rsidRDefault="002F6F53" w:rsidP="00E453FC">
      <w:pPr>
        <w:widowControl w:val="0"/>
        <w:jc w:val="both"/>
      </w:pPr>
      <w:r w:rsidRPr="00D453C2">
        <w:t>JUS</w:t>
      </w:r>
      <w:r w:rsidR="004734FA" w:rsidRPr="00D453C2">
        <w:t>/.</w:t>
      </w:r>
    </w:p>
    <w:p w:rsidR="00BE5CAF" w:rsidRPr="00D453C2" w:rsidRDefault="00BE5CAF" w:rsidP="00E453FC">
      <w:pPr>
        <w:widowControl w:val="0"/>
        <w:jc w:val="both"/>
      </w:pPr>
    </w:p>
    <w:p w:rsidR="00BE5CAF" w:rsidRPr="00D453C2" w:rsidRDefault="00BE5CAF" w:rsidP="00E453FC">
      <w:pPr>
        <w:widowControl w:val="0"/>
        <w:jc w:val="both"/>
      </w:pPr>
    </w:p>
    <w:p w:rsidR="00BE5CAF" w:rsidRPr="00D453C2" w:rsidRDefault="00BE5CAF" w:rsidP="00E453FC">
      <w:pPr>
        <w:widowControl w:val="0"/>
        <w:jc w:val="both"/>
      </w:pPr>
    </w:p>
    <w:sectPr w:rsidR="00BE5CAF" w:rsidRPr="00D453C2" w:rsidSect="00F76DDC">
      <w:headerReference w:type="default" r:id="rId15"/>
      <w:pgSz w:w="12240" w:h="15840"/>
      <w:pgMar w:top="1361" w:right="1701" w:bottom="136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89C" w:rsidRDefault="0069789C" w:rsidP="006C7112">
      <w:r>
        <w:separator/>
      </w:r>
    </w:p>
  </w:endnote>
  <w:endnote w:type="continuationSeparator" w:id="1">
    <w:p w:rsidR="0069789C" w:rsidRDefault="0069789C" w:rsidP="006C71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89C" w:rsidRDefault="0069789C" w:rsidP="006C7112">
      <w:r>
        <w:separator/>
      </w:r>
    </w:p>
  </w:footnote>
  <w:footnote w:type="continuationSeparator" w:id="1">
    <w:p w:rsidR="0069789C" w:rsidRDefault="0069789C" w:rsidP="006C7112">
      <w:r>
        <w:continuationSeparator/>
      </w:r>
    </w:p>
  </w:footnote>
  <w:footnote w:id="2">
    <w:p w:rsidR="0069789C" w:rsidRPr="00684355" w:rsidRDefault="0069789C" w:rsidP="001F259C">
      <w:pPr>
        <w:pStyle w:val="Textonotapie"/>
        <w:ind w:right="92"/>
        <w:jc w:val="both"/>
        <w:rPr>
          <w:sz w:val="18"/>
          <w:szCs w:val="18"/>
        </w:rPr>
      </w:pPr>
      <w:r w:rsidRPr="006D4332">
        <w:rPr>
          <w:rStyle w:val="Refdenotaalpie"/>
          <w:rFonts w:eastAsia="MS Mincho"/>
          <w:sz w:val="18"/>
          <w:szCs w:val="18"/>
        </w:rPr>
        <w:footnoteRef/>
      </w:r>
      <w:r w:rsidRPr="006D4332">
        <w:rPr>
          <w:sz w:val="18"/>
          <w:szCs w:val="18"/>
        </w:rPr>
        <w:t xml:space="preserve"> Cabe precisar que el Resumen Ejecutivo debe contener la </w:t>
      </w:r>
      <w:r w:rsidRPr="006D4332">
        <w:rPr>
          <w:b/>
          <w:bCs/>
          <w:sz w:val="18"/>
          <w:szCs w:val="18"/>
          <w:u w:val="single"/>
        </w:rPr>
        <w:t>totalidad</w:t>
      </w:r>
      <w:r>
        <w:rPr>
          <w:b/>
          <w:bCs/>
          <w:sz w:val="18"/>
          <w:szCs w:val="18"/>
          <w:u w:val="single"/>
        </w:rPr>
        <w:t xml:space="preserve"> </w:t>
      </w:r>
      <w:r w:rsidRPr="006D4332">
        <w:rPr>
          <w:sz w:val="18"/>
          <w:szCs w:val="18"/>
        </w:rPr>
        <w:t>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w:t>
      </w:r>
      <w:proofErr w:type="spellStart"/>
      <w:r w:rsidRPr="006D4332">
        <w:rPr>
          <w:sz w:val="18"/>
          <w:szCs w:val="18"/>
        </w:rPr>
        <w:t>ii</w:t>
      </w:r>
      <w:proofErr w:type="spellEnd"/>
      <w:r w:rsidRPr="006D4332">
        <w:rPr>
          <w:sz w:val="18"/>
          <w:szCs w:val="18"/>
        </w:rPr>
        <w:t xml:space="preserve">) los aspectos correspondientes a las casillas dejadas en blanco se entenderán como no considerados en el estudio de posibilidades que ofrece el mercado, </w:t>
      </w:r>
      <w:r w:rsidRPr="006D4332">
        <w:rPr>
          <w:sz w:val="18"/>
          <w:szCs w:val="18"/>
          <w:u w:val="single"/>
        </w:rPr>
        <w:t>bajo responsabilidad del órgano encargado de las contrataciones que elabora el Resumen Ejecutivo como del funcionario competente para la aprobación del expediente de contratación</w:t>
      </w:r>
      <w:r w:rsidRPr="006D4332">
        <w:rPr>
          <w:sz w:val="18"/>
          <w:szCs w:val="18"/>
        </w:rPr>
        <w:t xml:space="preserve">. Asimismo, es preciso recordar que el formato del Resumen Ejecutivo que obra en el expediente de contratación, debe contener el nombre, firma y sello del funcionario competente del Órgano Encargado de las Contrataciones, aun cuando el </w:t>
      </w:r>
      <w:r w:rsidRPr="00684355">
        <w:rPr>
          <w:sz w:val="18"/>
          <w:szCs w:val="18"/>
        </w:rPr>
        <w:t xml:space="preserve">formato registrado en el SEACE sólo contenga el nombre. </w:t>
      </w:r>
    </w:p>
    <w:p w:rsidR="0069789C" w:rsidRPr="00684355" w:rsidRDefault="0069789C" w:rsidP="001F259C">
      <w:pPr>
        <w:pStyle w:val="Textonotapie"/>
        <w:ind w:right="92"/>
        <w:jc w:val="both"/>
        <w:rPr>
          <w:sz w:val="18"/>
          <w:szCs w:val="18"/>
        </w:rPr>
      </w:pPr>
    </w:p>
  </w:footnote>
  <w:footnote w:id="3">
    <w:p w:rsidR="0069789C" w:rsidRPr="006F6817" w:rsidRDefault="0069789C" w:rsidP="002F6F53">
      <w:pPr>
        <w:pStyle w:val="Textonotapie"/>
        <w:jc w:val="both"/>
        <w:rPr>
          <w:sz w:val="18"/>
          <w:szCs w:val="18"/>
        </w:rPr>
      </w:pPr>
      <w:r w:rsidRPr="006F6817">
        <w:rPr>
          <w:rStyle w:val="Refdenotaalpie"/>
          <w:sz w:val="18"/>
          <w:szCs w:val="18"/>
        </w:rPr>
        <w:footnoteRef/>
      </w:r>
      <w:r w:rsidRPr="006F6817">
        <w:rPr>
          <w:sz w:val="18"/>
          <w:szCs w:val="18"/>
        </w:rPr>
        <w:t xml:space="preserve"> </w:t>
      </w:r>
      <w:r w:rsidRPr="006F6817">
        <w:rPr>
          <w:color w:val="000000"/>
          <w:sz w:val="18"/>
          <w:szCs w:val="18"/>
          <w:lang w:eastAsia="es-PE"/>
        </w:rPr>
        <w:t>A través del Comunicado N° 003-2015-OSCE/PRE se ha dispuesto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89C" w:rsidRDefault="008759AF">
    <w:pPr>
      <w:pStyle w:val="Encabezado"/>
      <w:jc w:val="center"/>
    </w:pPr>
    <w:fldSimple w:instr=" PAGE   \* MERGEFORMAT ">
      <w:r w:rsidR="000C1A3C">
        <w:rPr>
          <w:noProof/>
        </w:rPr>
        <w:t>12</w:t>
      </w:r>
    </w:fldSimple>
  </w:p>
  <w:p w:rsidR="0069789C" w:rsidRDefault="0069789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bullet"/>
      <w:suff w:val="nothing"/>
      <w:lvlText w:val=""/>
      <w:lvlJc w:val="left"/>
      <w:pPr>
        <w:tabs>
          <w:tab w:val="num" w:pos="0"/>
        </w:tabs>
        <w:ind w:left="0" w:firstLine="0"/>
      </w:pPr>
      <w:rPr>
        <w:rFonts w:ascii="Symbol" w:hAnsi="Symbol" w:cs="Symbol"/>
      </w:rPr>
    </w:lvl>
  </w:abstractNum>
  <w:abstractNum w:abstractNumId="1">
    <w:nsid w:val="00000009"/>
    <w:multiLevelType w:val="singleLevel"/>
    <w:tmpl w:val="00000009"/>
    <w:name w:val="WW8Num9"/>
    <w:lvl w:ilvl="0">
      <w:start w:val="1"/>
      <w:numFmt w:val="lowerLetter"/>
      <w:suff w:val="nothing"/>
      <w:lvlText w:val="%1)"/>
      <w:lvlJc w:val="left"/>
      <w:pPr>
        <w:tabs>
          <w:tab w:val="num" w:pos="0"/>
        </w:tabs>
        <w:ind w:left="0" w:firstLine="0"/>
      </w:pPr>
    </w:lvl>
  </w:abstractNum>
  <w:abstractNum w:abstractNumId="2">
    <w:nsid w:val="00000016"/>
    <w:multiLevelType w:val="multilevel"/>
    <w:tmpl w:val="00000016"/>
    <w:name w:val="WW8Num22"/>
    <w:lvl w:ilvl="0">
      <w:start w:val="1"/>
      <w:numFmt w:val="decimal"/>
      <w:suff w:val="nothing"/>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3">
    <w:nsid w:val="00000020"/>
    <w:multiLevelType w:val="multilevel"/>
    <w:tmpl w:val="00000020"/>
    <w:name w:val="WW8Num32"/>
    <w:lvl w:ilvl="0">
      <w:start w:val="2"/>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3A"/>
    <w:multiLevelType w:val="singleLevel"/>
    <w:tmpl w:val="0000003A"/>
    <w:name w:val="WW8Num59"/>
    <w:lvl w:ilvl="0">
      <w:start w:val="1"/>
      <w:numFmt w:val="lowerLetter"/>
      <w:suff w:val="nothing"/>
      <w:lvlText w:val="%1)"/>
      <w:lvlJc w:val="left"/>
      <w:pPr>
        <w:tabs>
          <w:tab w:val="num" w:pos="0"/>
        </w:tabs>
        <w:ind w:left="0" w:firstLine="0"/>
      </w:pPr>
      <w:rPr>
        <w:b/>
      </w:rPr>
    </w:lvl>
  </w:abstractNum>
  <w:abstractNum w:abstractNumId="5">
    <w:nsid w:val="007A023F"/>
    <w:multiLevelType w:val="hybridMultilevel"/>
    <w:tmpl w:val="D32E0DE6"/>
    <w:lvl w:ilvl="0" w:tplc="9DB0DEAA">
      <w:start w:val="1"/>
      <w:numFmt w:val="bullet"/>
      <w:lvlText w:val=""/>
      <w:lvlJc w:val="left"/>
      <w:pPr>
        <w:ind w:left="7590" w:hanging="360"/>
      </w:pPr>
      <w:rPr>
        <w:rFonts w:ascii="Symbol" w:hAnsi="Symbol" w:hint="default"/>
      </w:rPr>
    </w:lvl>
    <w:lvl w:ilvl="1" w:tplc="280A0003" w:tentative="1">
      <w:start w:val="1"/>
      <w:numFmt w:val="bullet"/>
      <w:lvlText w:val="o"/>
      <w:lvlJc w:val="left"/>
      <w:pPr>
        <w:ind w:left="8310" w:hanging="360"/>
      </w:pPr>
      <w:rPr>
        <w:rFonts w:ascii="Courier New" w:hAnsi="Courier New" w:cs="Courier New" w:hint="default"/>
      </w:rPr>
    </w:lvl>
    <w:lvl w:ilvl="2" w:tplc="280A0005" w:tentative="1">
      <w:start w:val="1"/>
      <w:numFmt w:val="bullet"/>
      <w:lvlText w:val=""/>
      <w:lvlJc w:val="left"/>
      <w:pPr>
        <w:ind w:left="9030" w:hanging="360"/>
      </w:pPr>
      <w:rPr>
        <w:rFonts w:ascii="Wingdings" w:hAnsi="Wingdings" w:hint="default"/>
      </w:rPr>
    </w:lvl>
    <w:lvl w:ilvl="3" w:tplc="280A0001" w:tentative="1">
      <w:start w:val="1"/>
      <w:numFmt w:val="bullet"/>
      <w:lvlText w:val=""/>
      <w:lvlJc w:val="left"/>
      <w:pPr>
        <w:ind w:left="9750" w:hanging="360"/>
      </w:pPr>
      <w:rPr>
        <w:rFonts w:ascii="Symbol" w:hAnsi="Symbol" w:hint="default"/>
      </w:rPr>
    </w:lvl>
    <w:lvl w:ilvl="4" w:tplc="280A0003" w:tentative="1">
      <w:start w:val="1"/>
      <w:numFmt w:val="bullet"/>
      <w:lvlText w:val="o"/>
      <w:lvlJc w:val="left"/>
      <w:pPr>
        <w:ind w:left="10470" w:hanging="360"/>
      </w:pPr>
      <w:rPr>
        <w:rFonts w:ascii="Courier New" w:hAnsi="Courier New" w:cs="Courier New" w:hint="default"/>
      </w:rPr>
    </w:lvl>
    <w:lvl w:ilvl="5" w:tplc="280A0005" w:tentative="1">
      <w:start w:val="1"/>
      <w:numFmt w:val="bullet"/>
      <w:lvlText w:val=""/>
      <w:lvlJc w:val="left"/>
      <w:pPr>
        <w:ind w:left="11190" w:hanging="360"/>
      </w:pPr>
      <w:rPr>
        <w:rFonts w:ascii="Wingdings" w:hAnsi="Wingdings" w:hint="default"/>
      </w:rPr>
    </w:lvl>
    <w:lvl w:ilvl="6" w:tplc="280A0001" w:tentative="1">
      <w:start w:val="1"/>
      <w:numFmt w:val="bullet"/>
      <w:lvlText w:val=""/>
      <w:lvlJc w:val="left"/>
      <w:pPr>
        <w:ind w:left="11910" w:hanging="360"/>
      </w:pPr>
      <w:rPr>
        <w:rFonts w:ascii="Symbol" w:hAnsi="Symbol" w:hint="default"/>
      </w:rPr>
    </w:lvl>
    <w:lvl w:ilvl="7" w:tplc="280A0003" w:tentative="1">
      <w:start w:val="1"/>
      <w:numFmt w:val="bullet"/>
      <w:lvlText w:val="o"/>
      <w:lvlJc w:val="left"/>
      <w:pPr>
        <w:ind w:left="12630" w:hanging="360"/>
      </w:pPr>
      <w:rPr>
        <w:rFonts w:ascii="Courier New" w:hAnsi="Courier New" w:cs="Courier New" w:hint="default"/>
      </w:rPr>
    </w:lvl>
    <w:lvl w:ilvl="8" w:tplc="280A0005" w:tentative="1">
      <w:start w:val="1"/>
      <w:numFmt w:val="bullet"/>
      <w:lvlText w:val=""/>
      <w:lvlJc w:val="left"/>
      <w:pPr>
        <w:ind w:left="13350" w:hanging="360"/>
      </w:pPr>
      <w:rPr>
        <w:rFonts w:ascii="Wingdings" w:hAnsi="Wingdings" w:hint="default"/>
      </w:rPr>
    </w:lvl>
  </w:abstractNum>
  <w:abstractNum w:abstractNumId="6">
    <w:nsid w:val="0F7A745B"/>
    <w:multiLevelType w:val="multilevel"/>
    <w:tmpl w:val="E96C630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D771C09"/>
    <w:multiLevelType w:val="hybridMultilevel"/>
    <w:tmpl w:val="B1CEC97C"/>
    <w:lvl w:ilvl="0" w:tplc="888627DE">
      <w:numFmt w:val="bullet"/>
      <w:lvlText w:val="-"/>
      <w:lvlJc w:val="left"/>
      <w:pPr>
        <w:ind w:left="720" w:hanging="360"/>
      </w:pPr>
      <w:rPr>
        <w:rFonts w:ascii="Times New Roman" w:eastAsia="Calibr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318C0656"/>
    <w:multiLevelType w:val="hybridMultilevel"/>
    <w:tmpl w:val="AC1AFD00"/>
    <w:lvl w:ilvl="0" w:tplc="197CFF46">
      <w:start w:val="3"/>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1">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60590993"/>
    <w:multiLevelType w:val="multilevel"/>
    <w:tmpl w:val="25AE0D6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3">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9"/>
  </w:num>
  <w:num w:numId="6">
    <w:abstractNumId w:val="7"/>
  </w:num>
  <w:num w:numId="7">
    <w:abstractNumId w:val="11"/>
  </w:num>
  <w:num w:numId="8">
    <w:abstractNumId w:val="5"/>
  </w:num>
  <w:num w:numId="9">
    <w:abstractNumId w:val="6"/>
  </w:num>
  <w:num w:numId="10">
    <w:abstractNumId w:val="8"/>
  </w:num>
  <w:num w:numId="11">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6C7112"/>
    <w:rsid w:val="00000CE9"/>
    <w:rsid w:val="0000250C"/>
    <w:rsid w:val="00004613"/>
    <w:rsid w:val="00004A06"/>
    <w:rsid w:val="00004ACC"/>
    <w:rsid w:val="0001111A"/>
    <w:rsid w:val="0001293C"/>
    <w:rsid w:val="000154C9"/>
    <w:rsid w:val="00015918"/>
    <w:rsid w:val="000166F2"/>
    <w:rsid w:val="0001694C"/>
    <w:rsid w:val="0002353B"/>
    <w:rsid w:val="00025CF3"/>
    <w:rsid w:val="00026A6E"/>
    <w:rsid w:val="00032E0D"/>
    <w:rsid w:val="0003518D"/>
    <w:rsid w:val="000366BB"/>
    <w:rsid w:val="00041813"/>
    <w:rsid w:val="000611FD"/>
    <w:rsid w:val="00066072"/>
    <w:rsid w:val="00067693"/>
    <w:rsid w:val="00070330"/>
    <w:rsid w:val="00071F5A"/>
    <w:rsid w:val="0007495A"/>
    <w:rsid w:val="00077188"/>
    <w:rsid w:val="00077E60"/>
    <w:rsid w:val="00081D5A"/>
    <w:rsid w:val="00083201"/>
    <w:rsid w:val="00090DE8"/>
    <w:rsid w:val="00091985"/>
    <w:rsid w:val="000928BA"/>
    <w:rsid w:val="00092F73"/>
    <w:rsid w:val="000A020E"/>
    <w:rsid w:val="000A2A0B"/>
    <w:rsid w:val="000A4E3D"/>
    <w:rsid w:val="000A6E6B"/>
    <w:rsid w:val="000B047D"/>
    <w:rsid w:val="000B11F5"/>
    <w:rsid w:val="000B5C2D"/>
    <w:rsid w:val="000B60CB"/>
    <w:rsid w:val="000C0507"/>
    <w:rsid w:val="000C1445"/>
    <w:rsid w:val="000C1A3C"/>
    <w:rsid w:val="000C2F70"/>
    <w:rsid w:val="000C46CE"/>
    <w:rsid w:val="000C62DC"/>
    <w:rsid w:val="000C6F92"/>
    <w:rsid w:val="000D02C3"/>
    <w:rsid w:val="000D4EA2"/>
    <w:rsid w:val="000D73BA"/>
    <w:rsid w:val="000E2897"/>
    <w:rsid w:val="000E4AE3"/>
    <w:rsid w:val="000E58B3"/>
    <w:rsid w:val="000F3E44"/>
    <w:rsid w:val="000F5414"/>
    <w:rsid w:val="000F7A99"/>
    <w:rsid w:val="001005CE"/>
    <w:rsid w:val="0010195D"/>
    <w:rsid w:val="001023BF"/>
    <w:rsid w:val="00102B9A"/>
    <w:rsid w:val="001138C0"/>
    <w:rsid w:val="00113DCE"/>
    <w:rsid w:val="0012458D"/>
    <w:rsid w:val="001258A7"/>
    <w:rsid w:val="0013216F"/>
    <w:rsid w:val="0013331C"/>
    <w:rsid w:val="00135422"/>
    <w:rsid w:val="00137C68"/>
    <w:rsid w:val="0014712E"/>
    <w:rsid w:val="0015009B"/>
    <w:rsid w:val="00150470"/>
    <w:rsid w:val="001519B1"/>
    <w:rsid w:val="0015267E"/>
    <w:rsid w:val="00153766"/>
    <w:rsid w:val="00161022"/>
    <w:rsid w:val="0016395F"/>
    <w:rsid w:val="0016615A"/>
    <w:rsid w:val="001728BB"/>
    <w:rsid w:val="00180A61"/>
    <w:rsid w:val="0018297B"/>
    <w:rsid w:val="001838A7"/>
    <w:rsid w:val="00183BA3"/>
    <w:rsid w:val="001925FD"/>
    <w:rsid w:val="001939D9"/>
    <w:rsid w:val="0019792E"/>
    <w:rsid w:val="001A01E5"/>
    <w:rsid w:val="001A0CB1"/>
    <w:rsid w:val="001A170D"/>
    <w:rsid w:val="001A48E6"/>
    <w:rsid w:val="001B0CF6"/>
    <w:rsid w:val="001B3F7A"/>
    <w:rsid w:val="001B5D28"/>
    <w:rsid w:val="001C0655"/>
    <w:rsid w:val="001C0B37"/>
    <w:rsid w:val="001C17E4"/>
    <w:rsid w:val="001C2DD6"/>
    <w:rsid w:val="001D7686"/>
    <w:rsid w:val="001E172A"/>
    <w:rsid w:val="001E347C"/>
    <w:rsid w:val="001E52B6"/>
    <w:rsid w:val="001E75EA"/>
    <w:rsid w:val="001E7F83"/>
    <w:rsid w:val="001F259C"/>
    <w:rsid w:val="001F2915"/>
    <w:rsid w:val="001F43EF"/>
    <w:rsid w:val="001F58B6"/>
    <w:rsid w:val="001F6EC2"/>
    <w:rsid w:val="00201831"/>
    <w:rsid w:val="00215D78"/>
    <w:rsid w:val="0021750F"/>
    <w:rsid w:val="00220E81"/>
    <w:rsid w:val="0022276A"/>
    <w:rsid w:val="002239E3"/>
    <w:rsid w:val="0022429A"/>
    <w:rsid w:val="00225076"/>
    <w:rsid w:val="00225356"/>
    <w:rsid w:val="00225E69"/>
    <w:rsid w:val="002326BA"/>
    <w:rsid w:val="00232969"/>
    <w:rsid w:val="00233F0C"/>
    <w:rsid w:val="002420F6"/>
    <w:rsid w:val="00242D71"/>
    <w:rsid w:val="00242DA6"/>
    <w:rsid w:val="00243330"/>
    <w:rsid w:val="00244666"/>
    <w:rsid w:val="00247D5B"/>
    <w:rsid w:val="00252E1B"/>
    <w:rsid w:val="002536F9"/>
    <w:rsid w:val="0025484F"/>
    <w:rsid w:val="00254950"/>
    <w:rsid w:val="002568A3"/>
    <w:rsid w:val="002571E4"/>
    <w:rsid w:val="00263D41"/>
    <w:rsid w:val="00264CA7"/>
    <w:rsid w:val="00265FEA"/>
    <w:rsid w:val="002747ED"/>
    <w:rsid w:val="0027689C"/>
    <w:rsid w:val="00276C6D"/>
    <w:rsid w:val="002778F6"/>
    <w:rsid w:val="002904F3"/>
    <w:rsid w:val="00294F49"/>
    <w:rsid w:val="0029697D"/>
    <w:rsid w:val="00297CBB"/>
    <w:rsid w:val="002A44AB"/>
    <w:rsid w:val="002A56A1"/>
    <w:rsid w:val="002A6536"/>
    <w:rsid w:val="002A662B"/>
    <w:rsid w:val="002B096A"/>
    <w:rsid w:val="002B0BAC"/>
    <w:rsid w:val="002B23F0"/>
    <w:rsid w:val="002B2557"/>
    <w:rsid w:val="002B5D3C"/>
    <w:rsid w:val="002C599D"/>
    <w:rsid w:val="002C5CB0"/>
    <w:rsid w:val="002C60E4"/>
    <w:rsid w:val="002C69B1"/>
    <w:rsid w:val="002C6E74"/>
    <w:rsid w:val="002D07C0"/>
    <w:rsid w:val="002D2E04"/>
    <w:rsid w:val="002D51F0"/>
    <w:rsid w:val="002D6D5C"/>
    <w:rsid w:val="002E015E"/>
    <w:rsid w:val="002E16B4"/>
    <w:rsid w:val="002E1734"/>
    <w:rsid w:val="002E5B9A"/>
    <w:rsid w:val="002F49D5"/>
    <w:rsid w:val="002F6F53"/>
    <w:rsid w:val="002F7F48"/>
    <w:rsid w:val="003002B5"/>
    <w:rsid w:val="0030783E"/>
    <w:rsid w:val="00310735"/>
    <w:rsid w:val="00315B81"/>
    <w:rsid w:val="003168CF"/>
    <w:rsid w:val="00322B15"/>
    <w:rsid w:val="00322FCC"/>
    <w:rsid w:val="00327F9E"/>
    <w:rsid w:val="00331B09"/>
    <w:rsid w:val="003345E3"/>
    <w:rsid w:val="003374C1"/>
    <w:rsid w:val="003412B1"/>
    <w:rsid w:val="00342657"/>
    <w:rsid w:val="00347AA5"/>
    <w:rsid w:val="00352A87"/>
    <w:rsid w:val="003530D3"/>
    <w:rsid w:val="00355ECD"/>
    <w:rsid w:val="00357067"/>
    <w:rsid w:val="003575C1"/>
    <w:rsid w:val="0036141C"/>
    <w:rsid w:val="003621E4"/>
    <w:rsid w:val="00362ADD"/>
    <w:rsid w:val="00362E9D"/>
    <w:rsid w:val="003674E7"/>
    <w:rsid w:val="003678AD"/>
    <w:rsid w:val="00371E90"/>
    <w:rsid w:val="00372AAA"/>
    <w:rsid w:val="00372CE5"/>
    <w:rsid w:val="00373740"/>
    <w:rsid w:val="003800F0"/>
    <w:rsid w:val="00381530"/>
    <w:rsid w:val="00381E86"/>
    <w:rsid w:val="00382268"/>
    <w:rsid w:val="00383EE9"/>
    <w:rsid w:val="00386804"/>
    <w:rsid w:val="003911E5"/>
    <w:rsid w:val="00396108"/>
    <w:rsid w:val="003A0127"/>
    <w:rsid w:val="003A1F7A"/>
    <w:rsid w:val="003A2B67"/>
    <w:rsid w:val="003A5FFD"/>
    <w:rsid w:val="003A73A2"/>
    <w:rsid w:val="003B01F3"/>
    <w:rsid w:val="003B2244"/>
    <w:rsid w:val="003B2764"/>
    <w:rsid w:val="003B3BE8"/>
    <w:rsid w:val="003C4A87"/>
    <w:rsid w:val="003D1A91"/>
    <w:rsid w:val="003D1BD5"/>
    <w:rsid w:val="003D561F"/>
    <w:rsid w:val="003D6C43"/>
    <w:rsid w:val="003E5635"/>
    <w:rsid w:val="003F0BE8"/>
    <w:rsid w:val="003F12E7"/>
    <w:rsid w:val="003F3B27"/>
    <w:rsid w:val="003F65D9"/>
    <w:rsid w:val="003F6B0D"/>
    <w:rsid w:val="003F6D7F"/>
    <w:rsid w:val="00407C77"/>
    <w:rsid w:val="00411415"/>
    <w:rsid w:val="004122FD"/>
    <w:rsid w:val="004125B5"/>
    <w:rsid w:val="00412715"/>
    <w:rsid w:val="00412ABC"/>
    <w:rsid w:val="004136B7"/>
    <w:rsid w:val="00414E72"/>
    <w:rsid w:val="00435764"/>
    <w:rsid w:val="004363AE"/>
    <w:rsid w:val="00442155"/>
    <w:rsid w:val="004438CE"/>
    <w:rsid w:val="00446F86"/>
    <w:rsid w:val="004558FD"/>
    <w:rsid w:val="004568A2"/>
    <w:rsid w:val="004572FD"/>
    <w:rsid w:val="00457E3D"/>
    <w:rsid w:val="0046059D"/>
    <w:rsid w:val="004641AF"/>
    <w:rsid w:val="00470DC8"/>
    <w:rsid w:val="0047299F"/>
    <w:rsid w:val="004734FA"/>
    <w:rsid w:val="00476485"/>
    <w:rsid w:val="00481DB1"/>
    <w:rsid w:val="0048205B"/>
    <w:rsid w:val="00486209"/>
    <w:rsid w:val="00486D5B"/>
    <w:rsid w:val="00487320"/>
    <w:rsid w:val="00487A1D"/>
    <w:rsid w:val="004906DA"/>
    <w:rsid w:val="00491B1F"/>
    <w:rsid w:val="00492715"/>
    <w:rsid w:val="004A1649"/>
    <w:rsid w:val="004A2D19"/>
    <w:rsid w:val="004A317D"/>
    <w:rsid w:val="004A6826"/>
    <w:rsid w:val="004A6DCB"/>
    <w:rsid w:val="004A6E23"/>
    <w:rsid w:val="004B1177"/>
    <w:rsid w:val="004B38BF"/>
    <w:rsid w:val="004B4B59"/>
    <w:rsid w:val="004B4D7C"/>
    <w:rsid w:val="004C27E1"/>
    <w:rsid w:val="004C3CBB"/>
    <w:rsid w:val="004C4947"/>
    <w:rsid w:val="004C530F"/>
    <w:rsid w:val="004C6921"/>
    <w:rsid w:val="004D0297"/>
    <w:rsid w:val="004D233B"/>
    <w:rsid w:val="004D48E1"/>
    <w:rsid w:val="004D5E70"/>
    <w:rsid w:val="004E35C0"/>
    <w:rsid w:val="004E3B36"/>
    <w:rsid w:val="004E4189"/>
    <w:rsid w:val="004E63DC"/>
    <w:rsid w:val="004E763B"/>
    <w:rsid w:val="004F3FF5"/>
    <w:rsid w:val="004F5FE9"/>
    <w:rsid w:val="004F70FA"/>
    <w:rsid w:val="004F7BF5"/>
    <w:rsid w:val="00500FF8"/>
    <w:rsid w:val="00501876"/>
    <w:rsid w:val="00501FFF"/>
    <w:rsid w:val="00505011"/>
    <w:rsid w:val="00512EA6"/>
    <w:rsid w:val="00516E01"/>
    <w:rsid w:val="0053144C"/>
    <w:rsid w:val="00533E51"/>
    <w:rsid w:val="00534170"/>
    <w:rsid w:val="00535C9B"/>
    <w:rsid w:val="005361E9"/>
    <w:rsid w:val="005403CB"/>
    <w:rsid w:val="00540939"/>
    <w:rsid w:val="00541884"/>
    <w:rsid w:val="00543FB8"/>
    <w:rsid w:val="005441FF"/>
    <w:rsid w:val="00547BC0"/>
    <w:rsid w:val="0055252A"/>
    <w:rsid w:val="00555409"/>
    <w:rsid w:val="00556D24"/>
    <w:rsid w:val="00561BE2"/>
    <w:rsid w:val="00561FC3"/>
    <w:rsid w:val="00566A85"/>
    <w:rsid w:val="005701E2"/>
    <w:rsid w:val="0057156F"/>
    <w:rsid w:val="0057396F"/>
    <w:rsid w:val="00577E63"/>
    <w:rsid w:val="00580440"/>
    <w:rsid w:val="005835F4"/>
    <w:rsid w:val="005908AB"/>
    <w:rsid w:val="00590F42"/>
    <w:rsid w:val="00590F69"/>
    <w:rsid w:val="0059155C"/>
    <w:rsid w:val="00591934"/>
    <w:rsid w:val="00591D4B"/>
    <w:rsid w:val="005930EA"/>
    <w:rsid w:val="00596654"/>
    <w:rsid w:val="00596E12"/>
    <w:rsid w:val="005A2EA0"/>
    <w:rsid w:val="005B5A71"/>
    <w:rsid w:val="005B6D58"/>
    <w:rsid w:val="005B7CE1"/>
    <w:rsid w:val="005C0821"/>
    <w:rsid w:val="005C0FEF"/>
    <w:rsid w:val="005C1FDC"/>
    <w:rsid w:val="005C321E"/>
    <w:rsid w:val="005C3500"/>
    <w:rsid w:val="005C36A2"/>
    <w:rsid w:val="005C5D3D"/>
    <w:rsid w:val="005C6B11"/>
    <w:rsid w:val="005D4F26"/>
    <w:rsid w:val="005E1CAA"/>
    <w:rsid w:val="005E2C59"/>
    <w:rsid w:val="005E2D0D"/>
    <w:rsid w:val="005E3A58"/>
    <w:rsid w:val="005E5CEE"/>
    <w:rsid w:val="005F2102"/>
    <w:rsid w:val="005F409B"/>
    <w:rsid w:val="00605D0D"/>
    <w:rsid w:val="00606B32"/>
    <w:rsid w:val="00612D61"/>
    <w:rsid w:val="00614A4A"/>
    <w:rsid w:val="0061670F"/>
    <w:rsid w:val="00621917"/>
    <w:rsid w:val="006238E0"/>
    <w:rsid w:val="00627493"/>
    <w:rsid w:val="00630801"/>
    <w:rsid w:val="0063302C"/>
    <w:rsid w:val="00634861"/>
    <w:rsid w:val="00637A7F"/>
    <w:rsid w:val="00641E3D"/>
    <w:rsid w:val="0064251F"/>
    <w:rsid w:val="0064379C"/>
    <w:rsid w:val="006438BD"/>
    <w:rsid w:val="00644871"/>
    <w:rsid w:val="00645DA5"/>
    <w:rsid w:val="00646184"/>
    <w:rsid w:val="00646C4F"/>
    <w:rsid w:val="00650204"/>
    <w:rsid w:val="00653A87"/>
    <w:rsid w:val="006572FA"/>
    <w:rsid w:val="006603F6"/>
    <w:rsid w:val="006667A2"/>
    <w:rsid w:val="006715AB"/>
    <w:rsid w:val="00675680"/>
    <w:rsid w:val="00676056"/>
    <w:rsid w:val="006773AB"/>
    <w:rsid w:val="00682B25"/>
    <w:rsid w:val="00686042"/>
    <w:rsid w:val="006871DA"/>
    <w:rsid w:val="0068723A"/>
    <w:rsid w:val="006903DC"/>
    <w:rsid w:val="00691025"/>
    <w:rsid w:val="00691A5C"/>
    <w:rsid w:val="0069789C"/>
    <w:rsid w:val="006A017E"/>
    <w:rsid w:val="006A338A"/>
    <w:rsid w:val="006A5684"/>
    <w:rsid w:val="006A5D0F"/>
    <w:rsid w:val="006B0D64"/>
    <w:rsid w:val="006B14B0"/>
    <w:rsid w:val="006B181B"/>
    <w:rsid w:val="006B2349"/>
    <w:rsid w:val="006B5957"/>
    <w:rsid w:val="006B666E"/>
    <w:rsid w:val="006C0F98"/>
    <w:rsid w:val="006C20E0"/>
    <w:rsid w:val="006C53C5"/>
    <w:rsid w:val="006C64E5"/>
    <w:rsid w:val="006C7112"/>
    <w:rsid w:val="006D564B"/>
    <w:rsid w:val="006D5F78"/>
    <w:rsid w:val="006D77E8"/>
    <w:rsid w:val="006D7921"/>
    <w:rsid w:val="006E1299"/>
    <w:rsid w:val="006E2B2B"/>
    <w:rsid w:val="006E3376"/>
    <w:rsid w:val="006E7EC5"/>
    <w:rsid w:val="006F0430"/>
    <w:rsid w:val="006F0919"/>
    <w:rsid w:val="006F12FF"/>
    <w:rsid w:val="006F4DF6"/>
    <w:rsid w:val="006F4FC1"/>
    <w:rsid w:val="007020EC"/>
    <w:rsid w:val="007064FD"/>
    <w:rsid w:val="00712DF2"/>
    <w:rsid w:val="007146E6"/>
    <w:rsid w:val="007176E0"/>
    <w:rsid w:val="00723F95"/>
    <w:rsid w:val="0073089A"/>
    <w:rsid w:val="00734C8C"/>
    <w:rsid w:val="00743560"/>
    <w:rsid w:val="00747979"/>
    <w:rsid w:val="007577EC"/>
    <w:rsid w:val="00760EF0"/>
    <w:rsid w:val="007645B7"/>
    <w:rsid w:val="00765AD5"/>
    <w:rsid w:val="00767269"/>
    <w:rsid w:val="00770E6A"/>
    <w:rsid w:val="0077283C"/>
    <w:rsid w:val="00774F27"/>
    <w:rsid w:val="00774F40"/>
    <w:rsid w:val="00776E55"/>
    <w:rsid w:val="00777880"/>
    <w:rsid w:val="00777A2D"/>
    <w:rsid w:val="00780AB6"/>
    <w:rsid w:val="00782826"/>
    <w:rsid w:val="007834BD"/>
    <w:rsid w:val="00784A13"/>
    <w:rsid w:val="00791EA4"/>
    <w:rsid w:val="0079473B"/>
    <w:rsid w:val="00794A0C"/>
    <w:rsid w:val="007967BF"/>
    <w:rsid w:val="00797765"/>
    <w:rsid w:val="007A3A04"/>
    <w:rsid w:val="007A464D"/>
    <w:rsid w:val="007A48A4"/>
    <w:rsid w:val="007A63F9"/>
    <w:rsid w:val="007B46B9"/>
    <w:rsid w:val="007B682D"/>
    <w:rsid w:val="007B7FDE"/>
    <w:rsid w:val="007C3C81"/>
    <w:rsid w:val="007D33B1"/>
    <w:rsid w:val="007D3D66"/>
    <w:rsid w:val="007D5E30"/>
    <w:rsid w:val="007D6D97"/>
    <w:rsid w:val="007D7643"/>
    <w:rsid w:val="007E47A1"/>
    <w:rsid w:val="007E4E0E"/>
    <w:rsid w:val="007F7166"/>
    <w:rsid w:val="00801000"/>
    <w:rsid w:val="008021EE"/>
    <w:rsid w:val="00803434"/>
    <w:rsid w:val="00805F29"/>
    <w:rsid w:val="00807AE3"/>
    <w:rsid w:val="00807F65"/>
    <w:rsid w:val="008124B8"/>
    <w:rsid w:val="00813034"/>
    <w:rsid w:val="008146A0"/>
    <w:rsid w:val="00814FE7"/>
    <w:rsid w:val="008240AB"/>
    <w:rsid w:val="00826124"/>
    <w:rsid w:val="0083138D"/>
    <w:rsid w:val="0083210A"/>
    <w:rsid w:val="00832DD5"/>
    <w:rsid w:val="008341AC"/>
    <w:rsid w:val="00836E27"/>
    <w:rsid w:val="0084015A"/>
    <w:rsid w:val="0084298D"/>
    <w:rsid w:val="008475B0"/>
    <w:rsid w:val="0085258E"/>
    <w:rsid w:val="00860CFF"/>
    <w:rsid w:val="008616C9"/>
    <w:rsid w:val="00861A08"/>
    <w:rsid w:val="008651C1"/>
    <w:rsid w:val="0086534B"/>
    <w:rsid w:val="00866C9D"/>
    <w:rsid w:val="008677E5"/>
    <w:rsid w:val="0087198E"/>
    <w:rsid w:val="008722BA"/>
    <w:rsid w:val="00873820"/>
    <w:rsid w:val="008759AF"/>
    <w:rsid w:val="00875D63"/>
    <w:rsid w:val="00876166"/>
    <w:rsid w:val="0087719A"/>
    <w:rsid w:val="008804E8"/>
    <w:rsid w:val="00881511"/>
    <w:rsid w:val="00884359"/>
    <w:rsid w:val="00884F0D"/>
    <w:rsid w:val="00886723"/>
    <w:rsid w:val="008906B2"/>
    <w:rsid w:val="00890BFC"/>
    <w:rsid w:val="00891DE1"/>
    <w:rsid w:val="0089387B"/>
    <w:rsid w:val="00895D91"/>
    <w:rsid w:val="008A3EF4"/>
    <w:rsid w:val="008A7074"/>
    <w:rsid w:val="008A70A8"/>
    <w:rsid w:val="008B0BB2"/>
    <w:rsid w:val="008B547B"/>
    <w:rsid w:val="008B573C"/>
    <w:rsid w:val="008B5BBD"/>
    <w:rsid w:val="008B7058"/>
    <w:rsid w:val="008C14AD"/>
    <w:rsid w:val="008C2AA8"/>
    <w:rsid w:val="008C2D8A"/>
    <w:rsid w:val="008C364E"/>
    <w:rsid w:val="008C377B"/>
    <w:rsid w:val="008D01A7"/>
    <w:rsid w:val="008D2555"/>
    <w:rsid w:val="008D4426"/>
    <w:rsid w:val="008D5920"/>
    <w:rsid w:val="008E0EBD"/>
    <w:rsid w:val="008E1C43"/>
    <w:rsid w:val="008E2CFA"/>
    <w:rsid w:val="008E4072"/>
    <w:rsid w:val="008E580A"/>
    <w:rsid w:val="008F055D"/>
    <w:rsid w:val="008F187D"/>
    <w:rsid w:val="008F3757"/>
    <w:rsid w:val="008F60B2"/>
    <w:rsid w:val="008F6452"/>
    <w:rsid w:val="00901C11"/>
    <w:rsid w:val="0091627F"/>
    <w:rsid w:val="00916500"/>
    <w:rsid w:val="00921358"/>
    <w:rsid w:val="00923339"/>
    <w:rsid w:val="0092398E"/>
    <w:rsid w:val="009269C1"/>
    <w:rsid w:val="00930F51"/>
    <w:rsid w:val="0093334B"/>
    <w:rsid w:val="0093550F"/>
    <w:rsid w:val="00936B3C"/>
    <w:rsid w:val="00937A28"/>
    <w:rsid w:val="00942B1C"/>
    <w:rsid w:val="00946943"/>
    <w:rsid w:val="00950D45"/>
    <w:rsid w:val="00955049"/>
    <w:rsid w:val="00955DB2"/>
    <w:rsid w:val="00962901"/>
    <w:rsid w:val="00962A97"/>
    <w:rsid w:val="00963317"/>
    <w:rsid w:val="0096571F"/>
    <w:rsid w:val="0096698E"/>
    <w:rsid w:val="00967CF9"/>
    <w:rsid w:val="009714BC"/>
    <w:rsid w:val="00971B9B"/>
    <w:rsid w:val="0097260D"/>
    <w:rsid w:val="0097262E"/>
    <w:rsid w:val="00976631"/>
    <w:rsid w:val="00977272"/>
    <w:rsid w:val="00983175"/>
    <w:rsid w:val="00985819"/>
    <w:rsid w:val="00985C6B"/>
    <w:rsid w:val="009923F7"/>
    <w:rsid w:val="00992622"/>
    <w:rsid w:val="00993DDB"/>
    <w:rsid w:val="00994472"/>
    <w:rsid w:val="009956EE"/>
    <w:rsid w:val="0099728F"/>
    <w:rsid w:val="009A1274"/>
    <w:rsid w:val="009A26A0"/>
    <w:rsid w:val="009A6E46"/>
    <w:rsid w:val="009A7449"/>
    <w:rsid w:val="009B1BC4"/>
    <w:rsid w:val="009B3A9C"/>
    <w:rsid w:val="009B3B2A"/>
    <w:rsid w:val="009B41C5"/>
    <w:rsid w:val="009B6590"/>
    <w:rsid w:val="009B72FF"/>
    <w:rsid w:val="009C16FE"/>
    <w:rsid w:val="009C4AA7"/>
    <w:rsid w:val="009C6437"/>
    <w:rsid w:val="009C692D"/>
    <w:rsid w:val="009D28E4"/>
    <w:rsid w:val="009D5EDD"/>
    <w:rsid w:val="009E2359"/>
    <w:rsid w:val="009E41F9"/>
    <w:rsid w:val="009F1609"/>
    <w:rsid w:val="009F736F"/>
    <w:rsid w:val="009F74FB"/>
    <w:rsid w:val="00A02C96"/>
    <w:rsid w:val="00A0345C"/>
    <w:rsid w:val="00A04314"/>
    <w:rsid w:val="00A04AF3"/>
    <w:rsid w:val="00A05FE3"/>
    <w:rsid w:val="00A1117B"/>
    <w:rsid w:val="00A1278A"/>
    <w:rsid w:val="00A2203F"/>
    <w:rsid w:val="00A2316F"/>
    <w:rsid w:val="00A23FCA"/>
    <w:rsid w:val="00A27B5C"/>
    <w:rsid w:val="00A27E6A"/>
    <w:rsid w:val="00A32D06"/>
    <w:rsid w:val="00A340A1"/>
    <w:rsid w:val="00A34329"/>
    <w:rsid w:val="00A34728"/>
    <w:rsid w:val="00A34F38"/>
    <w:rsid w:val="00A3659F"/>
    <w:rsid w:val="00A3666A"/>
    <w:rsid w:val="00A40821"/>
    <w:rsid w:val="00A41925"/>
    <w:rsid w:val="00A43CB4"/>
    <w:rsid w:val="00A447DA"/>
    <w:rsid w:val="00A46848"/>
    <w:rsid w:val="00A47A06"/>
    <w:rsid w:val="00A518EB"/>
    <w:rsid w:val="00A57BF9"/>
    <w:rsid w:val="00A64B07"/>
    <w:rsid w:val="00A7483F"/>
    <w:rsid w:val="00A77D29"/>
    <w:rsid w:val="00A807A7"/>
    <w:rsid w:val="00A81513"/>
    <w:rsid w:val="00A826FB"/>
    <w:rsid w:val="00A830F0"/>
    <w:rsid w:val="00A8487E"/>
    <w:rsid w:val="00A85EE7"/>
    <w:rsid w:val="00A90F68"/>
    <w:rsid w:val="00A93090"/>
    <w:rsid w:val="00A948A6"/>
    <w:rsid w:val="00A95B61"/>
    <w:rsid w:val="00AA1B1D"/>
    <w:rsid w:val="00AA3A28"/>
    <w:rsid w:val="00AA58D9"/>
    <w:rsid w:val="00AA615A"/>
    <w:rsid w:val="00AA7736"/>
    <w:rsid w:val="00AB097A"/>
    <w:rsid w:val="00AB4FC1"/>
    <w:rsid w:val="00AB580C"/>
    <w:rsid w:val="00AB686B"/>
    <w:rsid w:val="00AC330A"/>
    <w:rsid w:val="00AD1B8B"/>
    <w:rsid w:val="00AD1CB2"/>
    <w:rsid w:val="00AD5E12"/>
    <w:rsid w:val="00AD6586"/>
    <w:rsid w:val="00AE07CA"/>
    <w:rsid w:val="00AE1E77"/>
    <w:rsid w:val="00AE3E31"/>
    <w:rsid w:val="00AE50C8"/>
    <w:rsid w:val="00AE62B0"/>
    <w:rsid w:val="00AE65EC"/>
    <w:rsid w:val="00AE6FAD"/>
    <w:rsid w:val="00AF104D"/>
    <w:rsid w:val="00AF5857"/>
    <w:rsid w:val="00AF653B"/>
    <w:rsid w:val="00AF6EA1"/>
    <w:rsid w:val="00B029D5"/>
    <w:rsid w:val="00B11933"/>
    <w:rsid w:val="00B11E6E"/>
    <w:rsid w:val="00B12405"/>
    <w:rsid w:val="00B125FE"/>
    <w:rsid w:val="00B134CC"/>
    <w:rsid w:val="00B155DA"/>
    <w:rsid w:val="00B17D91"/>
    <w:rsid w:val="00B201B3"/>
    <w:rsid w:val="00B23BA3"/>
    <w:rsid w:val="00B23FBC"/>
    <w:rsid w:val="00B24C67"/>
    <w:rsid w:val="00B30C58"/>
    <w:rsid w:val="00B37B2F"/>
    <w:rsid w:val="00B41C36"/>
    <w:rsid w:val="00B462D3"/>
    <w:rsid w:val="00B471AF"/>
    <w:rsid w:val="00B509E8"/>
    <w:rsid w:val="00B51CE5"/>
    <w:rsid w:val="00B5286E"/>
    <w:rsid w:val="00B52C9E"/>
    <w:rsid w:val="00B53379"/>
    <w:rsid w:val="00B6053B"/>
    <w:rsid w:val="00B60B7C"/>
    <w:rsid w:val="00B60CCC"/>
    <w:rsid w:val="00B615C1"/>
    <w:rsid w:val="00B634A1"/>
    <w:rsid w:val="00B65C6C"/>
    <w:rsid w:val="00B67B95"/>
    <w:rsid w:val="00B67DFD"/>
    <w:rsid w:val="00B80218"/>
    <w:rsid w:val="00B81B6D"/>
    <w:rsid w:val="00B81C95"/>
    <w:rsid w:val="00B81DDF"/>
    <w:rsid w:val="00B836E5"/>
    <w:rsid w:val="00B84B2F"/>
    <w:rsid w:val="00B857F1"/>
    <w:rsid w:val="00B91ECF"/>
    <w:rsid w:val="00B95795"/>
    <w:rsid w:val="00B96FAD"/>
    <w:rsid w:val="00B976A8"/>
    <w:rsid w:val="00BA03CA"/>
    <w:rsid w:val="00BA5822"/>
    <w:rsid w:val="00BA64B0"/>
    <w:rsid w:val="00BB0600"/>
    <w:rsid w:val="00BB081D"/>
    <w:rsid w:val="00BB0CD4"/>
    <w:rsid w:val="00BB32AA"/>
    <w:rsid w:val="00BB7C0B"/>
    <w:rsid w:val="00BC0EF0"/>
    <w:rsid w:val="00BC196A"/>
    <w:rsid w:val="00BC2F2E"/>
    <w:rsid w:val="00BC55A8"/>
    <w:rsid w:val="00BC6D0C"/>
    <w:rsid w:val="00BC770F"/>
    <w:rsid w:val="00BD147B"/>
    <w:rsid w:val="00BD1678"/>
    <w:rsid w:val="00BD216A"/>
    <w:rsid w:val="00BD383A"/>
    <w:rsid w:val="00BD4FC1"/>
    <w:rsid w:val="00BD76B1"/>
    <w:rsid w:val="00BE4F92"/>
    <w:rsid w:val="00BE5CAF"/>
    <w:rsid w:val="00BF07E2"/>
    <w:rsid w:val="00BF1320"/>
    <w:rsid w:val="00BF6396"/>
    <w:rsid w:val="00BF710C"/>
    <w:rsid w:val="00C02D9B"/>
    <w:rsid w:val="00C0354D"/>
    <w:rsid w:val="00C046E7"/>
    <w:rsid w:val="00C074EC"/>
    <w:rsid w:val="00C11143"/>
    <w:rsid w:val="00C11A61"/>
    <w:rsid w:val="00C152CD"/>
    <w:rsid w:val="00C16A3A"/>
    <w:rsid w:val="00C171AD"/>
    <w:rsid w:val="00C221EF"/>
    <w:rsid w:val="00C23405"/>
    <w:rsid w:val="00C25033"/>
    <w:rsid w:val="00C2507B"/>
    <w:rsid w:val="00C2792E"/>
    <w:rsid w:val="00C323A0"/>
    <w:rsid w:val="00C33D2C"/>
    <w:rsid w:val="00C36B42"/>
    <w:rsid w:val="00C41701"/>
    <w:rsid w:val="00C42B3B"/>
    <w:rsid w:val="00C43325"/>
    <w:rsid w:val="00C45FA3"/>
    <w:rsid w:val="00C471BD"/>
    <w:rsid w:val="00C519C9"/>
    <w:rsid w:val="00C5297B"/>
    <w:rsid w:val="00C54679"/>
    <w:rsid w:val="00C62578"/>
    <w:rsid w:val="00C63D30"/>
    <w:rsid w:val="00C63E45"/>
    <w:rsid w:val="00C70405"/>
    <w:rsid w:val="00C73176"/>
    <w:rsid w:val="00C77E81"/>
    <w:rsid w:val="00C819B7"/>
    <w:rsid w:val="00C86407"/>
    <w:rsid w:val="00C87FE3"/>
    <w:rsid w:val="00C91384"/>
    <w:rsid w:val="00C9386D"/>
    <w:rsid w:val="00C93AE8"/>
    <w:rsid w:val="00C94CED"/>
    <w:rsid w:val="00C953A2"/>
    <w:rsid w:val="00C958A7"/>
    <w:rsid w:val="00CA1572"/>
    <w:rsid w:val="00CA1794"/>
    <w:rsid w:val="00CB1434"/>
    <w:rsid w:val="00CB1D97"/>
    <w:rsid w:val="00CB45E6"/>
    <w:rsid w:val="00CB5152"/>
    <w:rsid w:val="00CC0C69"/>
    <w:rsid w:val="00CC48D5"/>
    <w:rsid w:val="00CC741B"/>
    <w:rsid w:val="00CC7C5A"/>
    <w:rsid w:val="00CD1D39"/>
    <w:rsid w:val="00CD1F20"/>
    <w:rsid w:val="00CD43FA"/>
    <w:rsid w:val="00CD726B"/>
    <w:rsid w:val="00CD7DEA"/>
    <w:rsid w:val="00CE07E7"/>
    <w:rsid w:val="00CE2643"/>
    <w:rsid w:val="00CE6199"/>
    <w:rsid w:val="00CF04E7"/>
    <w:rsid w:val="00CF04F0"/>
    <w:rsid w:val="00CF41EA"/>
    <w:rsid w:val="00D14E5C"/>
    <w:rsid w:val="00D1551E"/>
    <w:rsid w:val="00D167C8"/>
    <w:rsid w:val="00D17427"/>
    <w:rsid w:val="00D17C23"/>
    <w:rsid w:val="00D25C15"/>
    <w:rsid w:val="00D25DA8"/>
    <w:rsid w:val="00D3314E"/>
    <w:rsid w:val="00D333DF"/>
    <w:rsid w:val="00D336FC"/>
    <w:rsid w:val="00D34AA3"/>
    <w:rsid w:val="00D37FD2"/>
    <w:rsid w:val="00D408D5"/>
    <w:rsid w:val="00D453C2"/>
    <w:rsid w:val="00D46A2A"/>
    <w:rsid w:val="00D471B9"/>
    <w:rsid w:val="00D47745"/>
    <w:rsid w:val="00D52754"/>
    <w:rsid w:val="00D53DED"/>
    <w:rsid w:val="00D5449C"/>
    <w:rsid w:val="00D5495B"/>
    <w:rsid w:val="00D559AA"/>
    <w:rsid w:val="00D55B07"/>
    <w:rsid w:val="00D5625D"/>
    <w:rsid w:val="00D57FDE"/>
    <w:rsid w:val="00D6262A"/>
    <w:rsid w:val="00D63CCC"/>
    <w:rsid w:val="00D70228"/>
    <w:rsid w:val="00D81664"/>
    <w:rsid w:val="00D81B57"/>
    <w:rsid w:val="00D83445"/>
    <w:rsid w:val="00D83EAA"/>
    <w:rsid w:val="00D843E7"/>
    <w:rsid w:val="00D8460F"/>
    <w:rsid w:val="00D8595C"/>
    <w:rsid w:val="00D87F23"/>
    <w:rsid w:val="00D90442"/>
    <w:rsid w:val="00D907E1"/>
    <w:rsid w:val="00D943AD"/>
    <w:rsid w:val="00D97E87"/>
    <w:rsid w:val="00DA0E59"/>
    <w:rsid w:val="00DA50FC"/>
    <w:rsid w:val="00DB0643"/>
    <w:rsid w:val="00DB0C62"/>
    <w:rsid w:val="00DB6DBA"/>
    <w:rsid w:val="00DB777D"/>
    <w:rsid w:val="00DC592A"/>
    <w:rsid w:val="00DD35CE"/>
    <w:rsid w:val="00DD474E"/>
    <w:rsid w:val="00DF183D"/>
    <w:rsid w:val="00DF390B"/>
    <w:rsid w:val="00DF66E5"/>
    <w:rsid w:val="00E0089D"/>
    <w:rsid w:val="00E01C34"/>
    <w:rsid w:val="00E05221"/>
    <w:rsid w:val="00E0777C"/>
    <w:rsid w:val="00E12899"/>
    <w:rsid w:val="00E17526"/>
    <w:rsid w:val="00E20095"/>
    <w:rsid w:val="00E22056"/>
    <w:rsid w:val="00E226B8"/>
    <w:rsid w:val="00E2285E"/>
    <w:rsid w:val="00E23CD8"/>
    <w:rsid w:val="00E26927"/>
    <w:rsid w:val="00E32101"/>
    <w:rsid w:val="00E35ECB"/>
    <w:rsid w:val="00E408C5"/>
    <w:rsid w:val="00E4351F"/>
    <w:rsid w:val="00E438EA"/>
    <w:rsid w:val="00E453B3"/>
    <w:rsid w:val="00E453FC"/>
    <w:rsid w:val="00E5165F"/>
    <w:rsid w:val="00E547BC"/>
    <w:rsid w:val="00E54992"/>
    <w:rsid w:val="00E54A5E"/>
    <w:rsid w:val="00E5600E"/>
    <w:rsid w:val="00E568F3"/>
    <w:rsid w:val="00E612DB"/>
    <w:rsid w:val="00E615DD"/>
    <w:rsid w:val="00E63923"/>
    <w:rsid w:val="00E6524A"/>
    <w:rsid w:val="00E661CF"/>
    <w:rsid w:val="00E70B25"/>
    <w:rsid w:val="00E8079B"/>
    <w:rsid w:val="00E81C7C"/>
    <w:rsid w:val="00E91622"/>
    <w:rsid w:val="00E917CF"/>
    <w:rsid w:val="00E92B31"/>
    <w:rsid w:val="00EA06E5"/>
    <w:rsid w:val="00EA318A"/>
    <w:rsid w:val="00EA78A3"/>
    <w:rsid w:val="00EB3CD1"/>
    <w:rsid w:val="00EB5282"/>
    <w:rsid w:val="00EB6533"/>
    <w:rsid w:val="00EB65E6"/>
    <w:rsid w:val="00EC2604"/>
    <w:rsid w:val="00EC4204"/>
    <w:rsid w:val="00EC684E"/>
    <w:rsid w:val="00EC6B17"/>
    <w:rsid w:val="00EC70BE"/>
    <w:rsid w:val="00ED2775"/>
    <w:rsid w:val="00ED2F54"/>
    <w:rsid w:val="00ED43CB"/>
    <w:rsid w:val="00ED564C"/>
    <w:rsid w:val="00EE18AF"/>
    <w:rsid w:val="00EE7732"/>
    <w:rsid w:val="00EF004F"/>
    <w:rsid w:val="00EF117E"/>
    <w:rsid w:val="00EF129B"/>
    <w:rsid w:val="00EF1B0E"/>
    <w:rsid w:val="00EF1FFA"/>
    <w:rsid w:val="00EF42C2"/>
    <w:rsid w:val="00EF437E"/>
    <w:rsid w:val="00EF5A55"/>
    <w:rsid w:val="00EF6867"/>
    <w:rsid w:val="00EF720B"/>
    <w:rsid w:val="00F0360D"/>
    <w:rsid w:val="00F03E81"/>
    <w:rsid w:val="00F04399"/>
    <w:rsid w:val="00F0788E"/>
    <w:rsid w:val="00F13AA8"/>
    <w:rsid w:val="00F16F63"/>
    <w:rsid w:val="00F242DB"/>
    <w:rsid w:val="00F26D40"/>
    <w:rsid w:val="00F26EDC"/>
    <w:rsid w:val="00F30178"/>
    <w:rsid w:val="00F3233F"/>
    <w:rsid w:val="00F33B66"/>
    <w:rsid w:val="00F35D53"/>
    <w:rsid w:val="00F3669B"/>
    <w:rsid w:val="00F372F1"/>
    <w:rsid w:val="00F40822"/>
    <w:rsid w:val="00F45403"/>
    <w:rsid w:val="00F4654E"/>
    <w:rsid w:val="00F52216"/>
    <w:rsid w:val="00F5252B"/>
    <w:rsid w:val="00F52C8E"/>
    <w:rsid w:val="00F54A19"/>
    <w:rsid w:val="00F5797A"/>
    <w:rsid w:val="00F61007"/>
    <w:rsid w:val="00F628F7"/>
    <w:rsid w:val="00F6511C"/>
    <w:rsid w:val="00F6566C"/>
    <w:rsid w:val="00F65784"/>
    <w:rsid w:val="00F66207"/>
    <w:rsid w:val="00F66595"/>
    <w:rsid w:val="00F67220"/>
    <w:rsid w:val="00F72B23"/>
    <w:rsid w:val="00F76DDC"/>
    <w:rsid w:val="00F770F0"/>
    <w:rsid w:val="00F827A3"/>
    <w:rsid w:val="00F90A18"/>
    <w:rsid w:val="00F90EF0"/>
    <w:rsid w:val="00F91E53"/>
    <w:rsid w:val="00F92EB5"/>
    <w:rsid w:val="00F93BCB"/>
    <w:rsid w:val="00F9709B"/>
    <w:rsid w:val="00FA00B9"/>
    <w:rsid w:val="00FA31F8"/>
    <w:rsid w:val="00FA4938"/>
    <w:rsid w:val="00FB1FEE"/>
    <w:rsid w:val="00FC0358"/>
    <w:rsid w:val="00FC1669"/>
    <w:rsid w:val="00FC29B3"/>
    <w:rsid w:val="00FC4ED3"/>
    <w:rsid w:val="00FC7399"/>
    <w:rsid w:val="00FC7F36"/>
    <w:rsid w:val="00FD4110"/>
    <w:rsid w:val="00FD6DB1"/>
    <w:rsid w:val="00FD6ECC"/>
    <w:rsid w:val="00FE24BB"/>
    <w:rsid w:val="00FE32A6"/>
    <w:rsid w:val="00FE6880"/>
    <w:rsid w:val="00FF302B"/>
    <w:rsid w:val="00FF3F09"/>
    <w:rsid w:val="00FF6E2A"/>
    <w:rsid w:val="00FF710D"/>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C58"/>
    <w:rPr>
      <w:rFonts w:ascii="Times New Roman" w:eastAsia="Times New Roman" w:hAnsi="Times New Roman"/>
      <w:sz w:val="24"/>
      <w:szCs w:val="24"/>
      <w:lang w:val="es-MX" w:eastAsia="es-MX"/>
    </w:rPr>
  </w:style>
  <w:style w:type="paragraph" w:styleId="Ttulo2">
    <w:name w:val="heading 2"/>
    <w:basedOn w:val="Normal"/>
    <w:next w:val="Normal"/>
    <w:link w:val="Ttulo2Car"/>
    <w:uiPriority w:val="9"/>
    <w:unhideWhenUsed/>
    <w:qFormat/>
    <w:rsid w:val="00D333DF"/>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6C7112"/>
    <w:pPr>
      <w:jc w:val="both"/>
    </w:pPr>
    <w:rPr>
      <w:rFonts w:ascii="Arial" w:hAnsi="Arial"/>
      <w:snapToGrid w:val="0"/>
      <w:lang w:val="es-ES"/>
    </w:rPr>
  </w:style>
  <w:style w:type="paragraph" w:styleId="Textoindependiente2">
    <w:name w:val="Body Text 2"/>
    <w:basedOn w:val="Normal"/>
    <w:link w:val="Textoindependiente2Car"/>
    <w:uiPriority w:val="99"/>
    <w:unhideWhenUsed/>
    <w:rsid w:val="006C7112"/>
    <w:pPr>
      <w:spacing w:after="120" w:line="480" w:lineRule="auto"/>
    </w:pPr>
  </w:style>
  <w:style w:type="character" w:customStyle="1" w:styleId="Textoindependiente2Car">
    <w:name w:val="Texto independiente 2 Car"/>
    <w:link w:val="Textoindependiente2"/>
    <w:uiPriority w:val="99"/>
    <w:rsid w:val="006C7112"/>
    <w:rPr>
      <w:rFonts w:ascii="Times New Roman" w:eastAsia="Times New Roman" w:hAnsi="Times New Roman" w:cs="Times New Roman"/>
      <w:sz w:val="24"/>
      <w:szCs w:val="24"/>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6C7112"/>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link w:val="Textonotapie"/>
    <w:rsid w:val="006C7112"/>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6C7112"/>
    <w:rPr>
      <w:vertAlign w:val="superscript"/>
    </w:rPr>
  </w:style>
  <w:style w:type="paragraph" w:customStyle="1" w:styleId="WW-Sangra3detindependiente">
    <w:name w:val="WW-Sangría 3 de t. independiente"/>
    <w:basedOn w:val="Normal"/>
    <w:rsid w:val="006C7112"/>
    <w:pPr>
      <w:widowControl w:val="0"/>
      <w:suppressAutoHyphens/>
      <w:ind w:left="426" w:firstLine="1"/>
      <w:jc w:val="both"/>
    </w:pPr>
    <w:rPr>
      <w:szCs w:val="20"/>
      <w:lang w:val="es-ES_tradnl"/>
    </w:rPr>
  </w:style>
  <w:style w:type="paragraph" w:styleId="Prrafodelista">
    <w:name w:val="List Paragraph"/>
    <w:aliases w:val="Titulo de Fígura,TITULO A,TITULO,Imagen 01.,Titulo parrafo,Punto,Cuadro 2-1,Conclusiones,Párrafo de lista4,Párrafo de lista21,Iz - Párrafo de lista,Sivsa Parrafo,paul2,SCap1,List Paragraph,Fundamentacion,Bulleted List,Párrafo de lista1"/>
    <w:basedOn w:val="Normal"/>
    <w:link w:val="PrrafodelistaCar"/>
    <w:uiPriority w:val="34"/>
    <w:qFormat/>
    <w:rsid w:val="00A2316F"/>
    <w:pPr>
      <w:ind w:left="708"/>
    </w:pPr>
    <w:rPr>
      <w:rFonts w:eastAsia="MS Mincho"/>
      <w:sz w:val="20"/>
      <w:szCs w:val="20"/>
      <w:lang w:val="es-ES"/>
    </w:rPr>
  </w:style>
  <w:style w:type="character" w:customStyle="1" w:styleId="PrrafodelistaCar">
    <w:name w:val="Párrafo de lista Car"/>
    <w:aliases w:val="Titulo de Fígura Car,TITULO A Car,TITULO Car,Imagen 01. Car,Titulo parrafo Car,Punto Car,Cuadro 2-1 Car,Conclusiones Car,Párrafo de lista4 Car,Párrafo de lista21 Car,Iz - Párrafo de lista Car,Sivsa Parrafo Car,paul2 Car,SCap1 Car"/>
    <w:link w:val="Prrafodelista"/>
    <w:uiPriority w:val="34"/>
    <w:locked/>
    <w:rsid w:val="00A2316F"/>
    <w:rPr>
      <w:rFonts w:ascii="Times New Roman" w:eastAsia="MS Mincho" w:hAnsi="Times New Roman"/>
      <w:lang w:val="es-ES" w:eastAsia="es-MX"/>
    </w:rPr>
  </w:style>
  <w:style w:type="character" w:styleId="Hipervnculo">
    <w:name w:val="Hyperlink"/>
    <w:uiPriority w:val="99"/>
    <w:unhideWhenUsed/>
    <w:rsid w:val="00A2316F"/>
    <w:rPr>
      <w:color w:val="0000FF"/>
      <w:u w:val="single"/>
    </w:rPr>
  </w:style>
  <w:style w:type="paragraph" w:customStyle="1" w:styleId="Default">
    <w:name w:val="Default"/>
    <w:rsid w:val="00EC6B17"/>
    <w:pPr>
      <w:autoSpaceDE w:val="0"/>
      <w:autoSpaceDN w:val="0"/>
      <w:adjustRightInd w:val="0"/>
    </w:pPr>
    <w:rPr>
      <w:rFonts w:ascii="Arial" w:hAnsi="Arial" w:cs="Arial"/>
      <w:color w:val="000000"/>
      <w:sz w:val="24"/>
      <w:szCs w:val="24"/>
      <w:lang w:val="es-ES" w:eastAsia="es-ES"/>
    </w:rPr>
  </w:style>
  <w:style w:type="paragraph" w:styleId="Sinespaciado">
    <w:name w:val="No Spacing"/>
    <w:link w:val="SinespaciadoCar"/>
    <w:uiPriority w:val="1"/>
    <w:qFormat/>
    <w:rsid w:val="002E1734"/>
    <w:rPr>
      <w:sz w:val="22"/>
      <w:szCs w:val="22"/>
      <w:lang w:eastAsia="en-US"/>
    </w:rPr>
  </w:style>
  <w:style w:type="character" w:customStyle="1" w:styleId="Ttulo2Car">
    <w:name w:val="Título 2 Car"/>
    <w:link w:val="Ttulo2"/>
    <w:uiPriority w:val="9"/>
    <w:rsid w:val="00D333DF"/>
    <w:rPr>
      <w:rFonts w:ascii="Cambria" w:eastAsia="Times New Roman" w:hAnsi="Cambria" w:cs="Times New Roman"/>
      <w:b/>
      <w:bCs/>
      <w:i/>
      <w:iCs/>
      <w:sz w:val="28"/>
      <w:szCs w:val="28"/>
      <w:lang w:val="es-MX" w:eastAsia="es-MX"/>
    </w:rPr>
  </w:style>
  <w:style w:type="paragraph" w:styleId="Encabezado">
    <w:name w:val="header"/>
    <w:basedOn w:val="Normal"/>
    <w:link w:val="EncabezadoCar"/>
    <w:uiPriority w:val="99"/>
    <w:unhideWhenUsed/>
    <w:rsid w:val="00776E55"/>
    <w:pPr>
      <w:tabs>
        <w:tab w:val="center" w:pos="4419"/>
        <w:tab w:val="right" w:pos="8838"/>
      </w:tabs>
    </w:pPr>
  </w:style>
  <w:style w:type="character" w:customStyle="1" w:styleId="EncabezadoCar">
    <w:name w:val="Encabezado Car"/>
    <w:link w:val="Encabezado"/>
    <w:uiPriority w:val="99"/>
    <w:rsid w:val="00776E55"/>
    <w:rPr>
      <w:rFonts w:ascii="Times New Roman" w:eastAsia="Times New Roman" w:hAnsi="Times New Roman"/>
      <w:sz w:val="24"/>
      <w:szCs w:val="24"/>
      <w:lang w:val="es-MX" w:eastAsia="es-MX"/>
    </w:rPr>
  </w:style>
  <w:style w:type="paragraph" w:styleId="Piedepgina">
    <w:name w:val="footer"/>
    <w:basedOn w:val="Normal"/>
    <w:link w:val="PiedepginaCar"/>
    <w:uiPriority w:val="99"/>
    <w:semiHidden/>
    <w:unhideWhenUsed/>
    <w:rsid w:val="00776E55"/>
    <w:pPr>
      <w:tabs>
        <w:tab w:val="center" w:pos="4419"/>
        <w:tab w:val="right" w:pos="8838"/>
      </w:tabs>
    </w:pPr>
  </w:style>
  <w:style w:type="character" w:customStyle="1" w:styleId="PiedepginaCar">
    <w:name w:val="Pie de página Car"/>
    <w:link w:val="Piedepgina"/>
    <w:uiPriority w:val="99"/>
    <w:semiHidden/>
    <w:rsid w:val="00776E55"/>
    <w:rPr>
      <w:rFonts w:ascii="Times New Roman" w:eastAsia="Times New Roman" w:hAnsi="Times New Roman"/>
      <w:sz w:val="24"/>
      <w:szCs w:val="24"/>
      <w:lang w:val="es-MX" w:eastAsia="es-MX"/>
    </w:rPr>
  </w:style>
  <w:style w:type="paragraph" w:styleId="Textoindependiente">
    <w:name w:val="Body Text"/>
    <w:basedOn w:val="Normal"/>
    <w:link w:val="TextoindependienteCar"/>
    <w:uiPriority w:val="99"/>
    <w:semiHidden/>
    <w:unhideWhenUsed/>
    <w:rsid w:val="00C02D9B"/>
    <w:pPr>
      <w:spacing w:after="120"/>
    </w:pPr>
  </w:style>
  <w:style w:type="character" w:customStyle="1" w:styleId="TextoindependienteCar">
    <w:name w:val="Texto independiente Car"/>
    <w:link w:val="Textoindependiente"/>
    <w:uiPriority w:val="99"/>
    <w:semiHidden/>
    <w:rsid w:val="00C02D9B"/>
    <w:rPr>
      <w:rFonts w:ascii="Times New Roman" w:eastAsia="Times New Roman" w:hAnsi="Times New Roman"/>
      <w:sz w:val="24"/>
      <w:szCs w:val="24"/>
      <w:lang w:val="es-MX" w:eastAsia="es-MX"/>
    </w:rPr>
  </w:style>
  <w:style w:type="paragraph" w:customStyle="1" w:styleId="Normaltimes">
    <w:name w:val="Normal+times"/>
    <w:basedOn w:val="Normal"/>
    <w:link w:val="NormaltimesCar"/>
    <w:rsid w:val="00A93090"/>
    <w:rPr>
      <w:szCs w:val="20"/>
    </w:rPr>
  </w:style>
  <w:style w:type="character" w:customStyle="1" w:styleId="NormaltimesCar">
    <w:name w:val="Normal+times Car"/>
    <w:link w:val="Normaltimes"/>
    <w:rsid w:val="00A93090"/>
    <w:rPr>
      <w:rFonts w:ascii="Times New Roman" w:eastAsia="Times New Roman" w:hAnsi="Times New Roman"/>
      <w:sz w:val="24"/>
      <w:lang w:val="es-MX" w:eastAsia="es-MX"/>
    </w:rPr>
  </w:style>
  <w:style w:type="character" w:customStyle="1" w:styleId="SinespaciadoCar">
    <w:name w:val="Sin espaciado Car"/>
    <w:link w:val="Sinespaciado"/>
    <w:uiPriority w:val="1"/>
    <w:rsid w:val="00967CF9"/>
    <w:rPr>
      <w:sz w:val="22"/>
      <w:szCs w:val="22"/>
      <w:lang w:val="es-PE" w:eastAsia="en-US" w:bidi="ar-SA"/>
    </w:rPr>
  </w:style>
  <w:style w:type="paragraph" w:styleId="Textodeglobo">
    <w:name w:val="Balloon Text"/>
    <w:basedOn w:val="Normal"/>
    <w:link w:val="TextodegloboCar"/>
    <w:uiPriority w:val="99"/>
    <w:semiHidden/>
    <w:unhideWhenUsed/>
    <w:rsid w:val="007A48A4"/>
    <w:rPr>
      <w:rFonts w:ascii="Tahoma" w:hAnsi="Tahoma" w:cs="Tahoma"/>
      <w:sz w:val="16"/>
      <w:szCs w:val="16"/>
    </w:rPr>
  </w:style>
  <w:style w:type="character" w:customStyle="1" w:styleId="TextodegloboCar">
    <w:name w:val="Texto de globo Car"/>
    <w:basedOn w:val="Fuentedeprrafopredeter"/>
    <w:link w:val="Textodeglobo"/>
    <w:uiPriority w:val="99"/>
    <w:semiHidden/>
    <w:rsid w:val="007A48A4"/>
    <w:rPr>
      <w:rFonts w:ascii="Tahoma" w:eastAsia="Times New Roman" w:hAnsi="Tahoma" w:cs="Tahoma"/>
      <w:sz w:val="16"/>
      <w:szCs w:val="16"/>
      <w:lang w:val="es-MX" w:eastAsia="es-MX"/>
    </w:rPr>
  </w:style>
</w:styles>
</file>

<file path=word/webSettings.xml><?xml version="1.0" encoding="utf-8"?>
<w:webSettings xmlns:r="http://schemas.openxmlformats.org/officeDocument/2006/relationships" xmlns:w="http://schemas.openxmlformats.org/wordprocessingml/2006/main">
  <w:divs>
    <w:div w:id="824128249">
      <w:bodyDiv w:val="1"/>
      <w:marLeft w:val="0"/>
      <w:marRight w:val="0"/>
      <w:marTop w:val="0"/>
      <w:marBottom w:val="0"/>
      <w:divBdr>
        <w:top w:val="none" w:sz="0" w:space="0" w:color="auto"/>
        <w:left w:val="none" w:sz="0" w:space="0" w:color="auto"/>
        <w:bottom w:val="none" w:sz="0" w:space="0" w:color="auto"/>
        <w:right w:val="none" w:sz="0" w:space="0" w:color="auto"/>
      </w:divBdr>
    </w:div>
    <w:div w:id="878124683">
      <w:bodyDiv w:val="1"/>
      <w:marLeft w:val="0"/>
      <w:marRight w:val="0"/>
      <w:marTop w:val="0"/>
      <w:marBottom w:val="0"/>
      <w:divBdr>
        <w:top w:val="none" w:sz="0" w:space="0" w:color="auto"/>
        <w:left w:val="none" w:sz="0" w:space="0" w:color="auto"/>
        <w:bottom w:val="none" w:sz="0" w:space="0" w:color="auto"/>
        <w:right w:val="none" w:sz="0" w:space="0" w:color="auto"/>
      </w:divBdr>
    </w:div>
    <w:div w:id="1007949648">
      <w:bodyDiv w:val="1"/>
      <w:marLeft w:val="0"/>
      <w:marRight w:val="0"/>
      <w:marTop w:val="0"/>
      <w:marBottom w:val="0"/>
      <w:divBdr>
        <w:top w:val="none" w:sz="0" w:space="0" w:color="auto"/>
        <w:left w:val="none" w:sz="0" w:space="0" w:color="auto"/>
        <w:bottom w:val="none" w:sz="0" w:space="0" w:color="auto"/>
        <w:right w:val="none" w:sz="0" w:space="0" w:color="auto"/>
      </w:divBdr>
    </w:div>
    <w:div w:id="1029450096">
      <w:bodyDiv w:val="1"/>
      <w:marLeft w:val="0"/>
      <w:marRight w:val="0"/>
      <w:marTop w:val="0"/>
      <w:marBottom w:val="0"/>
      <w:divBdr>
        <w:top w:val="none" w:sz="0" w:space="0" w:color="auto"/>
        <w:left w:val="none" w:sz="0" w:space="0" w:color="auto"/>
        <w:bottom w:val="none" w:sz="0" w:space="0" w:color="auto"/>
        <w:right w:val="none" w:sz="0" w:space="0" w:color="auto"/>
      </w:divBdr>
    </w:div>
    <w:div w:id="1108161357">
      <w:bodyDiv w:val="1"/>
      <w:marLeft w:val="0"/>
      <w:marRight w:val="0"/>
      <w:marTop w:val="0"/>
      <w:marBottom w:val="0"/>
      <w:divBdr>
        <w:top w:val="none" w:sz="0" w:space="0" w:color="auto"/>
        <w:left w:val="none" w:sz="0" w:space="0" w:color="auto"/>
        <w:bottom w:val="none" w:sz="0" w:space="0" w:color="auto"/>
        <w:right w:val="none" w:sz="0" w:space="0" w:color="auto"/>
      </w:divBdr>
    </w:div>
    <w:div w:id="1227955031">
      <w:bodyDiv w:val="1"/>
      <w:marLeft w:val="0"/>
      <w:marRight w:val="0"/>
      <w:marTop w:val="0"/>
      <w:marBottom w:val="0"/>
      <w:divBdr>
        <w:top w:val="none" w:sz="0" w:space="0" w:color="auto"/>
        <w:left w:val="none" w:sz="0" w:space="0" w:color="auto"/>
        <w:bottom w:val="none" w:sz="0" w:space="0" w:color="auto"/>
        <w:right w:val="none" w:sz="0" w:space="0" w:color="auto"/>
      </w:divBdr>
    </w:div>
    <w:div w:id="1707172915">
      <w:bodyDiv w:val="1"/>
      <w:marLeft w:val="0"/>
      <w:marRight w:val="0"/>
      <w:marTop w:val="0"/>
      <w:marBottom w:val="0"/>
      <w:divBdr>
        <w:top w:val="none" w:sz="0" w:space="0" w:color="auto"/>
        <w:left w:val="none" w:sz="0" w:space="0" w:color="auto"/>
        <w:bottom w:val="none" w:sz="0" w:space="0" w:color="auto"/>
        <w:right w:val="none" w:sz="0" w:space="0" w:color="auto"/>
      </w:divBdr>
    </w:div>
    <w:div w:id="1732121222">
      <w:bodyDiv w:val="1"/>
      <w:marLeft w:val="0"/>
      <w:marRight w:val="0"/>
      <w:marTop w:val="0"/>
      <w:marBottom w:val="0"/>
      <w:divBdr>
        <w:top w:val="none" w:sz="0" w:space="0" w:color="auto"/>
        <w:left w:val="none" w:sz="0" w:space="0" w:color="auto"/>
        <w:bottom w:val="none" w:sz="0" w:space="0" w:color="auto"/>
        <w:right w:val="none" w:sz="0" w:space="0" w:color="auto"/>
      </w:divBdr>
    </w:div>
    <w:div w:id="182847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AC975-1DF3-4909-9EF0-BE111A32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12</Pages>
  <Words>3739</Words>
  <Characters>20719</Characters>
  <Application>Microsoft Office Word</Application>
  <DocSecurity>0</DocSecurity>
  <Lines>470</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24356</CharactersWithSpaces>
  <SharedDoc>false</SharedDoc>
  <HLinks>
    <vt:vector size="12" baseType="variant">
      <vt:variant>
        <vt:i4>2162787</vt:i4>
      </vt:variant>
      <vt:variant>
        <vt:i4>3</vt:i4>
      </vt:variant>
      <vt:variant>
        <vt:i4>0</vt:i4>
      </vt:variant>
      <vt:variant>
        <vt:i4>5</vt:i4>
      </vt:variant>
      <vt:variant>
        <vt:lpwstr>http://portal.osce.gob.pe/osce/node/282</vt:lpwstr>
      </vt:variant>
      <vt:variant>
        <vt:lpwstr/>
      </vt:variant>
      <vt:variant>
        <vt:i4>2949171</vt:i4>
      </vt:variant>
      <vt:variant>
        <vt:i4>0</vt:i4>
      </vt:variant>
      <vt:variant>
        <vt:i4>0</vt:i4>
      </vt:variant>
      <vt:variant>
        <vt:i4>5</vt:i4>
      </vt:variant>
      <vt:variant>
        <vt:lpwstr>http://www.osce.gob.pe/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 Liliana Lizarraga Luy</dc:creator>
  <cp:lastModifiedBy>juscamayta</cp:lastModifiedBy>
  <cp:revision>9</cp:revision>
  <cp:lastPrinted>2016-02-12T23:07:00Z</cp:lastPrinted>
  <dcterms:created xsi:type="dcterms:W3CDTF">2016-02-11T23:05:00Z</dcterms:created>
  <dcterms:modified xsi:type="dcterms:W3CDTF">2016-02-12T23:32:00Z</dcterms:modified>
</cp:coreProperties>
</file>