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4DCA" w14:textId="77777777" w:rsidR="00BC2788" w:rsidRDefault="00BC2788" w:rsidP="00CC6EAB">
      <w:pPr>
        <w:pStyle w:val="Ttulo1"/>
        <w:spacing w:before="78"/>
        <w:ind w:left="0" w:right="52"/>
        <w:rPr>
          <w:bCs w:val="0"/>
          <w:sz w:val="23"/>
          <w:szCs w:val="23"/>
          <w:lang w:val="es-BO"/>
        </w:rPr>
      </w:pPr>
    </w:p>
    <w:p w14:paraId="14414B53" w14:textId="663026D9" w:rsidR="00CC6EAB" w:rsidRPr="00006011" w:rsidRDefault="00CC6EAB" w:rsidP="00CC6EAB">
      <w:pPr>
        <w:pStyle w:val="Ttulo1"/>
        <w:spacing w:before="78"/>
        <w:ind w:left="0" w:right="52"/>
        <w:rPr>
          <w:bCs w:val="0"/>
          <w:sz w:val="23"/>
          <w:szCs w:val="23"/>
          <w:lang w:val="es-BO"/>
        </w:rPr>
      </w:pPr>
      <w:r w:rsidRPr="00006011">
        <w:rPr>
          <w:bCs w:val="0"/>
          <w:sz w:val="23"/>
          <w:szCs w:val="23"/>
          <w:lang w:val="es-BO"/>
        </w:rPr>
        <w:t>ANUNCIO ESPECÍFICO DE ADQUISICIONES</w:t>
      </w:r>
    </w:p>
    <w:p w14:paraId="14310697" w14:textId="77777777" w:rsidR="00006011" w:rsidRPr="00006011" w:rsidRDefault="00006011" w:rsidP="00776D4E">
      <w:pPr>
        <w:widowControl/>
        <w:autoSpaceDE/>
        <w:autoSpaceDN/>
        <w:jc w:val="center"/>
        <w:rPr>
          <w:b/>
          <w:sz w:val="23"/>
          <w:szCs w:val="23"/>
          <w:lang w:val="es-BO"/>
        </w:rPr>
      </w:pPr>
    </w:p>
    <w:p w14:paraId="606946B7" w14:textId="77777777" w:rsidR="00006011" w:rsidRPr="00006011" w:rsidRDefault="00006011" w:rsidP="00006011">
      <w:pPr>
        <w:widowControl/>
        <w:autoSpaceDE/>
        <w:autoSpaceDN/>
        <w:jc w:val="center"/>
        <w:rPr>
          <w:b/>
          <w:sz w:val="23"/>
          <w:szCs w:val="23"/>
          <w:lang w:val="es-BO"/>
        </w:rPr>
      </w:pPr>
      <w:r w:rsidRPr="00006011">
        <w:rPr>
          <w:b/>
          <w:sz w:val="23"/>
          <w:szCs w:val="23"/>
          <w:lang w:val="es-BO"/>
        </w:rPr>
        <w:t>SOLICITUD DE OFERTAS ABIERTA NACIONAL</w:t>
      </w:r>
    </w:p>
    <w:p w14:paraId="41CAC51B" w14:textId="77777777" w:rsidR="00006011" w:rsidRPr="00006011" w:rsidRDefault="00006011" w:rsidP="00006011">
      <w:pPr>
        <w:widowControl/>
        <w:autoSpaceDE/>
        <w:autoSpaceDN/>
        <w:jc w:val="center"/>
        <w:rPr>
          <w:b/>
          <w:sz w:val="23"/>
          <w:szCs w:val="23"/>
          <w:lang w:val="es-BO"/>
        </w:rPr>
      </w:pPr>
      <w:r w:rsidRPr="00006011">
        <w:rPr>
          <w:b/>
          <w:sz w:val="23"/>
          <w:szCs w:val="23"/>
          <w:lang w:val="es-BO"/>
        </w:rPr>
        <w:t>Licitación Nacional Un Solo Sobre</w:t>
      </w:r>
    </w:p>
    <w:p w14:paraId="1AF8627F" w14:textId="77777777" w:rsidR="00006011" w:rsidRPr="00006011" w:rsidRDefault="00006011" w:rsidP="00006011">
      <w:pPr>
        <w:widowControl/>
        <w:autoSpaceDE/>
        <w:autoSpaceDN/>
        <w:jc w:val="center"/>
        <w:rPr>
          <w:b/>
          <w:color w:val="0000FF"/>
          <w:sz w:val="23"/>
          <w:szCs w:val="23"/>
          <w:lang w:val="es-BO"/>
        </w:rPr>
      </w:pPr>
    </w:p>
    <w:p w14:paraId="45E752C4" w14:textId="651F28A1" w:rsidR="00006011" w:rsidRPr="00006011" w:rsidRDefault="00006011" w:rsidP="00006011">
      <w:pPr>
        <w:widowControl/>
        <w:autoSpaceDE/>
        <w:autoSpaceDN/>
        <w:jc w:val="center"/>
        <w:rPr>
          <w:b/>
          <w:sz w:val="23"/>
          <w:szCs w:val="23"/>
          <w:lang w:val="es-BO"/>
        </w:rPr>
      </w:pPr>
      <w:r w:rsidRPr="003752D8">
        <w:rPr>
          <w:b/>
          <w:sz w:val="23"/>
          <w:szCs w:val="23"/>
          <w:lang w:val="es-BO"/>
        </w:rPr>
        <w:t>SDO: 00</w:t>
      </w:r>
      <w:r w:rsidR="00E31E87" w:rsidRPr="003752D8">
        <w:rPr>
          <w:b/>
          <w:sz w:val="23"/>
          <w:szCs w:val="23"/>
          <w:lang w:val="es-BO"/>
        </w:rPr>
        <w:t>1</w:t>
      </w:r>
      <w:r w:rsidRPr="003752D8">
        <w:rPr>
          <w:b/>
          <w:sz w:val="23"/>
          <w:szCs w:val="23"/>
          <w:lang w:val="es-BO"/>
        </w:rPr>
        <w:t>-202</w:t>
      </w:r>
      <w:r w:rsidR="00182B5E" w:rsidRPr="003752D8">
        <w:rPr>
          <w:b/>
          <w:sz w:val="23"/>
          <w:szCs w:val="23"/>
          <w:lang w:val="es-BO"/>
        </w:rPr>
        <w:t>6</w:t>
      </w:r>
      <w:r w:rsidR="00F84B76">
        <w:rPr>
          <w:b/>
          <w:sz w:val="23"/>
          <w:szCs w:val="23"/>
          <w:lang w:val="es-BO"/>
        </w:rPr>
        <w:t xml:space="preserve"> </w:t>
      </w:r>
      <w:r w:rsidRPr="003752D8">
        <w:rPr>
          <w:b/>
          <w:sz w:val="23"/>
          <w:szCs w:val="23"/>
          <w:lang w:val="es-BO"/>
        </w:rPr>
        <w:t>- UE004/INS</w:t>
      </w:r>
    </w:p>
    <w:p w14:paraId="565EFE9F" w14:textId="77777777" w:rsidR="00006011" w:rsidRPr="00006011" w:rsidRDefault="00006011" w:rsidP="00006011">
      <w:pPr>
        <w:widowControl/>
        <w:autoSpaceDE/>
        <w:autoSpaceDN/>
        <w:jc w:val="center"/>
        <w:rPr>
          <w:b/>
          <w:sz w:val="23"/>
          <w:szCs w:val="23"/>
          <w:lang w:val="es-AR"/>
        </w:rPr>
      </w:pPr>
    </w:p>
    <w:p w14:paraId="155AF64D" w14:textId="499CA4AE" w:rsidR="00006011" w:rsidRDefault="00006011" w:rsidP="00006011">
      <w:pPr>
        <w:widowControl/>
        <w:autoSpaceDE/>
        <w:autoSpaceDN/>
        <w:jc w:val="center"/>
        <w:rPr>
          <w:sz w:val="23"/>
          <w:szCs w:val="23"/>
          <w:lang w:val="es-BO"/>
        </w:rPr>
      </w:pPr>
      <w:r w:rsidRPr="00006011">
        <w:rPr>
          <w:sz w:val="23"/>
          <w:szCs w:val="23"/>
          <w:lang w:val="es-BO"/>
        </w:rPr>
        <w:t xml:space="preserve">“Adquisición de </w:t>
      </w:r>
      <w:r w:rsidR="00F210BD">
        <w:rPr>
          <w:sz w:val="23"/>
          <w:szCs w:val="23"/>
          <w:lang w:val="es-BO"/>
        </w:rPr>
        <w:t>Equipos Informáticos (equipos GPS) para los Laboratorios de Referencia Regional de Salud Pública a Nivel Nacional de la Acción 12 del Proyecto con CUI 2502896”</w:t>
      </w:r>
    </w:p>
    <w:p w14:paraId="7DE06F97" w14:textId="77777777" w:rsidR="00BC2788" w:rsidRPr="00006011" w:rsidRDefault="00BC2788" w:rsidP="00006011">
      <w:pPr>
        <w:widowControl/>
        <w:autoSpaceDE/>
        <w:autoSpaceDN/>
        <w:jc w:val="center"/>
        <w:rPr>
          <w:sz w:val="23"/>
          <w:szCs w:val="23"/>
          <w:lang w:val="es-BO"/>
        </w:rPr>
      </w:pPr>
    </w:p>
    <w:p w14:paraId="5DA7A7F6" w14:textId="77777777" w:rsidR="00006011" w:rsidRPr="00006011" w:rsidRDefault="00006011" w:rsidP="00006011">
      <w:pPr>
        <w:widowControl/>
        <w:autoSpaceDE/>
        <w:autoSpaceDN/>
        <w:jc w:val="both"/>
        <w:rPr>
          <w:sz w:val="23"/>
          <w:szCs w:val="23"/>
          <w:lang w:val="es-BO"/>
        </w:rPr>
      </w:pPr>
    </w:p>
    <w:p w14:paraId="70379359" w14:textId="69C3FA5F" w:rsidR="00F210BD" w:rsidRPr="00F210BD" w:rsidRDefault="00006011" w:rsidP="00F210BD">
      <w:pPr>
        <w:widowControl/>
        <w:numPr>
          <w:ilvl w:val="0"/>
          <w:numId w:val="2"/>
        </w:numPr>
        <w:autoSpaceDE/>
        <w:autoSpaceDN/>
        <w:contextualSpacing/>
        <w:jc w:val="both"/>
        <w:rPr>
          <w:sz w:val="23"/>
          <w:szCs w:val="23"/>
          <w:lang w:val="es-BO"/>
        </w:rPr>
      </w:pPr>
      <w:r w:rsidRPr="00006011">
        <w:rPr>
          <w:sz w:val="23"/>
          <w:szCs w:val="23"/>
          <w:lang w:val="es-BO"/>
        </w:rPr>
        <w:t xml:space="preserve">La República de Perú ha recibido financiamiento del Banco Internacional de Reconstrucción y Fomento (BIRF) (el “Banco”) en la forma de un préstamo para financiar parcialmente el costo del </w:t>
      </w:r>
      <w:r w:rsidRPr="00006011">
        <w:rPr>
          <w:i/>
          <w:iCs/>
          <w:sz w:val="23"/>
          <w:szCs w:val="23"/>
          <w:lang w:val="es-US"/>
        </w:rPr>
        <w:t>Proyecto de MEJORAMIENTO Y AMPLIACIÓN DE LOS SERVICIOS BRINDADOS POR EL SISTEMA NACIONAL DE VIGILANCIA DE SALUD PÚBLICA, 25 DEPARTAMENTOS</w:t>
      </w:r>
      <w:r w:rsidRPr="00006011">
        <w:rPr>
          <w:sz w:val="23"/>
          <w:szCs w:val="23"/>
          <w:lang w:val="es-US"/>
        </w:rPr>
        <w:t>,</w:t>
      </w:r>
      <w:r w:rsidRPr="00006011">
        <w:rPr>
          <w:sz w:val="23"/>
          <w:szCs w:val="23"/>
          <w:lang w:val="es-BO"/>
        </w:rPr>
        <w:t xml:space="preserve"> y se propone utilizar parte de los fondos para efectuar los pagos estipulados en el contrato de “</w:t>
      </w:r>
      <w:r w:rsidRPr="00006011">
        <w:rPr>
          <w:sz w:val="23"/>
          <w:szCs w:val="23"/>
          <w:lang w:val="es-US"/>
        </w:rPr>
        <w:t xml:space="preserve">Adquisición </w:t>
      </w:r>
      <w:r w:rsidR="00F210BD" w:rsidRPr="00F210BD">
        <w:rPr>
          <w:sz w:val="23"/>
          <w:szCs w:val="23"/>
          <w:lang w:val="es-BO"/>
        </w:rPr>
        <w:t>de Equipos Informáticos (equipos GPS) para los Laboratorios de Referencia Regional de Salud Pública a Nivel Nacional de la Acción 12 del Proyecto con CUI 2502896”</w:t>
      </w:r>
    </w:p>
    <w:p w14:paraId="45ED94E8" w14:textId="77777777" w:rsidR="00006011" w:rsidRPr="00006011" w:rsidRDefault="00006011" w:rsidP="00006011">
      <w:pPr>
        <w:widowControl/>
        <w:autoSpaceDE/>
        <w:autoSpaceDN/>
        <w:jc w:val="both"/>
        <w:rPr>
          <w:sz w:val="23"/>
          <w:szCs w:val="23"/>
          <w:lang w:val="es-BO"/>
        </w:rPr>
      </w:pPr>
    </w:p>
    <w:p w14:paraId="46766EB5" w14:textId="77777777" w:rsidR="00006011" w:rsidRPr="00006011" w:rsidRDefault="00006011" w:rsidP="00006011">
      <w:pPr>
        <w:widowControl/>
        <w:numPr>
          <w:ilvl w:val="0"/>
          <w:numId w:val="2"/>
        </w:numPr>
        <w:autoSpaceDE/>
        <w:autoSpaceDN/>
        <w:jc w:val="both"/>
        <w:rPr>
          <w:i/>
          <w:sz w:val="23"/>
          <w:szCs w:val="23"/>
          <w:lang w:val="es-BO"/>
        </w:rPr>
      </w:pPr>
      <w:r w:rsidRPr="00006011">
        <w:rPr>
          <w:sz w:val="23"/>
          <w:szCs w:val="23"/>
          <w:lang w:val="es-US"/>
        </w:rPr>
        <w:t>La Unidad Ejecutora 004: INS – Fortalecimiento del Sistema Nacional de Vigilancia en Salud Pública</w:t>
      </w:r>
      <w:r w:rsidRPr="00006011">
        <w:rPr>
          <w:i/>
          <w:sz w:val="23"/>
          <w:szCs w:val="23"/>
          <w:lang w:val="es-BO"/>
        </w:rPr>
        <w:t xml:space="preserve">, </w:t>
      </w:r>
      <w:r w:rsidRPr="00006011">
        <w:rPr>
          <w:sz w:val="23"/>
          <w:szCs w:val="23"/>
          <w:lang w:val="es-BO"/>
        </w:rPr>
        <w:t xml:space="preserve">invita a los licitantes elegibles a presentar ofertas en sobres sellados para </w:t>
      </w:r>
      <w:r w:rsidRPr="00006011">
        <w:rPr>
          <w:sz w:val="23"/>
          <w:szCs w:val="23"/>
          <w:lang w:val="es-US"/>
        </w:rPr>
        <w:t>proveer los siguientes bienes:</w:t>
      </w:r>
    </w:p>
    <w:p w14:paraId="4881FB35" w14:textId="77777777" w:rsidR="00006011" w:rsidRPr="00006011" w:rsidRDefault="00006011" w:rsidP="00006011">
      <w:pPr>
        <w:widowControl/>
        <w:autoSpaceDE/>
        <w:autoSpaceDN/>
        <w:ind w:left="360"/>
        <w:jc w:val="both"/>
        <w:rPr>
          <w:iCs/>
          <w:sz w:val="23"/>
          <w:szCs w:val="23"/>
          <w:lang w:val="es-BO"/>
        </w:rPr>
      </w:pPr>
    </w:p>
    <w:tbl>
      <w:tblPr>
        <w:tblStyle w:val="Tablaconcuadrcula"/>
        <w:tblW w:w="0" w:type="auto"/>
        <w:jc w:val="center"/>
        <w:tblLook w:val="04A0" w:firstRow="1" w:lastRow="0" w:firstColumn="1" w:lastColumn="0" w:noHBand="0" w:noVBand="1"/>
      </w:tblPr>
      <w:tblGrid>
        <w:gridCol w:w="6350"/>
        <w:gridCol w:w="1208"/>
      </w:tblGrid>
      <w:tr w:rsidR="00BC2788" w:rsidRPr="00006011" w14:paraId="579C74EC" w14:textId="77777777" w:rsidTr="00F84B76">
        <w:trPr>
          <w:trHeight w:val="246"/>
          <w:jc w:val="center"/>
        </w:trPr>
        <w:tc>
          <w:tcPr>
            <w:tcW w:w="6350" w:type="dxa"/>
            <w:shd w:val="clear" w:color="auto" w:fill="F2F2F2" w:themeFill="background1" w:themeFillShade="F2"/>
            <w:vAlign w:val="center"/>
          </w:tcPr>
          <w:p w14:paraId="1510ACD8" w14:textId="77777777" w:rsidR="00BC2788" w:rsidRPr="00006011" w:rsidRDefault="00BC2788" w:rsidP="007F3EC0">
            <w:pPr>
              <w:ind w:right="71"/>
              <w:contextualSpacing/>
              <w:jc w:val="center"/>
              <w:rPr>
                <w:b/>
                <w:sz w:val="23"/>
                <w:szCs w:val="23"/>
                <w:lang w:val="es-BO"/>
              </w:rPr>
            </w:pPr>
            <w:r w:rsidRPr="00006011">
              <w:rPr>
                <w:b/>
                <w:sz w:val="23"/>
                <w:szCs w:val="23"/>
                <w:lang w:val="es-BO"/>
              </w:rPr>
              <w:t>Descripción del Bien</w:t>
            </w:r>
          </w:p>
        </w:tc>
        <w:tc>
          <w:tcPr>
            <w:tcW w:w="1158" w:type="dxa"/>
            <w:shd w:val="clear" w:color="auto" w:fill="F2F2F2" w:themeFill="background1" w:themeFillShade="F2"/>
            <w:vAlign w:val="center"/>
          </w:tcPr>
          <w:p w14:paraId="3BC38A46" w14:textId="77777777" w:rsidR="00BC2788" w:rsidRPr="00006011" w:rsidRDefault="00BC2788" w:rsidP="007F3EC0">
            <w:pPr>
              <w:ind w:right="71"/>
              <w:contextualSpacing/>
              <w:jc w:val="center"/>
              <w:rPr>
                <w:b/>
                <w:sz w:val="23"/>
                <w:szCs w:val="23"/>
                <w:lang w:val="es-BO"/>
              </w:rPr>
            </w:pPr>
            <w:r w:rsidRPr="00006011">
              <w:rPr>
                <w:b/>
                <w:sz w:val="23"/>
                <w:szCs w:val="23"/>
                <w:lang w:val="es-BO"/>
              </w:rPr>
              <w:t>Cantidad</w:t>
            </w:r>
          </w:p>
        </w:tc>
      </w:tr>
      <w:tr w:rsidR="00BC2788" w:rsidRPr="00006011" w14:paraId="5E8D47C7" w14:textId="77777777" w:rsidTr="00F84B76">
        <w:trPr>
          <w:trHeight w:val="524"/>
          <w:jc w:val="center"/>
        </w:trPr>
        <w:tc>
          <w:tcPr>
            <w:tcW w:w="6350" w:type="dxa"/>
          </w:tcPr>
          <w:p w14:paraId="596C4377" w14:textId="77777777" w:rsidR="003004E5" w:rsidRDefault="003004E5" w:rsidP="007F3EC0">
            <w:pPr>
              <w:ind w:right="71"/>
              <w:rPr>
                <w:bCs/>
                <w:sz w:val="23"/>
                <w:szCs w:val="23"/>
                <w:lang w:val="es-BO"/>
              </w:rPr>
            </w:pPr>
          </w:p>
          <w:p w14:paraId="27C5A2C0" w14:textId="738A4F8E" w:rsidR="00BC2788" w:rsidRDefault="00BC2788" w:rsidP="007F3EC0">
            <w:pPr>
              <w:ind w:right="71"/>
              <w:rPr>
                <w:bCs/>
                <w:sz w:val="23"/>
                <w:szCs w:val="23"/>
                <w:lang w:val="es-BO"/>
              </w:rPr>
            </w:pPr>
            <w:r>
              <w:rPr>
                <w:bCs/>
                <w:sz w:val="23"/>
                <w:szCs w:val="23"/>
                <w:lang w:val="es-BO"/>
              </w:rPr>
              <w:t xml:space="preserve">Equipo de </w:t>
            </w:r>
            <w:r w:rsidR="003262B0">
              <w:rPr>
                <w:bCs/>
                <w:sz w:val="23"/>
                <w:szCs w:val="23"/>
                <w:lang w:val="es-BO"/>
              </w:rPr>
              <w:t>p</w:t>
            </w:r>
            <w:r>
              <w:rPr>
                <w:bCs/>
                <w:sz w:val="23"/>
                <w:szCs w:val="23"/>
                <w:lang w:val="es-BO"/>
              </w:rPr>
              <w:t xml:space="preserve">osicionamiento – </w:t>
            </w:r>
            <w:r w:rsidR="004E0B6D">
              <w:rPr>
                <w:bCs/>
                <w:sz w:val="23"/>
                <w:szCs w:val="23"/>
                <w:lang w:val="es-BO"/>
              </w:rPr>
              <w:t>GPS</w:t>
            </w:r>
            <w:r>
              <w:rPr>
                <w:bCs/>
                <w:sz w:val="23"/>
                <w:szCs w:val="23"/>
                <w:lang w:val="es-BO"/>
              </w:rPr>
              <w:t xml:space="preserve"> </w:t>
            </w:r>
            <w:r w:rsidR="003262B0">
              <w:rPr>
                <w:bCs/>
                <w:sz w:val="23"/>
                <w:szCs w:val="23"/>
                <w:lang w:val="es-BO"/>
              </w:rPr>
              <w:t>n</w:t>
            </w:r>
            <w:r>
              <w:rPr>
                <w:bCs/>
                <w:sz w:val="23"/>
                <w:szCs w:val="23"/>
                <w:lang w:val="es-BO"/>
              </w:rPr>
              <w:t xml:space="preserve">avegador  </w:t>
            </w:r>
          </w:p>
          <w:p w14:paraId="7CBEB763" w14:textId="271B327A" w:rsidR="003004E5" w:rsidRPr="00006011" w:rsidRDefault="003004E5" w:rsidP="007F3EC0">
            <w:pPr>
              <w:ind w:right="71"/>
              <w:rPr>
                <w:bCs/>
                <w:sz w:val="23"/>
                <w:szCs w:val="23"/>
                <w:lang w:val="es-BO"/>
              </w:rPr>
            </w:pPr>
          </w:p>
        </w:tc>
        <w:tc>
          <w:tcPr>
            <w:tcW w:w="1158" w:type="dxa"/>
          </w:tcPr>
          <w:p w14:paraId="7A653E58" w14:textId="77777777" w:rsidR="003004E5" w:rsidRDefault="003004E5" w:rsidP="007F3EC0">
            <w:pPr>
              <w:ind w:right="71" w:firstLine="97"/>
              <w:contextualSpacing/>
              <w:jc w:val="center"/>
              <w:rPr>
                <w:bCs/>
                <w:sz w:val="23"/>
                <w:szCs w:val="23"/>
                <w:lang w:val="es-BO"/>
              </w:rPr>
            </w:pPr>
          </w:p>
          <w:p w14:paraId="70091298" w14:textId="77777777" w:rsidR="00BC2788" w:rsidRDefault="00BC2788" w:rsidP="007F3EC0">
            <w:pPr>
              <w:ind w:right="71" w:firstLine="97"/>
              <w:contextualSpacing/>
              <w:jc w:val="center"/>
              <w:rPr>
                <w:bCs/>
                <w:sz w:val="23"/>
                <w:szCs w:val="23"/>
                <w:lang w:val="es-BO"/>
              </w:rPr>
            </w:pPr>
            <w:r>
              <w:rPr>
                <w:bCs/>
                <w:sz w:val="23"/>
                <w:szCs w:val="23"/>
                <w:lang w:val="es-BO"/>
              </w:rPr>
              <w:t>73</w:t>
            </w:r>
          </w:p>
          <w:p w14:paraId="3B8E5630" w14:textId="79B6F1C0" w:rsidR="003004E5" w:rsidRPr="00006011" w:rsidRDefault="003004E5" w:rsidP="007F3EC0">
            <w:pPr>
              <w:ind w:right="71" w:firstLine="97"/>
              <w:contextualSpacing/>
              <w:jc w:val="center"/>
              <w:rPr>
                <w:bCs/>
                <w:sz w:val="23"/>
                <w:szCs w:val="23"/>
                <w:lang w:val="es-BO"/>
              </w:rPr>
            </w:pPr>
          </w:p>
        </w:tc>
      </w:tr>
    </w:tbl>
    <w:p w14:paraId="2A3162B4" w14:textId="77777777" w:rsidR="00BC2788" w:rsidRPr="00006011" w:rsidRDefault="00BC2788" w:rsidP="00006011">
      <w:pPr>
        <w:widowControl/>
        <w:autoSpaceDE/>
        <w:autoSpaceDN/>
        <w:ind w:left="360"/>
        <w:contextualSpacing/>
        <w:rPr>
          <w:b/>
          <w:sz w:val="23"/>
          <w:szCs w:val="23"/>
          <w:lang w:val="es-BO"/>
        </w:rPr>
      </w:pPr>
    </w:p>
    <w:p w14:paraId="31325A04" w14:textId="77777777" w:rsidR="00006011" w:rsidRPr="00006011" w:rsidRDefault="00006011" w:rsidP="00006011">
      <w:pPr>
        <w:widowControl/>
        <w:numPr>
          <w:ilvl w:val="0"/>
          <w:numId w:val="2"/>
        </w:numPr>
        <w:autoSpaceDE/>
        <w:autoSpaceDN/>
        <w:jc w:val="both"/>
        <w:rPr>
          <w:sz w:val="23"/>
          <w:szCs w:val="23"/>
          <w:lang w:val="es-BO"/>
        </w:rPr>
      </w:pPr>
      <w:r w:rsidRPr="00006011">
        <w:rPr>
          <w:sz w:val="23"/>
          <w:szCs w:val="23"/>
          <w:lang w:val="es-BO"/>
        </w:rPr>
        <w:t xml:space="preserve">La adquisición se efectuará conforme a los procedimientos de Solicitud de Ofertas con acceso al mercado Nacional descritos en las </w:t>
      </w:r>
      <w:r w:rsidRPr="00006011">
        <w:rPr>
          <w:iCs/>
          <w:sz w:val="23"/>
          <w:szCs w:val="23"/>
          <w:lang w:val="es-BO"/>
        </w:rPr>
        <w:t xml:space="preserve">Regulaciones de Adquisiciones para Prestatarios en Proyectos de Inversión del Banco Mundial, Adquisiciones en Operaciones de Financiamiento para Proyectos de Inversión: Bienes, Obras, Servicios de No-Consultoría, noviembre 2020 </w:t>
      </w:r>
      <w:r w:rsidRPr="00006011">
        <w:rPr>
          <w:sz w:val="23"/>
          <w:szCs w:val="23"/>
          <w:lang w:val="es-US"/>
        </w:rPr>
        <w:t>(“Regulaciones de Adquisiciones”)</w:t>
      </w:r>
      <w:r w:rsidRPr="00006011">
        <w:rPr>
          <w:sz w:val="23"/>
          <w:szCs w:val="23"/>
          <w:lang w:val="es-BO"/>
        </w:rPr>
        <w:t>.</w:t>
      </w:r>
    </w:p>
    <w:p w14:paraId="73B41554" w14:textId="77777777" w:rsidR="00006011" w:rsidRPr="00006011" w:rsidRDefault="00006011" w:rsidP="00006011">
      <w:pPr>
        <w:widowControl/>
        <w:autoSpaceDE/>
        <w:autoSpaceDN/>
        <w:ind w:left="720"/>
        <w:contextualSpacing/>
        <w:rPr>
          <w:b/>
          <w:sz w:val="23"/>
          <w:szCs w:val="23"/>
          <w:lang w:val="es-BO"/>
        </w:rPr>
      </w:pPr>
    </w:p>
    <w:p w14:paraId="42E42135" w14:textId="5F7FF764" w:rsidR="00BC2788" w:rsidRPr="00BC2788" w:rsidRDefault="00006011" w:rsidP="00BC2788">
      <w:pPr>
        <w:widowControl/>
        <w:numPr>
          <w:ilvl w:val="0"/>
          <w:numId w:val="2"/>
        </w:numPr>
        <w:autoSpaceDE/>
        <w:autoSpaceDN/>
        <w:jc w:val="both"/>
        <w:rPr>
          <w:sz w:val="23"/>
          <w:szCs w:val="23"/>
          <w:lang w:val="es-BO"/>
        </w:rPr>
      </w:pPr>
      <w:r w:rsidRPr="00006011">
        <w:rPr>
          <w:sz w:val="23"/>
          <w:szCs w:val="23"/>
          <w:lang w:val="es-BO"/>
        </w:rPr>
        <w:t xml:space="preserve">Los licitantes elegibles que estén interesados podrán solicitar más información a la Unidad Ejecutora 004: INS – Fortalecimiento del Sistema Nacional de Vigilancia en Salud Pública y consultar el Documento de Licitación en el horario de 9:00 a 17:00 horas, en la dirección que figura más abajo o al correo: </w:t>
      </w:r>
      <w:hyperlink r:id="rId5" w:history="1">
        <w:r w:rsidR="00F84B76" w:rsidRPr="00F84B76">
          <w:rPr>
            <w:rStyle w:val="Hipervnculo"/>
            <w:iCs/>
            <w:sz w:val="23"/>
            <w:szCs w:val="23"/>
            <w:lang w:val="es-BO"/>
          </w:rPr>
          <w:t>comite-bienes-sdo01-2026@ue004.gob.pe</w:t>
        </w:r>
      </w:hyperlink>
    </w:p>
    <w:p w14:paraId="372D1920" w14:textId="77777777" w:rsidR="00006011" w:rsidRPr="00006011" w:rsidRDefault="00006011" w:rsidP="00006011">
      <w:pPr>
        <w:widowControl/>
        <w:autoSpaceDE/>
        <w:autoSpaceDN/>
        <w:rPr>
          <w:b/>
          <w:sz w:val="23"/>
          <w:szCs w:val="23"/>
          <w:lang w:val="es-BO"/>
        </w:rPr>
      </w:pPr>
    </w:p>
    <w:p w14:paraId="5829B2BF" w14:textId="56FD93A0" w:rsidR="00006011" w:rsidRPr="00006011" w:rsidRDefault="00006011" w:rsidP="00006011">
      <w:pPr>
        <w:widowControl/>
        <w:numPr>
          <w:ilvl w:val="0"/>
          <w:numId w:val="2"/>
        </w:numPr>
        <w:autoSpaceDE/>
        <w:autoSpaceDN/>
        <w:jc w:val="both"/>
        <w:rPr>
          <w:sz w:val="23"/>
          <w:szCs w:val="23"/>
          <w:lang w:val="es-BO"/>
        </w:rPr>
      </w:pPr>
      <w:r w:rsidRPr="00006011">
        <w:rPr>
          <w:sz w:val="23"/>
          <w:szCs w:val="23"/>
          <w:lang w:val="es-BO"/>
        </w:rPr>
        <w:t xml:space="preserve">Las ofertas deberán hacerse llegar en sobre cerrado a la dirección indicada abajo, a más tardar a las </w:t>
      </w:r>
      <w:r w:rsidRPr="00F84B76">
        <w:rPr>
          <w:sz w:val="23"/>
          <w:szCs w:val="23"/>
          <w:lang w:val="es-BO"/>
        </w:rPr>
        <w:t>1</w:t>
      </w:r>
      <w:r w:rsidR="00F84B76" w:rsidRPr="00F84B76">
        <w:rPr>
          <w:sz w:val="23"/>
          <w:szCs w:val="23"/>
          <w:lang w:val="es-BO"/>
        </w:rPr>
        <w:t>1</w:t>
      </w:r>
      <w:r w:rsidRPr="00F84B76">
        <w:rPr>
          <w:sz w:val="23"/>
          <w:szCs w:val="23"/>
          <w:lang w:val="es-BO"/>
        </w:rPr>
        <w:t xml:space="preserve">:00 a.m. del </w:t>
      </w:r>
      <w:r w:rsidR="00A7564F" w:rsidRPr="00F84B76">
        <w:rPr>
          <w:b/>
          <w:bCs/>
          <w:sz w:val="23"/>
          <w:szCs w:val="23"/>
          <w:lang w:val="es-BO"/>
        </w:rPr>
        <w:t>2</w:t>
      </w:r>
      <w:r w:rsidR="00BC2788" w:rsidRPr="00F84B76">
        <w:rPr>
          <w:b/>
          <w:bCs/>
          <w:sz w:val="23"/>
          <w:szCs w:val="23"/>
          <w:lang w:val="es-BO"/>
        </w:rPr>
        <w:t xml:space="preserve">4 </w:t>
      </w:r>
      <w:r w:rsidRPr="00F84B76">
        <w:rPr>
          <w:b/>
          <w:bCs/>
          <w:sz w:val="23"/>
          <w:szCs w:val="23"/>
          <w:lang w:val="es-BO"/>
        </w:rPr>
        <w:t xml:space="preserve">de </w:t>
      </w:r>
      <w:r w:rsidR="00BC2788" w:rsidRPr="00F84B76">
        <w:rPr>
          <w:b/>
          <w:bCs/>
          <w:sz w:val="23"/>
          <w:szCs w:val="23"/>
          <w:lang w:val="es-BO"/>
        </w:rPr>
        <w:t>marzo</w:t>
      </w:r>
      <w:r w:rsidRPr="00F84B76">
        <w:rPr>
          <w:b/>
          <w:bCs/>
          <w:sz w:val="23"/>
          <w:szCs w:val="23"/>
          <w:lang w:val="es-BO"/>
        </w:rPr>
        <w:t xml:space="preserve"> de 2026</w:t>
      </w:r>
      <w:r w:rsidRPr="00006011">
        <w:rPr>
          <w:sz w:val="23"/>
          <w:szCs w:val="23"/>
          <w:lang w:val="es-BO"/>
        </w:rPr>
        <w:t>. Las ofertas electrónicas no serán permitidas. Las ofertas que se reciban fuera de plazo serán rechazadas. Las ofertas se abrirán inmediatamente después del cierre de presentación de ofertas en presencia de los representantes de los licitantes que deseen asistir en persona en la dirección indicada al final de este llamado.</w:t>
      </w:r>
    </w:p>
    <w:p w14:paraId="52BB2639" w14:textId="77777777" w:rsidR="00006011" w:rsidRPr="00006011" w:rsidRDefault="00006011" w:rsidP="00006011">
      <w:pPr>
        <w:widowControl/>
        <w:autoSpaceDE/>
        <w:autoSpaceDN/>
        <w:ind w:left="720"/>
        <w:contextualSpacing/>
        <w:rPr>
          <w:b/>
          <w:sz w:val="23"/>
          <w:szCs w:val="23"/>
          <w:lang w:val="es-BO"/>
        </w:rPr>
      </w:pPr>
    </w:p>
    <w:p w14:paraId="70B63491" w14:textId="77777777" w:rsidR="00006011" w:rsidRPr="00006011" w:rsidRDefault="00006011" w:rsidP="00006011">
      <w:pPr>
        <w:widowControl/>
        <w:numPr>
          <w:ilvl w:val="0"/>
          <w:numId w:val="2"/>
        </w:numPr>
        <w:autoSpaceDE/>
        <w:autoSpaceDN/>
        <w:jc w:val="both"/>
        <w:rPr>
          <w:sz w:val="23"/>
          <w:szCs w:val="23"/>
          <w:lang w:val="es-BO"/>
        </w:rPr>
      </w:pPr>
      <w:r w:rsidRPr="00006011">
        <w:rPr>
          <w:sz w:val="23"/>
          <w:szCs w:val="23"/>
          <w:lang w:val="es-BO"/>
        </w:rPr>
        <w:t>Todas las Ofertas deben ir acompañadas de una “Declaración de Mantenimiento de Oferta”.</w:t>
      </w:r>
    </w:p>
    <w:p w14:paraId="190B930B" w14:textId="77777777" w:rsidR="00006011" w:rsidRPr="00006011" w:rsidRDefault="00006011" w:rsidP="00006011">
      <w:pPr>
        <w:widowControl/>
        <w:autoSpaceDE/>
        <w:autoSpaceDN/>
        <w:ind w:left="720"/>
        <w:contextualSpacing/>
        <w:rPr>
          <w:b/>
          <w:sz w:val="23"/>
          <w:szCs w:val="23"/>
          <w:lang w:val="es-BO"/>
        </w:rPr>
      </w:pPr>
    </w:p>
    <w:p w14:paraId="6C14C3EB" w14:textId="77777777" w:rsidR="00006011" w:rsidRPr="00006011" w:rsidRDefault="00006011" w:rsidP="00006011">
      <w:pPr>
        <w:widowControl/>
        <w:numPr>
          <w:ilvl w:val="0"/>
          <w:numId w:val="2"/>
        </w:numPr>
        <w:autoSpaceDE/>
        <w:autoSpaceDN/>
        <w:contextualSpacing/>
        <w:rPr>
          <w:color w:val="0000FF"/>
          <w:sz w:val="23"/>
          <w:szCs w:val="23"/>
          <w:lang w:val="es-BO"/>
        </w:rPr>
      </w:pPr>
      <w:r w:rsidRPr="00006011">
        <w:rPr>
          <w:sz w:val="23"/>
          <w:szCs w:val="23"/>
          <w:lang w:val="es-BO"/>
        </w:rPr>
        <w:t>La dirección referida arriba es:</w:t>
      </w:r>
      <w:r w:rsidRPr="00006011">
        <w:rPr>
          <w:b/>
          <w:sz w:val="23"/>
          <w:szCs w:val="23"/>
          <w:lang w:val="es-BO"/>
        </w:rPr>
        <w:t xml:space="preserve"> </w:t>
      </w:r>
      <w:r w:rsidRPr="00006011">
        <w:rPr>
          <w:sz w:val="23"/>
          <w:szCs w:val="23"/>
          <w:lang w:val="es-BO"/>
        </w:rPr>
        <w:t>Jirón Cápac Yupanqui 1400 - Jesús María - Lima</w:t>
      </w:r>
    </w:p>
    <w:p w14:paraId="73ACEDAD" w14:textId="77777777" w:rsidR="00006011" w:rsidRPr="00006011" w:rsidRDefault="00006011" w:rsidP="00006011">
      <w:pPr>
        <w:widowControl/>
        <w:autoSpaceDE/>
        <w:autoSpaceDN/>
        <w:ind w:left="720"/>
        <w:contextualSpacing/>
        <w:rPr>
          <w:b/>
          <w:sz w:val="23"/>
          <w:szCs w:val="23"/>
          <w:lang w:val="es-BO"/>
        </w:rPr>
      </w:pPr>
    </w:p>
    <w:p w14:paraId="4C2707D9" w14:textId="77777777" w:rsidR="00006011" w:rsidRPr="00006011" w:rsidRDefault="00006011" w:rsidP="00006011">
      <w:pPr>
        <w:widowControl/>
        <w:autoSpaceDE/>
        <w:autoSpaceDN/>
        <w:jc w:val="center"/>
        <w:rPr>
          <w:b/>
          <w:sz w:val="23"/>
          <w:szCs w:val="23"/>
          <w:lang w:val="es-US"/>
        </w:rPr>
      </w:pPr>
    </w:p>
    <w:p w14:paraId="1064EF5E" w14:textId="77777777" w:rsidR="00006011" w:rsidRPr="00006011" w:rsidRDefault="00006011" w:rsidP="00006011">
      <w:pPr>
        <w:widowControl/>
        <w:tabs>
          <w:tab w:val="left" w:pos="765"/>
        </w:tabs>
        <w:autoSpaceDE/>
        <w:autoSpaceDN/>
        <w:rPr>
          <w:i/>
          <w:iCs/>
          <w:sz w:val="23"/>
          <w:szCs w:val="23"/>
          <w:lang w:val="es-BO"/>
        </w:rPr>
      </w:pPr>
      <w:r w:rsidRPr="00006011">
        <w:rPr>
          <w:i/>
          <w:iCs/>
          <w:sz w:val="23"/>
          <w:szCs w:val="23"/>
          <w:lang w:val="es-BO"/>
        </w:rPr>
        <w:t>Área de Adquisiciones</w:t>
      </w:r>
    </w:p>
    <w:p w14:paraId="0B3FB355" w14:textId="77777777" w:rsidR="00006011" w:rsidRPr="00006011" w:rsidRDefault="00006011" w:rsidP="00006011">
      <w:pPr>
        <w:widowControl/>
        <w:tabs>
          <w:tab w:val="left" w:pos="765"/>
        </w:tabs>
        <w:autoSpaceDE/>
        <w:autoSpaceDN/>
        <w:rPr>
          <w:i/>
          <w:iCs/>
          <w:sz w:val="23"/>
          <w:szCs w:val="23"/>
          <w:lang w:val="es-BO"/>
        </w:rPr>
      </w:pPr>
      <w:r w:rsidRPr="00006011">
        <w:rPr>
          <w:i/>
          <w:iCs/>
          <w:sz w:val="23"/>
          <w:szCs w:val="23"/>
          <w:lang w:val="es-BO"/>
        </w:rPr>
        <w:t xml:space="preserve">Jirón Cápac Yupanqui 1400 - Jesús María - Lima </w:t>
      </w:r>
    </w:p>
    <w:p w14:paraId="25CF709D" w14:textId="3B96BADA" w:rsidR="00006011" w:rsidRPr="00F84B76" w:rsidRDefault="00F84B76" w:rsidP="00006011">
      <w:pPr>
        <w:widowControl/>
        <w:tabs>
          <w:tab w:val="left" w:pos="765"/>
        </w:tabs>
        <w:autoSpaceDE/>
        <w:autoSpaceDN/>
        <w:rPr>
          <w:i/>
          <w:iCs/>
          <w:sz w:val="23"/>
          <w:szCs w:val="23"/>
          <w:lang w:val="es-BO"/>
        </w:rPr>
      </w:pPr>
      <w:hyperlink r:id="rId6" w:history="1">
        <w:r w:rsidRPr="00F84B76">
          <w:rPr>
            <w:rStyle w:val="Hipervnculo"/>
            <w:sz w:val="23"/>
            <w:szCs w:val="23"/>
          </w:rPr>
          <w:t>comite-bienes-sdo01-2026@ue004.gob.pe</w:t>
        </w:r>
      </w:hyperlink>
      <w:r w:rsidRPr="00F84B76">
        <w:rPr>
          <w:sz w:val="23"/>
          <w:szCs w:val="23"/>
        </w:rPr>
        <w:t xml:space="preserve"> </w:t>
      </w:r>
    </w:p>
    <w:p w14:paraId="221FFB5F" w14:textId="77777777" w:rsidR="00006011" w:rsidRPr="00006011" w:rsidRDefault="00006011" w:rsidP="00006011">
      <w:pPr>
        <w:widowControl/>
        <w:tabs>
          <w:tab w:val="left" w:pos="765"/>
        </w:tabs>
        <w:autoSpaceDE/>
        <w:autoSpaceDN/>
        <w:rPr>
          <w:i/>
          <w:iCs/>
          <w:sz w:val="23"/>
          <w:szCs w:val="23"/>
          <w:u w:val="single"/>
          <w:lang w:val="es-BO"/>
        </w:rPr>
      </w:pPr>
      <w:hyperlink r:id="rId7">
        <w:r w:rsidRPr="00006011">
          <w:rPr>
            <w:i/>
            <w:iCs/>
            <w:sz w:val="23"/>
            <w:szCs w:val="23"/>
            <w:u w:val="single"/>
            <w:lang w:val="es-BO"/>
          </w:rPr>
          <w:t>https://www.gob.pe/fsnvs</w:t>
        </w:r>
      </w:hyperlink>
    </w:p>
    <w:p w14:paraId="39DFF93C" w14:textId="77777777" w:rsidR="00006011" w:rsidRDefault="00006011" w:rsidP="00776D4E">
      <w:pPr>
        <w:widowControl/>
        <w:autoSpaceDE/>
        <w:autoSpaceDN/>
        <w:jc w:val="center"/>
        <w:rPr>
          <w:b/>
          <w:sz w:val="24"/>
          <w:szCs w:val="24"/>
          <w:lang w:val="es-BO"/>
        </w:rPr>
      </w:pPr>
    </w:p>
    <w:sectPr w:rsidR="00006011">
      <w:type w:val="continuous"/>
      <w:pgSz w:w="16840" w:h="23820"/>
      <w:pgMar w:top="6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C6AE9"/>
    <w:multiLevelType w:val="hybridMultilevel"/>
    <w:tmpl w:val="AD9EFEFA"/>
    <w:lvl w:ilvl="0" w:tplc="835259A8">
      <w:start w:val="1"/>
      <w:numFmt w:val="decimal"/>
      <w:lvlText w:val="%1."/>
      <w:lvlJc w:val="left"/>
      <w:pPr>
        <w:ind w:left="360" w:hanging="360"/>
      </w:pPr>
      <w:rPr>
        <w:rFonts w:hint="default"/>
        <w:i w:val="0"/>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15:restartNumberingAfterBreak="0">
    <w:nsid w:val="5FB747F7"/>
    <w:multiLevelType w:val="hybridMultilevel"/>
    <w:tmpl w:val="2BF2675C"/>
    <w:lvl w:ilvl="0" w:tplc="B0BE1BF4">
      <w:start w:val="1"/>
      <w:numFmt w:val="decimal"/>
      <w:lvlText w:val="%1."/>
      <w:lvlJc w:val="left"/>
      <w:pPr>
        <w:ind w:left="462" w:hanging="361"/>
        <w:jc w:val="left"/>
      </w:pPr>
      <w:rPr>
        <w:rFonts w:ascii="Times New Roman" w:eastAsia="Times New Roman" w:hAnsi="Times New Roman" w:cs="Times New Roman" w:hint="default"/>
        <w:w w:val="100"/>
        <w:sz w:val="22"/>
        <w:szCs w:val="22"/>
        <w:lang w:val="es-ES" w:eastAsia="en-US" w:bidi="ar-SA"/>
      </w:rPr>
    </w:lvl>
    <w:lvl w:ilvl="1" w:tplc="C09CBC0E">
      <w:numFmt w:val="bullet"/>
      <w:lvlText w:val="•"/>
      <w:lvlJc w:val="left"/>
      <w:pPr>
        <w:ind w:left="640" w:hanging="361"/>
      </w:pPr>
      <w:rPr>
        <w:rFonts w:hint="default"/>
        <w:lang w:val="es-ES" w:eastAsia="en-US" w:bidi="ar-SA"/>
      </w:rPr>
    </w:lvl>
    <w:lvl w:ilvl="2" w:tplc="11F41B16">
      <w:numFmt w:val="bullet"/>
      <w:lvlText w:val="•"/>
      <w:lvlJc w:val="left"/>
      <w:pPr>
        <w:ind w:left="2086" w:hanging="361"/>
      </w:pPr>
      <w:rPr>
        <w:rFonts w:hint="default"/>
        <w:lang w:val="es-ES" w:eastAsia="en-US" w:bidi="ar-SA"/>
      </w:rPr>
    </w:lvl>
    <w:lvl w:ilvl="3" w:tplc="82B876B6">
      <w:numFmt w:val="bullet"/>
      <w:lvlText w:val="•"/>
      <w:lvlJc w:val="left"/>
      <w:pPr>
        <w:ind w:left="3532" w:hanging="361"/>
      </w:pPr>
      <w:rPr>
        <w:rFonts w:hint="default"/>
        <w:lang w:val="es-ES" w:eastAsia="en-US" w:bidi="ar-SA"/>
      </w:rPr>
    </w:lvl>
    <w:lvl w:ilvl="4" w:tplc="92B4A650">
      <w:numFmt w:val="bullet"/>
      <w:lvlText w:val="•"/>
      <w:lvlJc w:val="left"/>
      <w:pPr>
        <w:ind w:left="4979" w:hanging="361"/>
      </w:pPr>
      <w:rPr>
        <w:rFonts w:hint="default"/>
        <w:lang w:val="es-ES" w:eastAsia="en-US" w:bidi="ar-SA"/>
      </w:rPr>
    </w:lvl>
    <w:lvl w:ilvl="5" w:tplc="DEA6425A">
      <w:numFmt w:val="bullet"/>
      <w:lvlText w:val="•"/>
      <w:lvlJc w:val="left"/>
      <w:pPr>
        <w:ind w:left="6425" w:hanging="361"/>
      </w:pPr>
      <w:rPr>
        <w:rFonts w:hint="default"/>
        <w:lang w:val="es-ES" w:eastAsia="en-US" w:bidi="ar-SA"/>
      </w:rPr>
    </w:lvl>
    <w:lvl w:ilvl="6" w:tplc="006478D2">
      <w:numFmt w:val="bullet"/>
      <w:lvlText w:val="•"/>
      <w:lvlJc w:val="left"/>
      <w:pPr>
        <w:ind w:left="7872" w:hanging="361"/>
      </w:pPr>
      <w:rPr>
        <w:rFonts w:hint="default"/>
        <w:lang w:val="es-ES" w:eastAsia="en-US" w:bidi="ar-SA"/>
      </w:rPr>
    </w:lvl>
    <w:lvl w:ilvl="7" w:tplc="B0369522">
      <w:numFmt w:val="bullet"/>
      <w:lvlText w:val="•"/>
      <w:lvlJc w:val="left"/>
      <w:pPr>
        <w:ind w:left="9318" w:hanging="361"/>
      </w:pPr>
      <w:rPr>
        <w:rFonts w:hint="default"/>
        <w:lang w:val="es-ES" w:eastAsia="en-US" w:bidi="ar-SA"/>
      </w:rPr>
    </w:lvl>
    <w:lvl w:ilvl="8" w:tplc="D6B68730">
      <w:numFmt w:val="bullet"/>
      <w:lvlText w:val="•"/>
      <w:lvlJc w:val="left"/>
      <w:pPr>
        <w:ind w:left="10765" w:hanging="361"/>
      </w:pPr>
      <w:rPr>
        <w:rFonts w:hint="default"/>
        <w:lang w:val="es-ES" w:eastAsia="en-US" w:bidi="ar-SA"/>
      </w:rPr>
    </w:lvl>
  </w:abstractNum>
  <w:abstractNum w:abstractNumId="2" w15:restartNumberingAfterBreak="0">
    <w:nsid w:val="73E9714E"/>
    <w:multiLevelType w:val="hybridMultilevel"/>
    <w:tmpl w:val="E2B858C2"/>
    <w:lvl w:ilvl="0" w:tplc="B186DD0E">
      <w:start w:val="7"/>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31174649">
    <w:abstractNumId w:val="1"/>
  </w:num>
  <w:num w:numId="2" w16cid:durableId="1339769769">
    <w:abstractNumId w:val="0"/>
  </w:num>
  <w:num w:numId="3" w16cid:durableId="118825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4"/>
    <w:rsid w:val="00006011"/>
    <w:rsid w:val="000C69E3"/>
    <w:rsid w:val="00177D88"/>
    <w:rsid w:val="00182B5E"/>
    <w:rsid w:val="00201959"/>
    <w:rsid w:val="002B2336"/>
    <w:rsid w:val="002B5334"/>
    <w:rsid w:val="002C174F"/>
    <w:rsid w:val="003004E5"/>
    <w:rsid w:val="003262B0"/>
    <w:rsid w:val="00341384"/>
    <w:rsid w:val="00344076"/>
    <w:rsid w:val="003752D8"/>
    <w:rsid w:val="00490646"/>
    <w:rsid w:val="004E0B6D"/>
    <w:rsid w:val="005F2DCE"/>
    <w:rsid w:val="006B2F10"/>
    <w:rsid w:val="00776D4E"/>
    <w:rsid w:val="00785A4A"/>
    <w:rsid w:val="00792B13"/>
    <w:rsid w:val="007D337F"/>
    <w:rsid w:val="00811B1F"/>
    <w:rsid w:val="00845D0D"/>
    <w:rsid w:val="008E05C2"/>
    <w:rsid w:val="00932D15"/>
    <w:rsid w:val="009A788C"/>
    <w:rsid w:val="00A35001"/>
    <w:rsid w:val="00A70744"/>
    <w:rsid w:val="00A7564F"/>
    <w:rsid w:val="00AD5B23"/>
    <w:rsid w:val="00B354D6"/>
    <w:rsid w:val="00B573A7"/>
    <w:rsid w:val="00BC2788"/>
    <w:rsid w:val="00C2532D"/>
    <w:rsid w:val="00CC6EAB"/>
    <w:rsid w:val="00D16F64"/>
    <w:rsid w:val="00DC5E05"/>
    <w:rsid w:val="00E04037"/>
    <w:rsid w:val="00E11112"/>
    <w:rsid w:val="00E31E87"/>
    <w:rsid w:val="00F0605F"/>
    <w:rsid w:val="00F210BD"/>
    <w:rsid w:val="00F24616"/>
    <w:rsid w:val="00F573F1"/>
    <w:rsid w:val="00F8395F"/>
    <w:rsid w:val="00F84B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FD7C"/>
  <w15:docId w15:val="{1DF0E5AA-75E0-4FBE-BC9F-8AB5EBC1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1"/>
      <w:ind w:left="5026" w:right="5041"/>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61" w:hanging="361"/>
      <w:jc w:val="both"/>
    </w:pPr>
  </w:style>
  <w:style w:type="paragraph" w:customStyle="1" w:styleId="TableParagraph">
    <w:name w:val="Table Paragraph"/>
    <w:basedOn w:val="Normal"/>
    <w:uiPriority w:val="1"/>
    <w:qFormat/>
    <w:pPr>
      <w:spacing w:before="1"/>
      <w:ind w:left="165"/>
      <w:jc w:val="center"/>
    </w:pPr>
  </w:style>
  <w:style w:type="character" w:styleId="Hipervnculo">
    <w:name w:val="Hyperlink"/>
    <w:basedOn w:val="Fuentedeprrafopredeter"/>
    <w:uiPriority w:val="99"/>
    <w:unhideWhenUsed/>
    <w:rsid w:val="007D337F"/>
    <w:rPr>
      <w:color w:val="0000FF" w:themeColor="hyperlink"/>
      <w:u w:val="single"/>
    </w:rPr>
  </w:style>
  <w:style w:type="character" w:styleId="Mencinsinresolver">
    <w:name w:val="Unresolved Mention"/>
    <w:basedOn w:val="Fuentedeprrafopredeter"/>
    <w:uiPriority w:val="99"/>
    <w:semiHidden/>
    <w:unhideWhenUsed/>
    <w:rsid w:val="007D337F"/>
    <w:rPr>
      <w:color w:val="605E5C"/>
      <w:shd w:val="clear" w:color="auto" w:fill="E1DFDD"/>
    </w:rPr>
  </w:style>
  <w:style w:type="paragraph" w:styleId="Textocomentario">
    <w:name w:val="annotation text"/>
    <w:basedOn w:val="Normal"/>
    <w:link w:val="TextocomentarioCar"/>
    <w:uiPriority w:val="99"/>
    <w:semiHidden/>
    <w:unhideWhenUsed/>
    <w:rsid w:val="00776D4E"/>
    <w:rPr>
      <w:sz w:val="20"/>
      <w:szCs w:val="20"/>
    </w:rPr>
  </w:style>
  <w:style w:type="character" w:customStyle="1" w:styleId="TextocomentarioCar">
    <w:name w:val="Texto comentario Car"/>
    <w:basedOn w:val="Fuentedeprrafopredeter"/>
    <w:link w:val="Textocomentario"/>
    <w:uiPriority w:val="99"/>
    <w:semiHidden/>
    <w:rsid w:val="00776D4E"/>
    <w:rPr>
      <w:rFonts w:ascii="Times New Roman" w:eastAsia="Times New Roman" w:hAnsi="Times New Roman" w:cs="Times New Roman"/>
      <w:sz w:val="20"/>
      <w:szCs w:val="20"/>
      <w:lang w:val="es-ES"/>
    </w:rPr>
  </w:style>
  <w:style w:type="character" w:styleId="Refdecomentario">
    <w:name w:val="annotation reference"/>
    <w:basedOn w:val="Fuentedeprrafopredeter"/>
    <w:uiPriority w:val="99"/>
    <w:rsid w:val="00776D4E"/>
    <w:rPr>
      <w:sz w:val="16"/>
      <w:szCs w:val="16"/>
    </w:rPr>
  </w:style>
  <w:style w:type="table" w:styleId="Tablaconcuadrcula">
    <w:name w:val="Table Grid"/>
    <w:basedOn w:val="Tablanormal"/>
    <w:uiPriority w:val="39"/>
    <w:rsid w:val="00776D4E"/>
    <w:pPr>
      <w:widowControl/>
      <w:autoSpaceDE/>
      <w:autoSpaceDN/>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b.pe/fsn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ite-bienes-sdo01-2026@ue004.gob.pe" TargetMode="External"/><Relationship Id="rId5" Type="http://schemas.openxmlformats.org/officeDocument/2006/relationships/hyperlink" Target="mailto:comite-bienes-sdo01-2026@ue004.gob.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Adquisiciones</dc:creator>
  <cp:lastModifiedBy>Ramón Martín Jesús Asenjo Tello</cp:lastModifiedBy>
  <cp:revision>3</cp:revision>
  <dcterms:created xsi:type="dcterms:W3CDTF">2026-02-20T17:42:00Z</dcterms:created>
  <dcterms:modified xsi:type="dcterms:W3CDTF">2026-02-20T17:46:00Z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2019</vt:lpwstr>
  </property>
  <property fmtid="{D5CDD505-2E9C-101B-9397-08002B2CF9AE}" pid="4" name="LastSaved">
    <vt:filetime>2024-03-15T00:00:00Z</vt:filetime>
  </property>
</Properties>
</file>